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C0725" w14:textId="77777777" w:rsidR="00BC412C" w:rsidRPr="00430E96" w:rsidRDefault="00BC412C" w:rsidP="00BC412C">
      <w:pPr>
        <w:ind w:rightChars="-22" w:right="-44"/>
        <w:rPr>
          <w:sz w:val="24"/>
          <w:lang w:eastAsia="ja-JP"/>
        </w:rPr>
      </w:pPr>
    </w:p>
    <w:p w14:paraId="024B002B" w14:textId="77777777" w:rsidR="00BC412C" w:rsidRDefault="00BC412C" w:rsidP="00BC412C">
      <w:pPr>
        <w:spacing w:after="120"/>
        <w:ind w:rightChars="-22" w:right="-44"/>
        <w:jc w:val="center"/>
        <w:rPr>
          <w:sz w:val="36"/>
          <w:szCs w:val="36"/>
          <w:lang w:eastAsia="ja-JP"/>
        </w:rPr>
      </w:pPr>
    </w:p>
    <w:p w14:paraId="1252306A" w14:textId="77777777" w:rsidR="00BC412C" w:rsidRPr="001372E6" w:rsidRDefault="00BC412C" w:rsidP="00BC412C">
      <w:pPr>
        <w:spacing w:after="360"/>
        <w:ind w:rightChars="-22" w:right="-44"/>
        <w:jc w:val="center"/>
        <w:rPr>
          <w:sz w:val="36"/>
          <w:szCs w:val="36"/>
          <w:lang w:eastAsia="ja-JP"/>
        </w:rPr>
      </w:pPr>
      <w:r>
        <w:rPr>
          <w:rFonts w:hint="eastAsia"/>
          <w:sz w:val="36"/>
          <w:szCs w:val="36"/>
          <w:lang w:eastAsia="ja-JP"/>
        </w:rPr>
        <w:t xml:space="preserve">Speculation and </w:t>
      </w:r>
      <w:r w:rsidRPr="001372E6">
        <w:rPr>
          <w:rFonts w:hint="eastAsia"/>
          <w:sz w:val="36"/>
          <w:szCs w:val="36"/>
          <w:lang w:eastAsia="ja-JP"/>
        </w:rPr>
        <w:t xml:space="preserve">Price Indeterminacy </w:t>
      </w:r>
      <w:r>
        <w:rPr>
          <w:sz w:val="36"/>
          <w:szCs w:val="36"/>
          <w:lang w:eastAsia="ja-JP"/>
        </w:rPr>
        <w:br/>
      </w:r>
      <w:r w:rsidRPr="001372E6">
        <w:rPr>
          <w:sz w:val="36"/>
          <w:szCs w:val="36"/>
        </w:rPr>
        <w:t>in Financial Markets</w:t>
      </w:r>
      <w:r>
        <w:rPr>
          <w:sz w:val="36"/>
          <w:szCs w:val="36"/>
        </w:rPr>
        <w:t>: An Experimental Study</w:t>
      </w:r>
      <w:r w:rsidRPr="001372E6">
        <w:rPr>
          <w:rStyle w:val="Funotenzeichen"/>
          <w:sz w:val="36"/>
          <w:szCs w:val="36"/>
        </w:rPr>
        <w:footnoteReference w:id="1"/>
      </w:r>
    </w:p>
    <w:p w14:paraId="76180E3A" w14:textId="77777777" w:rsidR="00BC412C" w:rsidRDefault="00BC412C" w:rsidP="00BC412C">
      <w:pPr>
        <w:spacing w:afterLines="50" w:after="120" w:line="480" w:lineRule="auto"/>
        <w:jc w:val="center"/>
        <w:rPr>
          <w:b/>
          <w:sz w:val="24"/>
          <w:highlight w:val="yellow"/>
          <w:lang w:eastAsia="ja-JP"/>
        </w:rPr>
      </w:pPr>
      <w:r w:rsidRPr="00A964ED">
        <w:rPr>
          <w:sz w:val="24"/>
          <w:lang w:eastAsia="ja-JP"/>
        </w:rPr>
        <w:t>Shinichi Hirota</w:t>
      </w:r>
      <w:r w:rsidRPr="00A964ED">
        <w:rPr>
          <w:rStyle w:val="Funotenzeichen"/>
          <w:sz w:val="24"/>
          <w:lang w:eastAsia="ja-JP"/>
        </w:rPr>
        <w:footnoteReference w:id="2"/>
      </w:r>
      <w:r w:rsidRPr="00A964ED">
        <w:rPr>
          <w:sz w:val="24"/>
          <w:lang w:eastAsia="ja-JP"/>
        </w:rPr>
        <w:t xml:space="preserve">      Juergen Huber</w:t>
      </w:r>
      <w:r w:rsidRPr="00A964ED">
        <w:rPr>
          <w:rStyle w:val="Funotenzeichen"/>
          <w:sz w:val="24"/>
          <w:lang w:eastAsia="ja-JP"/>
        </w:rPr>
        <w:footnoteReference w:id="3"/>
      </w:r>
      <w:r w:rsidRPr="00A964ED">
        <w:rPr>
          <w:sz w:val="24"/>
          <w:lang w:eastAsia="ja-JP"/>
        </w:rPr>
        <w:t xml:space="preserve">      Thomas Stöckl</w:t>
      </w:r>
      <w:r w:rsidRPr="00A964ED">
        <w:rPr>
          <w:rStyle w:val="Funotenzeichen"/>
          <w:sz w:val="24"/>
          <w:lang w:eastAsia="ja-JP"/>
        </w:rPr>
        <w:footnoteReference w:id="4"/>
      </w:r>
      <w:r w:rsidRPr="00A964ED">
        <w:rPr>
          <w:sz w:val="24"/>
          <w:lang w:eastAsia="ja-JP"/>
        </w:rPr>
        <w:t xml:space="preserve">     Shyam Sunder</w:t>
      </w:r>
      <w:r w:rsidRPr="00A964ED">
        <w:rPr>
          <w:rStyle w:val="Funotenzeichen"/>
          <w:sz w:val="24"/>
          <w:lang w:eastAsia="ja-JP"/>
        </w:rPr>
        <w:footnoteReference w:id="5"/>
      </w:r>
    </w:p>
    <w:p w14:paraId="13E6AF00" w14:textId="77777777" w:rsidR="00BC412C" w:rsidRPr="001372E6" w:rsidRDefault="00BC412C" w:rsidP="00BC412C">
      <w:pPr>
        <w:spacing w:line="276" w:lineRule="auto"/>
        <w:jc w:val="center"/>
        <w:rPr>
          <w:sz w:val="24"/>
          <w:lang w:eastAsia="ja-JP"/>
        </w:rPr>
      </w:pPr>
      <w:r w:rsidRPr="001372E6">
        <w:rPr>
          <w:sz w:val="24"/>
          <w:lang w:eastAsia="ja-JP"/>
        </w:rPr>
        <w:fldChar w:fldCharType="begin"/>
      </w:r>
      <w:r w:rsidRPr="001372E6">
        <w:rPr>
          <w:sz w:val="24"/>
          <w:lang w:eastAsia="ja-JP"/>
        </w:rPr>
        <w:instrText xml:space="preserve"> DATE \@ "MMMM d, yyyy" </w:instrText>
      </w:r>
      <w:r w:rsidRPr="001372E6">
        <w:rPr>
          <w:sz w:val="24"/>
          <w:lang w:eastAsia="ja-JP"/>
        </w:rPr>
        <w:fldChar w:fldCharType="separate"/>
      </w:r>
      <w:r>
        <w:rPr>
          <w:noProof/>
          <w:sz w:val="24"/>
          <w:lang w:eastAsia="ja-JP"/>
        </w:rPr>
        <w:t>May 7, 2018</w:t>
      </w:r>
      <w:r w:rsidRPr="001372E6">
        <w:rPr>
          <w:sz w:val="24"/>
          <w:lang w:eastAsia="ja-JP"/>
        </w:rPr>
        <w:fldChar w:fldCharType="end"/>
      </w:r>
    </w:p>
    <w:p w14:paraId="13D44415" w14:textId="77777777" w:rsidR="00BC412C" w:rsidRDefault="00BC412C" w:rsidP="00BC412C">
      <w:pPr>
        <w:spacing w:line="276" w:lineRule="auto"/>
        <w:jc w:val="center"/>
        <w:rPr>
          <w:i/>
          <w:sz w:val="24"/>
          <w:lang w:eastAsia="ja-JP"/>
        </w:rPr>
      </w:pPr>
    </w:p>
    <w:p w14:paraId="51448C21" w14:textId="77777777" w:rsidR="00BC412C" w:rsidRDefault="00BC412C" w:rsidP="00BC412C">
      <w:pPr>
        <w:spacing w:line="276" w:lineRule="auto"/>
        <w:jc w:val="center"/>
        <w:rPr>
          <w:i/>
          <w:sz w:val="24"/>
          <w:lang w:eastAsia="ja-JP"/>
        </w:rPr>
      </w:pPr>
    </w:p>
    <w:p w14:paraId="4DC0B829" w14:textId="77777777" w:rsidR="00BC412C" w:rsidRPr="001372E6" w:rsidRDefault="00BC412C" w:rsidP="00BC412C">
      <w:pPr>
        <w:spacing w:line="276" w:lineRule="auto"/>
        <w:jc w:val="center"/>
        <w:rPr>
          <w:b/>
          <w:i/>
          <w:sz w:val="24"/>
          <w:lang w:eastAsia="ja-JP"/>
        </w:rPr>
      </w:pPr>
      <w:r w:rsidRPr="00FA0BCD">
        <w:rPr>
          <w:b/>
          <w:i/>
          <w:sz w:val="24"/>
          <w:lang w:eastAsia="ja-JP"/>
        </w:rPr>
        <w:t>Abstract</w:t>
      </w:r>
      <w:r w:rsidRPr="00FA0BCD">
        <w:rPr>
          <w:rFonts w:hint="eastAsia"/>
          <w:b/>
          <w:i/>
          <w:sz w:val="24"/>
          <w:lang w:eastAsia="ja-JP"/>
        </w:rPr>
        <w:t xml:space="preserve"> </w:t>
      </w:r>
    </w:p>
    <w:p w14:paraId="7565E57E" w14:textId="77777777" w:rsidR="00BC412C" w:rsidRDefault="00BC412C" w:rsidP="00BC412C">
      <w:pPr>
        <w:spacing w:line="276" w:lineRule="auto"/>
        <w:ind w:left="851" w:right="805"/>
        <w:jc w:val="both"/>
        <w:rPr>
          <w:sz w:val="24"/>
          <w:lang w:eastAsia="ja-JP"/>
        </w:rPr>
      </w:pPr>
      <w:r>
        <w:rPr>
          <w:sz w:val="24"/>
          <w:lang w:eastAsia="ja-JP"/>
        </w:rPr>
        <w:t>To</w:t>
      </w:r>
      <w:r w:rsidRPr="0036495F">
        <w:rPr>
          <w:sz w:val="24"/>
          <w:lang w:eastAsia="ja-JP"/>
        </w:rPr>
        <w:t xml:space="preserve"> ex</w:t>
      </w:r>
      <w:r w:rsidRPr="0036495F">
        <w:rPr>
          <w:rFonts w:hint="eastAsia"/>
          <w:sz w:val="24"/>
          <w:lang w:eastAsia="ja-JP"/>
        </w:rPr>
        <w:t>plore</w:t>
      </w:r>
      <w:r w:rsidRPr="0036495F">
        <w:rPr>
          <w:sz w:val="24"/>
          <w:lang w:eastAsia="ja-JP"/>
        </w:rPr>
        <w:t xml:space="preserve"> how </w:t>
      </w:r>
      <w:r w:rsidRPr="0036495F">
        <w:rPr>
          <w:rFonts w:hint="eastAsia"/>
          <w:sz w:val="24"/>
          <w:lang w:eastAsia="ja-JP"/>
        </w:rPr>
        <w:t xml:space="preserve">speculative trading </w:t>
      </w:r>
      <w:r>
        <w:rPr>
          <w:sz w:val="24"/>
          <w:lang w:eastAsia="ja-JP"/>
        </w:rPr>
        <w:t>influences</w:t>
      </w:r>
      <w:r w:rsidRPr="0036495F">
        <w:rPr>
          <w:sz w:val="24"/>
          <w:lang w:eastAsia="ja-JP"/>
        </w:rPr>
        <w:t xml:space="preserve"> </w:t>
      </w:r>
      <w:r w:rsidRPr="0036495F">
        <w:rPr>
          <w:rFonts w:hint="eastAsia"/>
          <w:sz w:val="24"/>
          <w:lang w:eastAsia="ja-JP"/>
        </w:rPr>
        <w:t>price</w:t>
      </w:r>
      <w:r>
        <w:rPr>
          <w:sz w:val="24"/>
          <w:lang w:eastAsia="ja-JP"/>
        </w:rPr>
        <w:t>s</w:t>
      </w:r>
      <w:r w:rsidRPr="0036495F">
        <w:rPr>
          <w:sz w:val="24"/>
          <w:lang w:eastAsia="ja-JP"/>
        </w:rPr>
        <w:t xml:space="preserve"> </w:t>
      </w:r>
      <w:r w:rsidRPr="0036495F">
        <w:rPr>
          <w:rFonts w:hint="eastAsia"/>
          <w:sz w:val="24"/>
          <w:lang w:eastAsia="ja-JP"/>
        </w:rPr>
        <w:t>in financial markets</w:t>
      </w:r>
      <w:r>
        <w:rPr>
          <w:sz w:val="24"/>
          <w:lang w:eastAsia="ja-JP"/>
        </w:rPr>
        <w:t xml:space="preserve"> w</w:t>
      </w:r>
      <w:r w:rsidRPr="0036495F">
        <w:rPr>
          <w:rFonts w:hint="eastAsia"/>
          <w:kern w:val="2"/>
          <w:sz w:val="24"/>
          <w:szCs w:val="24"/>
          <w:lang w:eastAsia="ja-JP"/>
        </w:rPr>
        <w:t xml:space="preserve">e conduct </w:t>
      </w:r>
      <w:r w:rsidRPr="0036495F">
        <w:rPr>
          <w:kern w:val="2"/>
          <w:sz w:val="24"/>
          <w:szCs w:val="24"/>
          <w:lang w:eastAsia="ja-JP"/>
        </w:rPr>
        <w:t xml:space="preserve">a </w:t>
      </w:r>
      <w:r w:rsidRPr="0036495F">
        <w:rPr>
          <w:rFonts w:hint="eastAsia"/>
          <w:kern w:val="2"/>
          <w:sz w:val="24"/>
          <w:szCs w:val="24"/>
          <w:lang w:eastAsia="ja-JP"/>
        </w:rPr>
        <w:t xml:space="preserve">laboratory </w:t>
      </w:r>
      <w:r w:rsidRPr="0036495F">
        <w:rPr>
          <w:kern w:val="2"/>
          <w:sz w:val="24"/>
          <w:szCs w:val="24"/>
          <w:lang w:eastAsia="ja-JP"/>
        </w:rPr>
        <w:t>market experiment</w:t>
      </w:r>
      <w:r w:rsidRPr="0036495F">
        <w:rPr>
          <w:rFonts w:hint="eastAsia"/>
          <w:kern w:val="2"/>
          <w:sz w:val="24"/>
          <w:szCs w:val="24"/>
          <w:lang w:eastAsia="ja-JP"/>
        </w:rPr>
        <w:t xml:space="preserve"> </w:t>
      </w:r>
      <w:r w:rsidRPr="0036495F">
        <w:rPr>
          <w:kern w:val="2"/>
          <w:sz w:val="24"/>
          <w:szCs w:val="24"/>
          <w:lang w:eastAsia="ja-JP"/>
        </w:rPr>
        <w:t>with speculating investors (who do not collect dividends and trade only for capital gains)</w:t>
      </w:r>
      <w:r>
        <w:rPr>
          <w:kern w:val="2"/>
          <w:sz w:val="24"/>
          <w:szCs w:val="24"/>
          <w:lang w:eastAsia="ja-JP"/>
        </w:rPr>
        <w:t xml:space="preserve"> as well as div</w:t>
      </w:r>
      <w:r>
        <w:rPr>
          <w:kern w:val="2"/>
          <w:sz w:val="24"/>
          <w:szCs w:val="24"/>
          <w:lang w:eastAsia="ja-JP"/>
        </w:rPr>
        <w:t>i</w:t>
      </w:r>
      <w:r>
        <w:rPr>
          <w:kern w:val="2"/>
          <w:sz w:val="24"/>
          <w:szCs w:val="24"/>
          <w:lang w:eastAsia="ja-JP"/>
        </w:rPr>
        <w:t>dend-collecting investors</w:t>
      </w:r>
      <w:r w:rsidRPr="0036495F">
        <w:rPr>
          <w:kern w:val="2"/>
          <w:sz w:val="24"/>
          <w:szCs w:val="24"/>
          <w:lang w:eastAsia="ja-JP"/>
        </w:rPr>
        <w:t xml:space="preserve">. </w:t>
      </w:r>
      <w:r w:rsidRPr="0036495F">
        <w:rPr>
          <w:rFonts w:hint="eastAsia"/>
          <w:sz w:val="24"/>
          <w:lang w:eastAsia="ja-JP"/>
        </w:rPr>
        <w:t>W</w:t>
      </w:r>
      <w:r w:rsidRPr="0036495F">
        <w:rPr>
          <w:sz w:val="24"/>
          <w:lang w:eastAsia="ja-JP"/>
        </w:rPr>
        <w:t>e find that</w:t>
      </w:r>
      <w:r w:rsidRPr="0036495F">
        <w:rPr>
          <w:rFonts w:hint="eastAsia"/>
          <w:sz w:val="24"/>
          <w:lang w:eastAsia="ja-JP"/>
        </w:rPr>
        <w:t xml:space="preserve"> in markets with </w:t>
      </w:r>
      <w:r w:rsidRPr="0036495F">
        <w:rPr>
          <w:sz w:val="24"/>
          <w:lang w:eastAsia="ja-JP"/>
        </w:rPr>
        <w:t xml:space="preserve">only </w:t>
      </w:r>
      <w:r w:rsidRPr="0036495F">
        <w:rPr>
          <w:rFonts w:hint="eastAsia"/>
          <w:sz w:val="24"/>
          <w:lang w:eastAsia="ja-JP"/>
        </w:rPr>
        <w:t>speculating i</w:t>
      </w:r>
      <w:r w:rsidRPr="0036495F">
        <w:rPr>
          <w:rFonts w:hint="eastAsia"/>
          <w:sz w:val="24"/>
          <w:lang w:eastAsia="ja-JP"/>
        </w:rPr>
        <w:t>n</w:t>
      </w:r>
      <w:r w:rsidRPr="0036495F">
        <w:rPr>
          <w:rFonts w:hint="eastAsia"/>
          <w:sz w:val="24"/>
          <w:lang w:eastAsia="ja-JP"/>
        </w:rPr>
        <w:t xml:space="preserve">vestors </w:t>
      </w:r>
      <w:r w:rsidRPr="0036495F">
        <w:rPr>
          <w:sz w:val="24"/>
          <w:lang w:eastAsia="ja-JP"/>
        </w:rPr>
        <w:t>(</w:t>
      </w:r>
      <w:proofErr w:type="spellStart"/>
      <w:r w:rsidRPr="0036495F">
        <w:rPr>
          <w:sz w:val="24"/>
          <w:lang w:eastAsia="ja-JP"/>
        </w:rPr>
        <w:t>i</w:t>
      </w:r>
      <w:proofErr w:type="spellEnd"/>
      <w:r w:rsidRPr="0036495F">
        <w:rPr>
          <w:sz w:val="24"/>
          <w:lang w:eastAsia="ja-JP"/>
        </w:rPr>
        <w:t xml:space="preserve">) price deviations </w:t>
      </w:r>
      <w:r>
        <w:rPr>
          <w:sz w:val="24"/>
          <w:lang w:eastAsia="ja-JP"/>
        </w:rPr>
        <w:t xml:space="preserve">from fundamentals </w:t>
      </w:r>
      <w:r w:rsidRPr="0036495F">
        <w:rPr>
          <w:sz w:val="24"/>
          <w:lang w:eastAsia="ja-JP"/>
        </w:rPr>
        <w:t>are larger</w:t>
      </w:r>
      <w:r>
        <w:rPr>
          <w:sz w:val="24"/>
          <w:lang w:eastAsia="ja-JP"/>
        </w:rPr>
        <w:t>;</w:t>
      </w:r>
      <w:r w:rsidRPr="0036495F">
        <w:rPr>
          <w:sz w:val="24"/>
          <w:lang w:eastAsia="ja-JP"/>
        </w:rPr>
        <w:t xml:space="preserve"> (ii) </w:t>
      </w:r>
      <w:r>
        <w:rPr>
          <w:sz w:val="24"/>
          <w:lang w:eastAsia="ja-JP"/>
        </w:rPr>
        <w:t xml:space="preserve">prices are more volatile; (iii) </w:t>
      </w:r>
      <w:r w:rsidRPr="0036495F">
        <w:rPr>
          <w:sz w:val="24"/>
          <w:lang w:eastAsia="ja-JP"/>
        </w:rPr>
        <w:t xml:space="preserve">the “mispricing” is </w:t>
      </w:r>
      <w:r>
        <w:rPr>
          <w:sz w:val="24"/>
          <w:lang w:eastAsia="ja-JP"/>
        </w:rPr>
        <w:t xml:space="preserve">likely to be </w:t>
      </w:r>
      <w:r w:rsidRPr="0036495F">
        <w:rPr>
          <w:sz w:val="24"/>
          <w:lang w:eastAsia="ja-JP"/>
        </w:rPr>
        <w:t>strategic</w:t>
      </w:r>
      <w:r>
        <w:rPr>
          <w:sz w:val="24"/>
          <w:lang w:eastAsia="ja-JP"/>
        </w:rPr>
        <w:t xml:space="preserve"> and not </w:t>
      </w:r>
      <w:r w:rsidRPr="0036495F">
        <w:rPr>
          <w:sz w:val="24"/>
          <w:lang w:eastAsia="ja-JP"/>
        </w:rPr>
        <w:t>irrational; (</w:t>
      </w:r>
      <w:r w:rsidRPr="0036495F">
        <w:rPr>
          <w:rFonts w:hint="eastAsia"/>
          <w:sz w:val="24"/>
          <w:lang w:eastAsia="ja-JP"/>
        </w:rPr>
        <w:t>i</w:t>
      </w:r>
      <w:r>
        <w:rPr>
          <w:sz w:val="24"/>
          <w:lang w:eastAsia="ja-JP"/>
        </w:rPr>
        <w:t>v</w:t>
      </w:r>
      <w:r w:rsidRPr="0036495F">
        <w:rPr>
          <w:sz w:val="24"/>
          <w:lang w:eastAsia="ja-JP"/>
        </w:rPr>
        <w:t xml:space="preserve">) </w:t>
      </w:r>
      <w:r>
        <w:rPr>
          <w:sz w:val="24"/>
          <w:lang w:eastAsia="ja-JP"/>
        </w:rPr>
        <w:t xml:space="preserve">mispricing </w:t>
      </w:r>
      <w:r w:rsidRPr="0036495F">
        <w:rPr>
          <w:sz w:val="24"/>
          <w:lang w:eastAsia="ja-JP"/>
        </w:rPr>
        <w:t>increase</w:t>
      </w:r>
      <w:r>
        <w:rPr>
          <w:rFonts w:hint="eastAsia"/>
          <w:sz w:val="24"/>
          <w:lang w:eastAsia="ja-JP"/>
        </w:rPr>
        <w:t>s</w:t>
      </w:r>
      <w:r w:rsidRPr="0036495F">
        <w:rPr>
          <w:sz w:val="24"/>
          <w:lang w:eastAsia="ja-JP"/>
        </w:rPr>
        <w:t xml:space="preserve"> </w:t>
      </w:r>
      <w:r>
        <w:rPr>
          <w:sz w:val="24"/>
          <w:lang w:eastAsia="ja-JP"/>
        </w:rPr>
        <w:t>with the number of transfers until maturity</w:t>
      </w:r>
      <w:r w:rsidRPr="0036495F">
        <w:rPr>
          <w:sz w:val="24"/>
          <w:lang w:eastAsia="ja-JP"/>
        </w:rPr>
        <w:t>;</w:t>
      </w:r>
      <w:r w:rsidRPr="0036495F">
        <w:rPr>
          <w:rFonts w:hint="eastAsia"/>
          <w:sz w:val="24"/>
          <w:lang w:eastAsia="ja-JP"/>
        </w:rPr>
        <w:t xml:space="preserve"> </w:t>
      </w:r>
      <w:r>
        <w:rPr>
          <w:sz w:val="24"/>
          <w:lang w:eastAsia="ja-JP"/>
        </w:rPr>
        <w:t xml:space="preserve">and </w:t>
      </w:r>
      <w:r w:rsidRPr="0036495F">
        <w:rPr>
          <w:rFonts w:hint="eastAsia"/>
          <w:sz w:val="24"/>
          <w:lang w:eastAsia="ja-JP"/>
        </w:rPr>
        <w:t>(</w:t>
      </w:r>
      <w:r>
        <w:rPr>
          <w:sz w:val="24"/>
          <w:lang w:eastAsia="ja-JP"/>
        </w:rPr>
        <w:t>v</w:t>
      </w:r>
      <w:r w:rsidRPr="0036495F">
        <w:rPr>
          <w:rFonts w:hint="eastAsia"/>
          <w:sz w:val="24"/>
          <w:lang w:eastAsia="ja-JP"/>
        </w:rPr>
        <w:t xml:space="preserve">) speculative trading </w:t>
      </w:r>
      <w:r>
        <w:rPr>
          <w:sz w:val="24"/>
          <w:lang w:eastAsia="ja-JP"/>
        </w:rPr>
        <w:t>pushes prices</w:t>
      </w:r>
      <w:r w:rsidRPr="0036495F">
        <w:rPr>
          <w:rFonts w:hint="eastAsia"/>
          <w:sz w:val="24"/>
          <w:lang w:eastAsia="ja-JP"/>
        </w:rPr>
        <w:t xml:space="preserve"> upward </w:t>
      </w:r>
      <w:r w:rsidRPr="0036495F">
        <w:rPr>
          <w:sz w:val="24"/>
          <w:lang w:eastAsia="ja-JP"/>
        </w:rPr>
        <w:t>(downward) when</w:t>
      </w:r>
      <w:r w:rsidRPr="0036495F">
        <w:rPr>
          <w:rFonts w:hint="eastAsia"/>
          <w:sz w:val="24"/>
          <w:lang w:eastAsia="ja-JP"/>
        </w:rPr>
        <w:t xml:space="preserve"> liquidity </w:t>
      </w:r>
      <w:r w:rsidRPr="0036495F">
        <w:rPr>
          <w:sz w:val="24"/>
          <w:lang w:eastAsia="ja-JP"/>
        </w:rPr>
        <w:t>is high (low)</w:t>
      </w:r>
      <w:r w:rsidRPr="0036495F">
        <w:rPr>
          <w:rFonts w:hint="eastAsia"/>
          <w:sz w:val="24"/>
          <w:lang w:eastAsia="ja-JP"/>
        </w:rPr>
        <w:t>.</w:t>
      </w:r>
      <w:r w:rsidRPr="002B7DFD">
        <w:rPr>
          <w:sz w:val="24"/>
          <w:lang w:eastAsia="ja-JP"/>
        </w:rPr>
        <w:t xml:space="preserve"> </w:t>
      </w:r>
    </w:p>
    <w:p w14:paraId="6122027D" w14:textId="77777777" w:rsidR="00BC412C" w:rsidRDefault="00BC412C" w:rsidP="00BC412C">
      <w:pPr>
        <w:spacing w:line="276" w:lineRule="auto"/>
        <w:ind w:left="851" w:right="805"/>
        <w:jc w:val="both"/>
        <w:rPr>
          <w:sz w:val="24"/>
          <w:lang w:eastAsia="ja-JP"/>
        </w:rPr>
      </w:pPr>
    </w:p>
    <w:p w14:paraId="70C66F04" w14:textId="77777777" w:rsidR="00BC412C" w:rsidRDefault="00BC412C" w:rsidP="00BC412C">
      <w:pPr>
        <w:spacing w:afterLines="50" w:after="120" w:line="276" w:lineRule="auto"/>
        <w:ind w:left="851" w:right="805"/>
        <w:jc w:val="both"/>
        <w:rPr>
          <w:sz w:val="24"/>
          <w:lang w:eastAsia="ja-JP"/>
        </w:rPr>
      </w:pPr>
      <w:r w:rsidRPr="002B7DFD">
        <w:rPr>
          <w:i/>
          <w:sz w:val="24"/>
          <w:lang w:eastAsia="ja-JP"/>
        </w:rPr>
        <w:t>Keywords</w:t>
      </w:r>
      <w:r w:rsidRPr="002B7DFD">
        <w:rPr>
          <w:sz w:val="24"/>
          <w:lang w:eastAsia="ja-JP"/>
        </w:rPr>
        <w:t xml:space="preserve">: Experimental </w:t>
      </w:r>
      <w:r>
        <w:rPr>
          <w:sz w:val="24"/>
          <w:lang w:eastAsia="ja-JP"/>
        </w:rPr>
        <w:t>finance</w:t>
      </w:r>
      <w:r w:rsidRPr="002B7DFD">
        <w:rPr>
          <w:sz w:val="24"/>
          <w:lang w:eastAsia="ja-JP"/>
        </w:rPr>
        <w:t xml:space="preserve">; </w:t>
      </w:r>
      <w:r>
        <w:rPr>
          <w:sz w:val="24"/>
          <w:lang w:eastAsia="ja-JP"/>
        </w:rPr>
        <w:t>speculation</w:t>
      </w:r>
      <w:r w:rsidRPr="002B7DFD">
        <w:rPr>
          <w:sz w:val="24"/>
          <w:lang w:eastAsia="ja-JP"/>
        </w:rPr>
        <w:t xml:space="preserve">; </w:t>
      </w:r>
      <w:r>
        <w:rPr>
          <w:rFonts w:hint="eastAsia"/>
          <w:sz w:val="24"/>
          <w:lang w:eastAsia="ja-JP"/>
        </w:rPr>
        <w:t>rational expectation</w:t>
      </w:r>
      <w:r>
        <w:rPr>
          <w:sz w:val="24"/>
          <w:lang w:eastAsia="ja-JP"/>
        </w:rPr>
        <w:t>s</w:t>
      </w:r>
      <w:r w:rsidRPr="002B7DFD">
        <w:rPr>
          <w:sz w:val="24"/>
          <w:lang w:eastAsia="ja-JP"/>
        </w:rPr>
        <w:t>;</w:t>
      </w:r>
      <w:r>
        <w:rPr>
          <w:rFonts w:hint="eastAsia"/>
          <w:sz w:val="24"/>
          <w:lang w:eastAsia="ja-JP"/>
        </w:rPr>
        <w:t xml:space="preserve"> </w:t>
      </w:r>
      <w:r w:rsidRPr="002B7DFD">
        <w:rPr>
          <w:sz w:val="24"/>
          <w:lang w:eastAsia="ja-JP"/>
        </w:rPr>
        <w:t xml:space="preserve">price efficiency; </w:t>
      </w:r>
      <w:r>
        <w:rPr>
          <w:sz w:val="24"/>
          <w:lang w:eastAsia="ja-JP"/>
        </w:rPr>
        <w:t xml:space="preserve">price bubbles; </w:t>
      </w:r>
      <w:r w:rsidRPr="002B7DFD">
        <w:rPr>
          <w:sz w:val="24"/>
          <w:lang w:eastAsia="ja-JP"/>
        </w:rPr>
        <w:t>overlapping generations</w:t>
      </w:r>
      <w:r>
        <w:rPr>
          <w:sz w:val="24"/>
          <w:lang w:eastAsia="ja-JP"/>
        </w:rPr>
        <w:t>; backward and forward induction</w:t>
      </w:r>
      <w:r w:rsidRPr="002B7DFD">
        <w:rPr>
          <w:sz w:val="24"/>
          <w:lang w:eastAsia="ja-JP"/>
        </w:rPr>
        <w:t>.</w:t>
      </w:r>
    </w:p>
    <w:p w14:paraId="079DE517" w14:textId="77777777" w:rsidR="00BC412C" w:rsidRPr="002B7DFD" w:rsidRDefault="00BC412C" w:rsidP="00BC412C">
      <w:pPr>
        <w:spacing w:afterLines="50" w:after="120" w:line="276" w:lineRule="auto"/>
        <w:ind w:left="851" w:right="805"/>
        <w:jc w:val="both"/>
        <w:rPr>
          <w:sz w:val="24"/>
          <w:lang w:eastAsia="ja-JP"/>
        </w:rPr>
      </w:pPr>
    </w:p>
    <w:p w14:paraId="4F6A67EA" w14:textId="77777777" w:rsidR="00BC412C" w:rsidRPr="00E97161" w:rsidRDefault="00BC412C" w:rsidP="00BC412C">
      <w:pPr>
        <w:pStyle w:val="Numberedlistitemspaced"/>
        <w:numPr>
          <w:ilvl w:val="0"/>
          <w:numId w:val="0"/>
        </w:numPr>
        <w:spacing w:line="360" w:lineRule="auto"/>
        <w:ind w:left="851"/>
        <w:rPr>
          <w:rFonts w:ascii="Times New Roman" w:hAnsi="Times New Roman"/>
          <w:sz w:val="24"/>
          <w:szCs w:val="24"/>
          <w:lang w:eastAsia="ja-JP"/>
        </w:rPr>
      </w:pPr>
      <w:r w:rsidRPr="002B7DFD">
        <w:rPr>
          <w:i/>
          <w:sz w:val="24"/>
          <w:lang w:eastAsia="ja-JP"/>
        </w:rPr>
        <w:t>JEL-Classification</w:t>
      </w:r>
      <w:r>
        <w:rPr>
          <w:sz w:val="24"/>
          <w:lang w:eastAsia="ja-JP"/>
        </w:rPr>
        <w:t xml:space="preserve">: </w:t>
      </w:r>
      <w:r w:rsidRPr="002B7DFD">
        <w:rPr>
          <w:sz w:val="24"/>
          <w:lang w:eastAsia="ja-JP"/>
        </w:rPr>
        <w:t>C91</w:t>
      </w:r>
      <w:r>
        <w:rPr>
          <w:sz w:val="24"/>
          <w:lang w:eastAsia="ja-JP"/>
        </w:rPr>
        <w:t>;</w:t>
      </w:r>
      <w:r w:rsidRPr="002B7DFD">
        <w:rPr>
          <w:sz w:val="24"/>
          <w:lang w:eastAsia="ja-JP"/>
        </w:rPr>
        <w:t xml:space="preserve"> G11; G12.</w:t>
      </w:r>
    </w:p>
    <w:p w14:paraId="18C7CD4F" w14:textId="77777777" w:rsidR="00BC412C" w:rsidRDefault="00BC412C" w:rsidP="00FF0314">
      <w:pPr>
        <w:spacing w:line="276" w:lineRule="auto"/>
        <w:ind w:leftChars="425" w:left="850"/>
        <w:jc w:val="both"/>
        <w:rPr>
          <w:sz w:val="24"/>
          <w:lang w:eastAsia="ja-JP"/>
        </w:rPr>
      </w:pPr>
    </w:p>
    <w:p w14:paraId="68766D5E" w14:textId="77777777" w:rsidR="00FF0314" w:rsidRPr="00A5660C" w:rsidRDefault="00FF0314" w:rsidP="0007295E">
      <w:pPr>
        <w:spacing w:line="276" w:lineRule="auto"/>
        <w:jc w:val="both"/>
        <w:rPr>
          <w:kern w:val="2"/>
          <w:sz w:val="24"/>
          <w:szCs w:val="24"/>
          <w:highlight w:val="yellow"/>
          <w:lang w:eastAsia="ja-JP"/>
        </w:rPr>
        <w:sectPr w:rsidR="00FF0314" w:rsidRPr="00A5660C" w:rsidSect="0025160E">
          <w:footerReference w:type="even" r:id="rId9"/>
          <w:footerReference w:type="default" r:id="rId10"/>
          <w:footnotePr>
            <w:numFmt w:val="chicago"/>
          </w:footnotePr>
          <w:endnotePr>
            <w:numFmt w:val="decimal"/>
          </w:endnotePr>
          <w:pgSz w:w="11907" w:h="16840" w:code="9"/>
          <w:pgMar w:top="1440" w:right="1440" w:bottom="1440" w:left="1440" w:header="850" w:footer="994" w:gutter="0"/>
          <w:pgNumType w:start="1"/>
          <w:cols w:space="425"/>
          <w:docGrid w:linePitch="552"/>
        </w:sectPr>
      </w:pPr>
    </w:p>
    <w:p w14:paraId="224EA8FC" w14:textId="77777777" w:rsidR="00271A7B" w:rsidRPr="007448FC" w:rsidRDefault="00271A7B" w:rsidP="00271A7B">
      <w:pPr>
        <w:pStyle w:val="berschrift7"/>
        <w:numPr>
          <w:ilvl w:val="0"/>
          <w:numId w:val="26"/>
        </w:numPr>
        <w:spacing w:afterLines="0"/>
      </w:pPr>
      <w:r w:rsidRPr="007448FC">
        <w:rPr>
          <w:rFonts w:hint="eastAsia"/>
        </w:rPr>
        <w:lastRenderedPageBreak/>
        <w:t>Introduction</w:t>
      </w:r>
    </w:p>
    <w:p w14:paraId="3EB58C5C" w14:textId="0BA1462F" w:rsidR="009801E5" w:rsidRPr="0036495F" w:rsidRDefault="00271A7B" w:rsidP="009801E5">
      <w:pPr>
        <w:spacing w:line="480" w:lineRule="auto"/>
        <w:ind w:firstLine="709"/>
        <w:jc w:val="both"/>
        <w:rPr>
          <w:kern w:val="2"/>
          <w:sz w:val="24"/>
          <w:szCs w:val="24"/>
          <w:lang w:eastAsia="ja-JP"/>
        </w:rPr>
      </w:pPr>
      <w:r w:rsidRPr="0036495F">
        <w:rPr>
          <w:rFonts w:hint="eastAsia"/>
          <w:kern w:val="2"/>
          <w:sz w:val="24"/>
          <w:szCs w:val="24"/>
          <w:lang w:eastAsia="ja-JP"/>
        </w:rPr>
        <w:t xml:space="preserve">Speculators are </w:t>
      </w:r>
      <w:r w:rsidR="002A6D1D">
        <w:rPr>
          <w:kern w:val="2"/>
          <w:sz w:val="24"/>
          <w:szCs w:val="24"/>
          <w:lang w:eastAsia="ja-JP"/>
        </w:rPr>
        <w:t xml:space="preserve">short-term participants in </w:t>
      </w:r>
      <w:r w:rsidR="00217E20">
        <w:rPr>
          <w:kern w:val="2"/>
          <w:sz w:val="24"/>
          <w:szCs w:val="24"/>
          <w:lang w:eastAsia="ja-JP"/>
        </w:rPr>
        <w:t>financial market</w:t>
      </w:r>
      <w:r w:rsidR="002A6D1D">
        <w:rPr>
          <w:kern w:val="2"/>
          <w:sz w:val="24"/>
          <w:szCs w:val="24"/>
          <w:lang w:eastAsia="ja-JP"/>
        </w:rPr>
        <w:t>s</w:t>
      </w:r>
      <w:r w:rsidR="0086186F">
        <w:rPr>
          <w:kern w:val="2"/>
          <w:sz w:val="24"/>
          <w:szCs w:val="24"/>
          <w:lang w:eastAsia="ja-JP"/>
        </w:rPr>
        <w:t xml:space="preserve"> focused on</w:t>
      </w:r>
      <w:r w:rsidRPr="0036495F">
        <w:rPr>
          <w:rFonts w:hint="eastAsia"/>
          <w:kern w:val="2"/>
          <w:sz w:val="24"/>
          <w:szCs w:val="24"/>
          <w:lang w:eastAsia="ja-JP"/>
        </w:rPr>
        <w:t xml:space="preserve"> capital gains. Their valuation of </w:t>
      </w:r>
      <w:r w:rsidR="00AB27F4">
        <w:rPr>
          <w:kern w:val="2"/>
          <w:sz w:val="24"/>
          <w:szCs w:val="24"/>
          <w:lang w:eastAsia="ja-JP"/>
        </w:rPr>
        <w:t>a security</w:t>
      </w:r>
      <w:r w:rsidRPr="0036495F">
        <w:rPr>
          <w:rFonts w:hint="eastAsia"/>
          <w:kern w:val="2"/>
          <w:sz w:val="24"/>
          <w:szCs w:val="24"/>
          <w:lang w:eastAsia="ja-JP"/>
        </w:rPr>
        <w:t xml:space="preserve"> depends on future price expectations </w:t>
      </w:r>
      <w:r w:rsidRPr="0036495F">
        <w:rPr>
          <w:kern w:val="2"/>
          <w:sz w:val="24"/>
          <w:szCs w:val="24"/>
          <w:lang w:eastAsia="ja-JP"/>
        </w:rPr>
        <w:t>which</w:t>
      </w:r>
      <w:r w:rsidRPr="0036495F">
        <w:rPr>
          <w:rFonts w:hint="eastAsia"/>
          <w:kern w:val="2"/>
          <w:sz w:val="24"/>
          <w:szCs w:val="24"/>
          <w:lang w:eastAsia="ja-JP"/>
        </w:rPr>
        <w:t xml:space="preserve"> are sensitive to noisy information, </w:t>
      </w:r>
      <w:r w:rsidRPr="0036495F">
        <w:rPr>
          <w:kern w:val="2"/>
          <w:sz w:val="24"/>
          <w:szCs w:val="24"/>
          <w:lang w:eastAsia="ja-JP"/>
        </w:rPr>
        <w:t>higher order expectations</w:t>
      </w:r>
      <w:r w:rsidRPr="0036495F">
        <w:rPr>
          <w:rFonts w:hint="eastAsia"/>
          <w:kern w:val="2"/>
          <w:sz w:val="24"/>
          <w:szCs w:val="24"/>
          <w:lang w:eastAsia="ja-JP"/>
        </w:rPr>
        <w:t xml:space="preserve">, and even recent price changes. Therefore, in a market populated by speculators, </w:t>
      </w:r>
      <w:r w:rsidR="009801E5" w:rsidRPr="0036495F">
        <w:rPr>
          <w:kern w:val="2"/>
          <w:sz w:val="24"/>
          <w:szCs w:val="24"/>
          <w:lang w:eastAsia="ja-JP"/>
        </w:rPr>
        <w:t xml:space="preserve">stock </w:t>
      </w:r>
      <w:r w:rsidRPr="0036495F">
        <w:rPr>
          <w:rFonts w:hint="eastAsia"/>
          <w:kern w:val="2"/>
          <w:sz w:val="24"/>
          <w:szCs w:val="24"/>
          <w:lang w:eastAsia="ja-JP"/>
        </w:rPr>
        <w:t xml:space="preserve">prices can be susceptible to </w:t>
      </w:r>
      <w:r w:rsidR="00C8401B" w:rsidRPr="0036495F">
        <w:rPr>
          <w:kern w:val="2"/>
          <w:sz w:val="24"/>
          <w:szCs w:val="24"/>
          <w:lang w:eastAsia="ja-JP"/>
        </w:rPr>
        <w:t xml:space="preserve">excess </w:t>
      </w:r>
      <w:r w:rsidRPr="0036495F">
        <w:rPr>
          <w:kern w:val="2"/>
          <w:sz w:val="24"/>
          <w:szCs w:val="24"/>
          <w:lang w:eastAsia="ja-JP"/>
        </w:rPr>
        <w:t xml:space="preserve">volatility </w:t>
      </w:r>
      <w:r w:rsidR="000E1A78" w:rsidRPr="0036495F">
        <w:rPr>
          <w:kern w:val="2"/>
          <w:sz w:val="24"/>
          <w:szCs w:val="24"/>
          <w:lang w:eastAsia="ja-JP"/>
        </w:rPr>
        <w:t xml:space="preserve">and </w:t>
      </w:r>
      <w:r w:rsidRPr="0036495F">
        <w:rPr>
          <w:rFonts w:hint="eastAsia"/>
          <w:kern w:val="2"/>
          <w:sz w:val="24"/>
          <w:szCs w:val="24"/>
          <w:lang w:eastAsia="ja-JP"/>
        </w:rPr>
        <w:t>bubbles</w:t>
      </w:r>
      <w:r w:rsidR="00C344F1" w:rsidRPr="0036495F">
        <w:rPr>
          <w:rFonts w:hint="eastAsia"/>
          <w:kern w:val="2"/>
          <w:sz w:val="24"/>
          <w:szCs w:val="24"/>
          <w:lang w:eastAsia="ja-JP"/>
        </w:rPr>
        <w:t xml:space="preserve"> (</w:t>
      </w:r>
      <w:r w:rsidR="00C344F1" w:rsidRPr="0036495F">
        <w:rPr>
          <w:kern w:val="2"/>
          <w:sz w:val="24"/>
          <w:szCs w:val="24"/>
          <w:lang w:eastAsia="ja-JP"/>
        </w:rPr>
        <w:t>Keynes</w:t>
      </w:r>
      <w:r w:rsidR="00C344F1" w:rsidRPr="0036495F">
        <w:rPr>
          <w:rFonts w:hint="eastAsia"/>
          <w:kern w:val="2"/>
          <w:sz w:val="24"/>
          <w:szCs w:val="24"/>
          <w:lang w:eastAsia="ja-JP"/>
        </w:rPr>
        <w:t xml:space="preserve"> 1936, Shiller 2000, Stiglitz 1989)</w:t>
      </w:r>
      <w:r w:rsidR="00C344F1" w:rsidRPr="0036495F">
        <w:rPr>
          <w:kern w:val="2"/>
          <w:sz w:val="24"/>
          <w:szCs w:val="24"/>
          <w:lang w:eastAsia="ja-JP"/>
        </w:rPr>
        <w:t>.</w:t>
      </w:r>
      <w:r w:rsidRPr="0036495F">
        <w:rPr>
          <w:rFonts w:hint="eastAsia"/>
          <w:kern w:val="2"/>
          <w:sz w:val="24"/>
          <w:szCs w:val="24"/>
          <w:lang w:eastAsia="ja-JP"/>
        </w:rPr>
        <w:t xml:space="preserve"> </w:t>
      </w:r>
      <w:r w:rsidR="009801E5" w:rsidRPr="0036495F">
        <w:rPr>
          <w:rFonts w:hint="eastAsia"/>
          <w:kern w:val="2"/>
          <w:sz w:val="24"/>
          <w:szCs w:val="24"/>
          <w:lang w:eastAsia="ja-JP"/>
        </w:rPr>
        <w:t xml:space="preserve">Standard finance theory, however, </w:t>
      </w:r>
      <w:r w:rsidR="009801E5" w:rsidRPr="0036495F">
        <w:rPr>
          <w:kern w:val="2"/>
          <w:sz w:val="24"/>
          <w:szCs w:val="24"/>
          <w:lang w:eastAsia="ja-JP"/>
        </w:rPr>
        <w:t xml:space="preserve">does not </w:t>
      </w:r>
      <w:r w:rsidR="00217E20">
        <w:rPr>
          <w:kern w:val="2"/>
          <w:sz w:val="24"/>
          <w:szCs w:val="24"/>
          <w:lang w:eastAsia="ja-JP"/>
        </w:rPr>
        <w:t>ass</w:t>
      </w:r>
      <w:r w:rsidR="00217E20">
        <w:rPr>
          <w:kern w:val="2"/>
          <w:sz w:val="24"/>
          <w:szCs w:val="24"/>
          <w:lang w:eastAsia="ja-JP"/>
        </w:rPr>
        <w:t>o</w:t>
      </w:r>
      <w:r w:rsidR="00217E20">
        <w:rPr>
          <w:kern w:val="2"/>
          <w:sz w:val="24"/>
          <w:szCs w:val="24"/>
          <w:lang w:eastAsia="ja-JP"/>
        </w:rPr>
        <w:t>ciate</w:t>
      </w:r>
      <w:r w:rsidR="009801E5" w:rsidRPr="0036495F">
        <w:rPr>
          <w:kern w:val="2"/>
          <w:sz w:val="24"/>
          <w:szCs w:val="24"/>
          <w:lang w:eastAsia="ja-JP"/>
        </w:rPr>
        <w:t xml:space="preserve"> </w:t>
      </w:r>
      <w:r w:rsidR="00217E20">
        <w:rPr>
          <w:kern w:val="2"/>
          <w:sz w:val="24"/>
          <w:szCs w:val="24"/>
          <w:lang w:eastAsia="ja-JP"/>
        </w:rPr>
        <w:t>these phenomena</w:t>
      </w:r>
      <w:r w:rsidR="009801E5" w:rsidRPr="0036495F">
        <w:rPr>
          <w:kern w:val="2"/>
          <w:sz w:val="24"/>
          <w:szCs w:val="24"/>
          <w:lang w:eastAsia="ja-JP"/>
        </w:rPr>
        <w:t xml:space="preserve"> </w:t>
      </w:r>
      <w:r w:rsidR="00217E20">
        <w:rPr>
          <w:kern w:val="2"/>
          <w:sz w:val="24"/>
          <w:szCs w:val="24"/>
          <w:lang w:eastAsia="ja-JP"/>
        </w:rPr>
        <w:t>with</w:t>
      </w:r>
      <w:r w:rsidR="009801E5" w:rsidRPr="0036495F">
        <w:rPr>
          <w:kern w:val="2"/>
          <w:sz w:val="24"/>
          <w:szCs w:val="24"/>
          <w:lang w:eastAsia="ja-JP"/>
        </w:rPr>
        <w:t xml:space="preserve"> </w:t>
      </w:r>
      <w:r w:rsidR="009801E5" w:rsidRPr="0036495F">
        <w:rPr>
          <w:rFonts w:hint="eastAsia"/>
          <w:kern w:val="2"/>
          <w:sz w:val="24"/>
          <w:szCs w:val="24"/>
          <w:lang w:eastAsia="ja-JP"/>
        </w:rPr>
        <w:t>speculati</w:t>
      </w:r>
      <w:r w:rsidR="00AB27F4">
        <w:rPr>
          <w:kern w:val="2"/>
          <w:sz w:val="24"/>
          <w:szCs w:val="24"/>
          <w:lang w:eastAsia="ja-JP"/>
        </w:rPr>
        <w:t>on</w:t>
      </w:r>
      <w:r w:rsidR="009801E5" w:rsidRPr="0036495F">
        <w:rPr>
          <w:rFonts w:hint="eastAsia"/>
          <w:kern w:val="2"/>
          <w:sz w:val="24"/>
          <w:szCs w:val="24"/>
          <w:lang w:eastAsia="ja-JP"/>
        </w:rPr>
        <w:t>. Even short-term speculators</w:t>
      </w:r>
      <w:r w:rsidR="009801E5" w:rsidRPr="0036495F">
        <w:rPr>
          <w:kern w:val="2"/>
          <w:sz w:val="24"/>
          <w:szCs w:val="24"/>
          <w:lang w:eastAsia="ja-JP"/>
        </w:rPr>
        <w:t xml:space="preserve"> are assumed to form rational expectations </w:t>
      </w:r>
      <w:r w:rsidR="009801E5" w:rsidRPr="0036495F">
        <w:rPr>
          <w:rFonts w:hint="eastAsia"/>
          <w:kern w:val="2"/>
          <w:sz w:val="24"/>
          <w:szCs w:val="24"/>
          <w:lang w:eastAsia="ja-JP"/>
        </w:rPr>
        <w:t>of future prices</w:t>
      </w:r>
      <w:r w:rsidR="00A62977" w:rsidRPr="0036495F">
        <w:rPr>
          <w:kern w:val="2"/>
          <w:sz w:val="24"/>
          <w:szCs w:val="24"/>
          <w:lang w:eastAsia="ja-JP"/>
        </w:rPr>
        <w:t xml:space="preserve">; they form </w:t>
      </w:r>
      <w:r w:rsidR="000E1A78" w:rsidRPr="0036495F">
        <w:rPr>
          <w:kern w:val="2"/>
          <w:sz w:val="24"/>
          <w:szCs w:val="24"/>
          <w:lang w:eastAsia="ja-JP"/>
        </w:rPr>
        <w:t>iterated exp</w:t>
      </w:r>
      <w:r w:rsidR="00A62977" w:rsidRPr="0036495F">
        <w:rPr>
          <w:kern w:val="2"/>
          <w:sz w:val="24"/>
          <w:szCs w:val="24"/>
          <w:lang w:eastAsia="ja-JP"/>
        </w:rPr>
        <w:t xml:space="preserve">ectations from near to distant future generations and conduct </w:t>
      </w:r>
      <w:r w:rsidR="00393CC1" w:rsidRPr="0036495F">
        <w:rPr>
          <w:kern w:val="2"/>
          <w:sz w:val="24"/>
          <w:szCs w:val="24"/>
          <w:lang w:eastAsia="ja-JP"/>
        </w:rPr>
        <w:t>backward induction</w:t>
      </w:r>
      <w:r w:rsidR="00625360" w:rsidRPr="0036495F">
        <w:rPr>
          <w:kern w:val="2"/>
          <w:sz w:val="24"/>
          <w:szCs w:val="24"/>
          <w:lang w:eastAsia="ja-JP"/>
        </w:rPr>
        <w:t xml:space="preserve"> to arrive at the present value of the sec</w:t>
      </w:r>
      <w:r w:rsidR="00625360" w:rsidRPr="0036495F">
        <w:rPr>
          <w:kern w:val="2"/>
          <w:sz w:val="24"/>
          <w:szCs w:val="24"/>
          <w:lang w:eastAsia="ja-JP"/>
        </w:rPr>
        <w:t>u</w:t>
      </w:r>
      <w:r w:rsidR="00625360" w:rsidRPr="0036495F">
        <w:rPr>
          <w:kern w:val="2"/>
          <w:sz w:val="24"/>
          <w:szCs w:val="24"/>
          <w:lang w:eastAsia="ja-JP"/>
        </w:rPr>
        <w:t xml:space="preserve">rity. In the resulting </w:t>
      </w:r>
      <w:r w:rsidR="009801E5" w:rsidRPr="0036495F">
        <w:rPr>
          <w:rFonts w:hint="eastAsia"/>
          <w:kern w:val="2"/>
          <w:sz w:val="24"/>
          <w:szCs w:val="24"/>
          <w:lang w:eastAsia="ja-JP"/>
        </w:rPr>
        <w:t>rational expectation equilibrium (REE)</w:t>
      </w:r>
      <w:r w:rsidR="00625360" w:rsidRPr="0036495F">
        <w:rPr>
          <w:kern w:val="2"/>
          <w:sz w:val="24"/>
          <w:szCs w:val="24"/>
          <w:lang w:eastAsia="ja-JP"/>
        </w:rPr>
        <w:t xml:space="preserve"> prices are equal to fundamental values</w:t>
      </w:r>
      <w:r w:rsidR="00A62977" w:rsidRPr="0036495F">
        <w:rPr>
          <w:kern w:val="2"/>
          <w:sz w:val="24"/>
          <w:szCs w:val="24"/>
          <w:lang w:eastAsia="ja-JP"/>
        </w:rPr>
        <w:t xml:space="preserve"> </w:t>
      </w:r>
      <w:r w:rsidR="00C344F1" w:rsidRPr="0036495F">
        <w:rPr>
          <w:kern w:val="2"/>
          <w:sz w:val="24"/>
          <w:szCs w:val="24"/>
          <w:lang w:eastAsia="ja-JP"/>
        </w:rPr>
        <w:t>(</w:t>
      </w:r>
      <w:r w:rsidR="002D5D95" w:rsidRPr="0036495F">
        <w:rPr>
          <w:kern w:val="2"/>
          <w:sz w:val="24"/>
          <w:szCs w:val="24"/>
          <w:lang w:eastAsia="ja-JP"/>
        </w:rPr>
        <w:t xml:space="preserve">Adam and </w:t>
      </w:r>
      <w:proofErr w:type="spellStart"/>
      <w:r w:rsidR="002D5D95" w:rsidRPr="0036495F">
        <w:rPr>
          <w:kern w:val="2"/>
          <w:sz w:val="24"/>
          <w:szCs w:val="24"/>
          <w:lang w:eastAsia="ja-JP"/>
        </w:rPr>
        <w:t>Marcet</w:t>
      </w:r>
      <w:proofErr w:type="spellEnd"/>
      <w:r w:rsidR="002D5D95" w:rsidRPr="0036495F">
        <w:rPr>
          <w:kern w:val="2"/>
          <w:sz w:val="24"/>
          <w:szCs w:val="24"/>
          <w:lang w:eastAsia="ja-JP"/>
        </w:rPr>
        <w:t xml:space="preserve"> 2011, </w:t>
      </w:r>
      <w:proofErr w:type="spellStart"/>
      <w:r w:rsidR="00C344F1" w:rsidRPr="0036495F">
        <w:rPr>
          <w:kern w:val="2"/>
          <w:sz w:val="24"/>
          <w:szCs w:val="24"/>
          <w:lang w:eastAsia="ja-JP"/>
        </w:rPr>
        <w:t>Brealey</w:t>
      </w:r>
      <w:proofErr w:type="spellEnd"/>
      <w:r w:rsidR="00C344F1" w:rsidRPr="0036495F">
        <w:rPr>
          <w:kern w:val="2"/>
          <w:sz w:val="24"/>
          <w:szCs w:val="24"/>
          <w:lang w:eastAsia="ja-JP"/>
        </w:rPr>
        <w:t xml:space="preserve"> et al. 2014, Tirole 1982)</w:t>
      </w:r>
      <w:r w:rsidR="009801E5" w:rsidRPr="0036495F">
        <w:rPr>
          <w:kern w:val="2"/>
          <w:sz w:val="24"/>
          <w:szCs w:val="24"/>
          <w:lang w:eastAsia="ja-JP"/>
        </w:rPr>
        <w:t>.</w:t>
      </w:r>
    </w:p>
    <w:p w14:paraId="55D683D5" w14:textId="31C92F53" w:rsidR="00271A7B" w:rsidRPr="0036495F" w:rsidRDefault="00906F3C" w:rsidP="00271A7B">
      <w:pPr>
        <w:spacing w:line="480" w:lineRule="auto"/>
        <w:ind w:firstLine="709"/>
        <w:jc w:val="both"/>
        <w:rPr>
          <w:kern w:val="2"/>
          <w:sz w:val="24"/>
          <w:szCs w:val="24"/>
          <w:lang w:eastAsia="ja-JP"/>
        </w:rPr>
      </w:pPr>
      <w:r>
        <w:rPr>
          <w:kern w:val="2"/>
          <w:sz w:val="24"/>
          <w:szCs w:val="24"/>
          <w:lang w:eastAsia="ja-JP"/>
        </w:rPr>
        <w:t xml:space="preserve">The </w:t>
      </w:r>
      <w:r w:rsidR="000A6DAE">
        <w:rPr>
          <w:kern w:val="2"/>
          <w:sz w:val="24"/>
          <w:szCs w:val="24"/>
          <w:lang w:eastAsia="ja-JP"/>
        </w:rPr>
        <w:t>REE</w:t>
      </w:r>
      <w:r w:rsidR="00217E20">
        <w:rPr>
          <w:kern w:val="2"/>
          <w:sz w:val="24"/>
          <w:szCs w:val="24"/>
          <w:lang w:eastAsia="ja-JP"/>
        </w:rPr>
        <w:t xml:space="preserve"> </w:t>
      </w:r>
      <w:r w:rsidR="00560553">
        <w:rPr>
          <w:kern w:val="2"/>
          <w:sz w:val="24"/>
          <w:szCs w:val="24"/>
          <w:lang w:eastAsia="ja-JP"/>
        </w:rPr>
        <w:t>outcomes</w:t>
      </w:r>
      <w:r w:rsidR="00217E20">
        <w:rPr>
          <w:kern w:val="2"/>
          <w:sz w:val="24"/>
          <w:szCs w:val="24"/>
          <w:lang w:eastAsia="ja-JP"/>
        </w:rPr>
        <w:t xml:space="preserve"> </w:t>
      </w:r>
      <w:r w:rsidR="00766656" w:rsidRPr="0036495F">
        <w:rPr>
          <w:kern w:val="2"/>
          <w:sz w:val="24"/>
          <w:szCs w:val="24"/>
          <w:lang w:eastAsia="ja-JP"/>
        </w:rPr>
        <w:t>depend on the assumption of common knowledge of rational</w:t>
      </w:r>
      <w:r w:rsidR="000A6DAE">
        <w:rPr>
          <w:kern w:val="2"/>
          <w:sz w:val="24"/>
          <w:szCs w:val="24"/>
          <w:lang w:eastAsia="ja-JP"/>
        </w:rPr>
        <w:t xml:space="preserve"> e</w:t>
      </w:r>
      <w:r w:rsidR="000A6DAE">
        <w:rPr>
          <w:kern w:val="2"/>
          <w:sz w:val="24"/>
          <w:szCs w:val="24"/>
          <w:lang w:eastAsia="ja-JP"/>
        </w:rPr>
        <w:t>x</w:t>
      </w:r>
      <w:r w:rsidR="000A6DAE">
        <w:rPr>
          <w:kern w:val="2"/>
          <w:sz w:val="24"/>
          <w:szCs w:val="24"/>
          <w:lang w:eastAsia="ja-JP"/>
        </w:rPr>
        <w:t xml:space="preserve">pectations </w:t>
      </w:r>
      <w:r w:rsidR="00766656" w:rsidRPr="0036495F">
        <w:rPr>
          <w:kern w:val="2"/>
          <w:sz w:val="24"/>
          <w:szCs w:val="24"/>
          <w:lang w:eastAsia="ja-JP"/>
        </w:rPr>
        <w:t>among all generations of investors (</w:t>
      </w:r>
      <w:r w:rsidR="00CD4AC1" w:rsidRPr="0036495F">
        <w:rPr>
          <w:kern w:val="2"/>
          <w:sz w:val="24"/>
          <w:szCs w:val="24"/>
          <w:lang w:eastAsia="ja-JP"/>
        </w:rPr>
        <w:t xml:space="preserve">Cheung et al. 2014, Smith et al. 1988, </w:t>
      </w:r>
      <w:proofErr w:type="spellStart"/>
      <w:r w:rsidR="00766656" w:rsidRPr="0036495F">
        <w:rPr>
          <w:kern w:val="2"/>
          <w:sz w:val="24"/>
          <w:szCs w:val="24"/>
          <w:lang w:eastAsia="ja-JP"/>
        </w:rPr>
        <w:t>Sutan</w:t>
      </w:r>
      <w:proofErr w:type="spellEnd"/>
      <w:r w:rsidR="00766656" w:rsidRPr="0036495F">
        <w:rPr>
          <w:kern w:val="2"/>
          <w:sz w:val="24"/>
          <w:szCs w:val="24"/>
          <w:lang w:eastAsia="ja-JP"/>
        </w:rPr>
        <w:t xml:space="preserve"> and </w:t>
      </w:r>
      <w:proofErr w:type="spellStart"/>
      <w:r w:rsidR="00766656" w:rsidRPr="0036495F">
        <w:rPr>
          <w:kern w:val="2"/>
          <w:sz w:val="24"/>
          <w:szCs w:val="24"/>
          <w:lang w:eastAsia="ja-JP"/>
        </w:rPr>
        <w:t>Willinger</w:t>
      </w:r>
      <w:proofErr w:type="spellEnd"/>
      <w:r w:rsidR="00766656" w:rsidRPr="0036495F">
        <w:rPr>
          <w:kern w:val="2"/>
          <w:sz w:val="24"/>
          <w:szCs w:val="24"/>
          <w:lang w:eastAsia="ja-JP"/>
        </w:rPr>
        <w:t xml:space="preserve"> 2009</w:t>
      </w:r>
      <w:r w:rsidR="00CD4AC1" w:rsidRPr="0036495F">
        <w:rPr>
          <w:kern w:val="2"/>
          <w:sz w:val="24"/>
          <w:szCs w:val="24"/>
          <w:lang w:eastAsia="ja-JP"/>
        </w:rPr>
        <w:t>)</w:t>
      </w:r>
      <w:r w:rsidR="00A84E35">
        <w:rPr>
          <w:kern w:val="2"/>
          <w:sz w:val="24"/>
          <w:szCs w:val="24"/>
          <w:lang w:eastAsia="ja-JP"/>
        </w:rPr>
        <w:t>:</w:t>
      </w:r>
      <w:r w:rsidR="00766656" w:rsidRPr="0036495F">
        <w:rPr>
          <w:kern w:val="2"/>
          <w:sz w:val="24"/>
          <w:szCs w:val="24"/>
          <w:lang w:eastAsia="ja-JP"/>
        </w:rPr>
        <w:t xml:space="preserve"> </w:t>
      </w:r>
      <w:r w:rsidR="00A84E35">
        <w:rPr>
          <w:kern w:val="2"/>
          <w:sz w:val="24"/>
          <w:szCs w:val="24"/>
          <w:lang w:eastAsia="ja-JP"/>
        </w:rPr>
        <w:t>i</w:t>
      </w:r>
      <w:r w:rsidR="000A6DAE">
        <w:rPr>
          <w:kern w:val="2"/>
          <w:sz w:val="24"/>
          <w:szCs w:val="24"/>
          <w:lang w:eastAsia="ja-JP"/>
        </w:rPr>
        <w:t>nvestors not only form rational expectations themselves, but also b</w:t>
      </w:r>
      <w:r w:rsidR="000A6DAE">
        <w:rPr>
          <w:kern w:val="2"/>
          <w:sz w:val="24"/>
          <w:szCs w:val="24"/>
          <w:lang w:eastAsia="ja-JP"/>
        </w:rPr>
        <w:t>e</w:t>
      </w:r>
      <w:bookmarkStart w:id="0" w:name="_GoBack"/>
      <w:bookmarkEnd w:id="0"/>
      <w:r w:rsidR="000A6DAE">
        <w:rPr>
          <w:kern w:val="2"/>
          <w:sz w:val="24"/>
          <w:szCs w:val="24"/>
          <w:lang w:eastAsia="ja-JP"/>
        </w:rPr>
        <w:t xml:space="preserve">lieve that all subsequent generations of investors </w:t>
      </w:r>
      <w:r w:rsidR="003E1371">
        <w:rPr>
          <w:kern w:val="2"/>
          <w:sz w:val="24"/>
          <w:szCs w:val="24"/>
          <w:lang w:eastAsia="ja-JP"/>
        </w:rPr>
        <w:t xml:space="preserve">also do the same. </w:t>
      </w:r>
      <w:r w:rsidR="003E660B" w:rsidRPr="0036495F">
        <w:rPr>
          <w:kern w:val="2"/>
          <w:sz w:val="24"/>
          <w:szCs w:val="24"/>
          <w:lang w:eastAsia="ja-JP"/>
        </w:rPr>
        <w:t>However, c</w:t>
      </w:r>
      <w:r w:rsidR="007E303A" w:rsidRPr="0036495F">
        <w:rPr>
          <w:kern w:val="2"/>
          <w:sz w:val="24"/>
          <w:szCs w:val="24"/>
          <w:lang w:eastAsia="ja-JP"/>
        </w:rPr>
        <w:t xml:space="preserve">ommon knowledge of rationality among agents </w:t>
      </w:r>
      <w:r w:rsidR="003E660B" w:rsidRPr="0036495F">
        <w:rPr>
          <w:kern w:val="2"/>
          <w:sz w:val="24"/>
          <w:szCs w:val="24"/>
          <w:lang w:eastAsia="ja-JP"/>
        </w:rPr>
        <w:t xml:space="preserve">is rarely </w:t>
      </w:r>
      <w:r w:rsidR="00560553">
        <w:rPr>
          <w:kern w:val="2"/>
          <w:sz w:val="24"/>
          <w:szCs w:val="24"/>
          <w:lang w:eastAsia="ja-JP"/>
        </w:rPr>
        <w:t>achieved</w:t>
      </w:r>
      <w:r w:rsidR="00560553" w:rsidRPr="0036495F">
        <w:rPr>
          <w:kern w:val="2"/>
          <w:sz w:val="24"/>
          <w:szCs w:val="24"/>
          <w:lang w:eastAsia="ja-JP"/>
        </w:rPr>
        <w:t xml:space="preserve"> </w:t>
      </w:r>
      <w:r w:rsidR="003E660B" w:rsidRPr="0036495F">
        <w:rPr>
          <w:kern w:val="2"/>
          <w:sz w:val="24"/>
          <w:szCs w:val="24"/>
          <w:lang w:eastAsia="ja-JP"/>
        </w:rPr>
        <w:t>in practice (</w:t>
      </w:r>
      <w:proofErr w:type="spellStart"/>
      <w:r w:rsidR="003E660B" w:rsidRPr="0036495F">
        <w:rPr>
          <w:kern w:val="2"/>
          <w:sz w:val="24"/>
          <w:szCs w:val="24"/>
          <w:lang w:eastAsia="ja-JP"/>
        </w:rPr>
        <w:t>Aumann</w:t>
      </w:r>
      <w:proofErr w:type="spellEnd"/>
      <w:r w:rsidR="003E660B" w:rsidRPr="0036495F">
        <w:rPr>
          <w:kern w:val="2"/>
          <w:sz w:val="24"/>
          <w:szCs w:val="24"/>
          <w:lang w:eastAsia="ja-JP"/>
        </w:rPr>
        <w:t xml:space="preserve"> 1995</w:t>
      </w:r>
      <w:r w:rsidR="00625360" w:rsidRPr="0036495F">
        <w:rPr>
          <w:kern w:val="2"/>
          <w:sz w:val="24"/>
          <w:szCs w:val="24"/>
          <w:lang w:eastAsia="ja-JP"/>
        </w:rPr>
        <w:t xml:space="preserve">, </w:t>
      </w:r>
      <w:proofErr w:type="spellStart"/>
      <w:r w:rsidR="0042646D" w:rsidRPr="0036495F">
        <w:rPr>
          <w:kern w:val="2"/>
          <w:sz w:val="24"/>
          <w:szCs w:val="24"/>
          <w:lang w:eastAsia="ja-JP"/>
        </w:rPr>
        <w:t>Geanakoplos</w:t>
      </w:r>
      <w:proofErr w:type="spellEnd"/>
      <w:r w:rsidR="0042646D" w:rsidRPr="0036495F">
        <w:rPr>
          <w:kern w:val="2"/>
          <w:sz w:val="24"/>
          <w:szCs w:val="24"/>
          <w:lang w:eastAsia="ja-JP"/>
        </w:rPr>
        <w:t xml:space="preserve"> 1992</w:t>
      </w:r>
      <w:r w:rsidR="003E660B" w:rsidRPr="0036495F">
        <w:rPr>
          <w:kern w:val="2"/>
          <w:sz w:val="24"/>
          <w:szCs w:val="24"/>
          <w:lang w:eastAsia="ja-JP"/>
        </w:rPr>
        <w:t>)</w:t>
      </w:r>
      <w:r w:rsidR="0076372A" w:rsidRPr="0036495F">
        <w:rPr>
          <w:kern w:val="2"/>
          <w:sz w:val="24"/>
          <w:szCs w:val="24"/>
          <w:lang w:eastAsia="ja-JP"/>
        </w:rPr>
        <w:t xml:space="preserve">. In </w:t>
      </w:r>
      <w:r w:rsidR="003E660B" w:rsidRPr="0036495F">
        <w:rPr>
          <w:kern w:val="2"/>
          <w:sz w:val="24"/>
          <w:szCs w:val="24"/>
          <w:lang w:eastAsia="ja-JP"/>
        </w:rPr>
        <w:t xml:space="preserve">experimental studies backward induction </w:t>
      </w:r>
      <w:r w:rsidR="0076372A" w:rsidRPr="0036495F">
        <w:rPr>
          <w:kern w:val="2"/>
          <w:sz w:val="24"/>
          <w:szCs w:val="24"/>
          <w:lang w:eastAsia="ja-JP"/>
        </w:rPr>
        <w:t xml:space="preserve">often </w:t>
      </w:r>
      <w:r w:rsidR="003524A1" w:rsidRPr="0036495F">
        <w:rPr>
          <w:kern w:val="2"/>
          <w:sz w:val="24"/>
          <w:szCs w:val="24"/>
          <w:lang w:eastAsia="ja-JP"/>
        </w:rPr>
        <w:t xml:space="preserve">fails due to </w:t>
      </w:r>
      <w:r w:rsidR="00CB5FA1" w:rsidRPr="0036495F">
        <w:rPr>
          <w:kern w:val="2"/>
          <w:sz w:val="24"/>
          <w:szCs w:val="24"/>
          <w:lang w:eastAsia="ja-JP"/>
        </w:rPr>
        <w:t>a</w:t>
      </w:r>
      <w:r w:rsidR="003524A1" w:rsidRPr="0036495F">
        <w:rPr>
          <w:kern w:val="2"/>
          <w:sz w:val="24"/>
          <w:szCs w:val="24"/>
          <w:lang w:eastAsia="ja-JP"/>
        </w:rPr>
        <w:t xml:space="preserve"> lack of common knowledge of rationality in several type</w:t>
      </w:r>
      <w:r w:rsidR="007757A8" w:rsidRPr="0036495F">
        <w:rPr>
          <w:kern w:val="2"/>
          <w:sz w:val="24"/>
          <w:szCs w:val="24"/>
          <w:lang w:eastAsia="ja-JP"/>
        </w:rPr>
        <w:t>s</w:t>
      </w:r>
      <w:r w:rsidR="003524A1" w:rsidRPr="0036495F">
        <w:rPr>
          <w:kern w:val="2"/>
          <w:sz w:val="24"/>
          <w:szCs w:val="24"/>
          <w:lang w:eastAsia="ja-JP"/>
        </w:rPr>
        <w:t xml:space="preserve"> of games</w:t>
      </w:r>
      <w:r w:rsidR="00F24942" w:rsidRPr="0036495F">
        <w:rPr>
          <w:kern w:val="2"/>
          <w:sz w:val="24"/>
          <w:szCs w:val="24"/>
          <w:lang w:eastAsia="ja-JP"/>
        </w:rPr>
        <w:t>,</w:t>
      </w:r>
      <w:r w:rsidR="003524A1" w:rsidRPr="0036495F">
        <w:rPr>
          <w:kern w:val="2"/>
          <w:sz w:val="24"/>
          <w:szCs w:val="24"/>
          <w:lang w:eastAsia="ja-JP"/>
        </w:rPr>
        <w:t xml:space="preserve"> </w:t>
      </w:r>
      <w:r w:rsidR="0076372A" w:rsidRPr="0036495F">
        <w:rPr>
          <w:kern w:val="2"/>
          <w:sz w:val="24"/>
          <w:szCs w:val="24"/>
          <w:lang w:eastAsia="ja-JP"/>
        </w:rPr>
        <w:t>such as the centipede game (</w:t>
      </w:r>
      <w:proofErr w:type="spellStart"/>
      <w:r w:rsidR="0076372A" w:rsidRPr="0036495F">
        <w:rPr>
          <w:kern w:val="2"/>
          <w:sz w:val="24"/>
          <w:szCs w:val="24"/>
          <w:lang w:eastAsia="ja-JP"/>
        </w:rPr>
        <w:t>McKelvey</w:t>
      </w:r>
      <w:proofErr w:type="spellEnd"/>
      <w:r w:rsidR="0076372A" w:rsidRPr="0036495F">
        <w:rPr>
          <w:kern w:val="2"/>
          <w:sz w:val="24"/>
          <w:szCs w:val="24"/>
          <w:lang w:eastAsia="ja-JP"/>
        </w:rPr>
        <w:t xml:space="preserve"> and Palfrey 1992),</w:t>
      </w:r>
      <w:r w:rsidR="00FB05E0" w:rsidRPr="0036495F">
        <w:rPr>
          <w:kern w:val="2"/>
          <w:sz w:val="24"/>
          <w:szCs w:val="24"/>
          <w:lang w:eastAsia="ja-JP"/>
        </w:rPr>
        <w:t xml:space="preserve"> </w:t>
      </w:r>
      <w:r w:rsidR="0076372A" w:rsidRPr="0036495F">
        <w:rPr>
          <w:kern w:val="2"/>
          <w:sz w:val="24"/>
          <w:szCs w:val="24"/>
          <w:lang w:eastAsia="ja-JP"/>
        </w:rPr>
        <w:t xml:space="preserve">bargaining </w:t>
      </w:r>
      <w:r w:rsidR="00FB05E0" w:rsidRPr="0036495F">
        <w:rPr>
          <w:kern w:val="2"/>
          <w:sz w:val="24"/>
          <w:szCs w:val="24"/>
          <w:lang w:eastAsia="ja-JP"/>
        </w:rPr>
        <w:t>game</w:t>
      </w:r>
      <w:r w:rsidR="007757A8" w:rsidRPr="0036495F">
        <w:rPr>
          <w:kern w:val="2"/>
          <w:sz w:val="24"/>
          <w:szCs w:val="24"/>
          <w:lang w:eastAsia="ja-JP"/>
        </w:rPr>
        <w:t>s</w:t>
      </w:r>
      <w:r w:rsidR="00FB05E0" w:rsidRPr="0036495F">
        <w:rPr>
          <w:kern w:val="2"/>
          <w:sz w:val="24"/>
          <w:szCs w:val="24"/>
          <w:lang w:eastAsia="ja-JP"/>
        </w:rPr>
        <w:t xml:space="preserve"> </w:t>
      </w:r>
      <w:r w:rsidR="003524A1" w:rsidRPr="0036495F">
        <w:rPr>
          <w:kern w:val="2"/>
          <w:sz w:val="24"/>
          <w:szCs w:val="24"/>
          <w:lang w:eastAsia="ja-JP"/>
        </w:rPr>
        <w:t>(Johnson et al. 200</w:t>
      </w:r>
      <w:r w:rsidR="002E5B9D" w:rsidRPr="0036495F">
        <w:rPr>
          <w:kern w:val="2"/>
          <w:sz w:val="24"/>
          <w:szCs w:val="24"/>
          <w:lang w:eastAsia="ja-JP"/>
        </w:rPr>
        <w:t>2</w:t>
      </w:r>
      <w:r w:rsidR="0076372A" w:rsidRPr="0036495F">
        <w:rPr>
          <w:kern w:val="2"/>
          <w:sz w:val="24"/>
          <w:szCs w:val="24"/>
          <w:lang w:eastAsia="ja-JP"/>
        </w:rPr>
        <w:t>)</w:t>
      </w:r>
      <w:r w:rsidR="003524A1" w:rsidRPr="0036495F">
        <w:rPr>
          <w:kern w:val="2"/>
          <w:sz w:val="24"/>
          <w:szCs w:val="24"/>
          <w:lang w:eastAsia="ja-JP"/>
        </w:rPr>
        <w:t xml:space="preserve">, </w:t>
      </w:r>
      <w:r w:rsidR="0076372A" w:rsidRPr="0036495F">
        <w:rPr>
          <w:kern w:val="2"/>
          <w:sz w:val="24"/>
          <w:szCs w:val="24"/>
          <w:lang w:eastAsia="ja-JP"/>
        </w:rPr>
        <w:t xml:space="preserve">and </w:t>
      </w:r>
      <w:r w:rsidR="00FB05E0" w:rsidRPr="0036495F">
        <w:rPr>
          <w:kern w:val="2"/>
          <w:sz w:val="24"/>
          <w:szCs w:val="24"/>
          <w:lang w:eastAsia="ja-JP"/>
        </w:rPr>
        <w:t xml:space="preserve">the </w:t>
      </w:r>
      <w:r w:rsidR="0076372A" w:rsidRPr="0036495F">
        <w:rPr>
          <w:kern w:val="2"/>
          <w:sz w:val="24"/>
          <w:szCs w:val="24"/>
          <w:lang w:eastAsia="ja-JP"/>
        </w:rPr>
        <w:t xml:space="preserve">beauty contest game (Nagel 1995, </w:t>
      </w:r>
      <w:proofErr w:type="spellStart"/>
      <w:r w:rsidR="0076372A" w:rsidRPr="0036495F">
        <w:rPr>
          <w:kern w:val="2"/>
          <w:sz w:val="24"/>
          <w:szCs w:val="24"/>
          <w:lang w:eastAsia="ja-JP"/>
        </w:rPr>
        <w:t>Camerer</w:t>
      </w:r>
      <w:proofErr w:type="spellEnd"/>
      <w:r w:rsidR="0076372A" w:rsidRPr="0036495F">
        <w:rPr>
          <w:kern w:val="2"/>
          <w:sz w:val="24"/>
          <w:szCs w:val="24"/>
          <w:lang w:eastAsia="ja-JP"/>
        </w:rPr>
        <w:t xml:space="preserve"> 2003)</w:t>
      </w:r>
      <w:r w:rsidR="003524A1" w:rsidRPr="0036495F">
        <w:rPr>
          <w:kern w:val="2"/>
          <w:sz w:val="24"/>
          <w:szCs w:val="24"/>
          <w:lang w:eastAsia="ja-JP"/>
        </w:rPr>
        <w:t xml:space="preserve">. </w:t>
      </w:r>
    </w:p>
    <w:p w14:paraId="218C5720" w14:textId="773B9013" w:rsidR="00A45E96" w:rsidRPr="0036495F" w:rsidRDefault="00ED6540" w:rsidP="00271A7B">
      <w:pPr>
        <w:spacing w:line="480" w:lineRule="auto"/>
        <w:ind w:firstLine="709"/>
        <w:jc w:val="both"/>
        <w:rPr>
          <w:kern w:val="2"/>
          <w:sz w:val="24"/>
          <w:szCs w:val="24"/>
          <w:lang w:eastAsia="ja-JP"/>
        </w:rPr>
      </w:pPr>
      <w:r w:rsidRPr="0036495F">
        <w:rPr>
          <w:kern w:val="2"/>
          <w:sz w:val="24"/>
          <w:szCs w:val="24"/>
          <w:lang w:eastAsia="ja-JP"/>
        </w:rPr>
        <w:t xml:space="preserve">Given this background, </w:t>
      </w:r>
      <w:r w:rsidR="0019106E" w:rsidRPr="0036495F">
        <w:rPr>
          <w:kern w:val="2"/>
          <w:sz w:val="24"/>
          <w:szCs w:val="24"/>
          <w:lang w:eastAsia="ja-JP"/>
        </w:rPr>
        <w:t xml:space="preserve">the assumption </w:t>
      </w:r>
      <w:r w:rsidR="008205FD" w:rsidRPr="0036495F">
        <w:rPr>
          <w:kern w:val="2"/>
          <w:sz w:val="24"/>
          <w:szCs w:val="24"/>
          <w:lang w:eastAsia="ja-JP"/>
        </w:rPr>
        <w:t>of</w:t>
      </w:r>
      <w:r w:rsidR="0019106E" w:rsidRPr="0036495F">
        <w:rPr>
          <w:kern w:val="2"/>
          <w:sz w:val="24"/>
          <w:szCs w:val="24"/>
          <w:lang w:eastAsia="ja-JP"/>
        </w:rPr>
        <w:t xml:space="preserve"> common knowledge of rational</w:t>
      </w:r>
      <w:r w:rsidR="003E1371">
        <w:rPr>
          <w:kern w:val="2"/>
          <w:sz w:val="24"/>
          <w:szCs w:val="24"/>
          <w:lang w:eastAsia="ja-JP"/>
        </w:rPr>
        <w:t xml:space="preserve"> expect</w:t>
      </w:r>
      <w:r w:rsidR="003E1371">
        <w:rPr>
          <w:kern w:val="2"/>
          <w:sz w:val="24"/>
          <w:szCs w:val="24"/>
          <w:lang w:eastAsia="ja-JP"/>
        </w:rPr>
        <w:t>a</w:t>
      </w:r>
      <w:r w:rsidR="003E1371">
        <w:rPr>
          <w:kern w:val="2"/>
          <w:sz w:val="24"/>
          <w:szCs w:val="24"/>
          <w:lang w:eastAsia="ja-JP"/>
        </w:rPr>
        <w:t xml:space="preserve">tions </w:t>
      </w:r>
      <w:r w:rsidR="0019106E" w:rsidRPr="0036495F">
        <w:rPr>
          <w:kern w:val="2"/>
          <w:sz w:val="24"/>
          <w:szCs w:val="24"/>
          <w:lang w:eastAsia="ja-JP"/>
        </w:rPr>
        <w:t xml:space="preserve">among generations of investors </w:t>
      </w:r>
      <w:r w:rsidR="000E5B7A">
        <w:rPr>
          <w:kern w:val="2"/>
          <w:sz w:val="24"/>
          <w:szCs w:val="24"/>
          <w:lang w:eastAsia="ja-JP"/>
        </w:rPr>
        <w:t xml:space="preserve">is </w:t>
      </w:r>
      <w:r w:rsidR="0019106E" w:rsidRPr="0036495F">
        <w:rPr>
          <w:kern w:val="2"/>
          <w:sz w:val="24"/>
          <w:szCs w:val="24"/>
          <w:lang w:eastAsia="ja-JP"/>
        </w:rPr>
        <w:t xml:space="preserve">too strong to hold in practice. </w:t>
      </w:r>
      <w:r w:rsidR="000E5B7A">
        <w:rPr>
          <w:kern w:val="2"/>
          <w:sz w:val="24"/>
          <w:szCs w:val="24"/>
          <w:lang w:eastAsia="ja-JP"/>
        </w:rPr>
        <w:t>Without it</w:t>
      </w:r>
      <w:r w:rsidR="00884775" w:rsidRPr="0036495F">
        <w:rPr>
          <w:kern w:val="2"/>
          <w:sz w:val="24"/>
          <w:szCs w:val="24"/>
          <w:lang w:eastAsia="ja-JP"/>
        </w:rPr>
        <w:t>,</w:t>
      </w:r>
      <w:r w:rsidR="0019106E" w:rsidRPr="0036495F">
        <w:rPr>
          <w:kern w:val="2"/>
          <w:sz w:val="24"/>
          <w:szCs w:val="24"/>
          <w:lang w:eastAsia="ja-JP"/>
        </w:rPr>
        <w:t xml:space="preserve"> short-term speculators should have difficulty in backward induction and </w:t>
      </w:r>
      <w:r w:rsidR="00C344F1" w:rsidRPr="0036495F">
        <w:rPr>
          <w:sz w:val="24"/>
          <w:szCs w:val="24"/>
        </w:rPr>
        <w:t xml:space="preserve">prices </w:t>
      </w:r>
      <w:r w:rsidR="00884775" w:rsidRPr="0036495F">
        <w:rPr>
          <w:sz w:val="24"/>
          <w:szCs w:val="24"/>
        </w:rPr>
        <w:t xml:space="preserve">should </w:t>
      </w:r>
      <w:r w:rsidR="00C344F1" w:rsidRPr="0036495F">
        <w:rPr>
          <w:sz w:val="24"/>
          <w:szCs w:val="24"/>
        </w:rPr>
        <w:t xml:space="preserve">no longer </w:t>
      </w:r>
      <w:r w:rsidR="00884775" w:rsidRPr="0036495F">
        <w:rPr>
          <w:sz w:val="24"/>
          <w:szCs w:val="24"/>
        </w:rPr>
        <w:t>be a</w:t>
      </w:r>
      <w:r w:rsidR="00884775" w:rsidRPr="0036495F">
        <w:rPr>
          <w:sz w:val="24"/>
          <w:szCs w:val="24"/>
        </w:rPr>
        <w:t>n</w:t>
      </w:r>
      <w:r w:rsidR="00884775" w:rsidRPr="0036495F">
        <w:rPr>
          <w:sz w:val="24"/>
          <w:szCs w:val="24"/>
        </w:rPr>
        <w:t xml:space="preserve">chored </w:t>
      </w:r>
      <w:r w:rsidR="00C344F1" w:rsidRPr="0036495F">
        <w:rPr>
          <w:sz w:val="24"/>
          <w:szCs w:val="24"/>
        </w:rPr>
        <w:t>to the fundamental value</w:t>
      </w:r>
      <w:r w:rsidR="00884775" w:rsidRPr="0036495F">
        <w:rPr>
          <w:sz w:val="24"/>
          <w:szCs w:val="24"/>
        </w:rPr>
        <w:t xml:space="preserve"> and </w:t>
      </w:r>
      <w:r w:rsidR="0036495F">
        <w:rPr>
          <w:sz w:val="24"/>
          <w:szCs w:val="24"/>
        </w:rPr>
        <w:t xml:space="preserve">may </w:t>
      </w:r>
      <w:r w:rsidR="00884775" w:rsidRPr="0036495F">
        <w:rPr>
          <w:sz w:val="24"/>
          <w:szCs w:val="24"/>
        </w:rPr>
        <w:t xml:space="preserve">wander </w:t>
      </w:r>
      <w:r w:rsidR="0086186F">
        <w:rPr>
          <w:sz w:val="24"/>
          <w:szCs w:val="24"/>
        </w:rPr>
        <w:t>away</w:t>
      </w:r>
      <w:r w:rsidR="00C344F1" w:rsidRPr="0036495F">
        <w:rPr>
          <w:sz w:val="24"/>
          <w:szCs w:val="24"/>
        </w:rPr>
        <w:t>.</w:t>
      </w:r>
      <w:r w:rsidR="0019106E" w:rsidRPr="0036495F">
        <w:rPr>
          <w:kern w:val="2"/>
          <w:sz w:val="24"/>
          <w:szCs w:val="24"/>
          <w:lang w:eastAsia="ja-JP"/>
        </w:rPr>
        <w:t xml:space="preserve"> </w:t>
      </w:r>
    </w:p>
    <w:p w14:paraId="1FF72AD0" w14:textId="0BAD8ED3" w:rsidR="00387639" w:rsidRPr="0036495F" w:rsidRDefault="00A45E96" w:rsidP="00271A7B">
      <w:pPr>
        <w:spacing w:line="480" w:lineRule="auto"/>
        <w:ind w:firstLine="709"/>
        <w:jc w:val="both"/>
        <w:rPr>
          <w:sz w:val="24"/>
          <w:lang w:eastAsia="ja-JP"/>
        </w:rPr>
      </w:pPr>
      <w:r w:rsidRPr="0036495F">
        <w:rPr>
          <w:kern w:val="2"/>
          <w:sz w:val="24"/>
          <w:szCs w:val="24"/>
          <w:lang w:eastAsia="ja-JP"/>
        </w:rPr>
        <w:lastRenderedPageBreak/>
        <w:t xml:space="preserve">In this paper, we </w:t>
      </w:r>
      <w:r w:rsidR="000D7C91" w:rsidRPr="0036495F">
        <w:rPr>
          <w:kern w:val="2"/>
          <w:sz w:val="24"/>
          <w:szCs w:val="24"/>
          <w:lang w:eastAsia="ja-JP"/>
        </w:rPr>
        <w:t xml:space="preserve">examine whether </w:t>
      </w:r>
      <w:r w:rsidR="00F24942" w:rsidRPr="0036495F">
        <w:rPr>
          <w:kern w:val="2"/>
          <w:sz w:val="24"/>
          <w:szCs w:val="24"/>
          <w:lang w:eastAsia="ja-JP"/>
        </w:rPr>
        <w:t>speculation causes price indeterminacy in financial markets</w:t>
      </w:r>
      <w:r w:rsidR="00B52BC7" w:rsidRPr="0036495F">
        <w:rPr>
          <w:kern w:val="2"/>
          <w:sz w:val="24"/>
          <w:szCs w:val="24"/>
          <w:lang w:eastAsia="ja-JP"/>
        </w:rPr>
        <w:t xml:space="preserve">. </w:t>
      </w:r>
      <w:r w:rsidR="00CB5FA1" w:rsidRPr="0036495F">
        <w:rPr>
          <w:kern w:val="2"/>
          <w:sz w:val="24"/>
          <w:szCs w:val="24"/>
          <w:lang w:eastAsia="ja-JP"/>
        </w:rPr>
        <w:t>W</w:t>
      </w:r>
      <w:r w:rsidR="009D565E" w:rsidRPr="0036495F">
        <w:rPr>
          <w:kern w:val="2"/>
          <w:sz w:val="24"/>
          <w:szCs w:val="24"/>
          <w:lang w:eastAsia="ja-JP"/>
        </w:rPr>
        <w:t>e conduct a laboratory experiment</w:t>
      </w:r>
      <w:r w:rsidR="00884775" w:rsidRPr="0036495F">
        <w:rPr>
          <w:kern w:val="2"/>
          <w:sz w:val="24"/>
          <w:szCs w:val="24"/>
          <w:lang w:eastAsia="ja-JP"/>
        </w:rPr>
        <w:t xml:space="preserve"> because </w:t>
      </w:r>
      <w:r w:rsidR="00387639" w:rsidRPr="0036495F">
        <w:rPr>
          <w:sz w:val="24"/>
          <w:lang w:eastAsia="ja-JP"/>
        </w:rPr>
        <w:t>i</w:t>
      </w:r>
      <w:r w:rsidR="00387639" w:rsidRPr="0036495F">
        <w:rPr>
          <w:kern w:val="2"/>
          <w:sz w:val="24"/>
          <w:szCs w:val="24"/>
          <w:lang w:eastAsia="ja-JP"/>
        </w:rPr>
        <w:t xml:space="preserve">t is </w:t>
      </w:r>
      <w:r w:rsidR="00884775" w:rsidRPr="0036495F">
        <w:rPr>
          <w:kern w:val="2"/>
          <w:sz w:val="24"/>
          <w:szCs w:val="24"/>
          <w:lang w:eastAsia="ja-JP"/>
        </w:rPr>
        <w:t>not possible</w:t>
      </w:r>
      <w:r w:rsidR="00884775" w:rsidRPr="0036495F">
        <w:rPr>
          <w:sz w:val="24"/>
          <w:lang w:eastAsia="ja-JP"/>
        </w:rPr>
        <w:t xml:space="preserve"> </w:t>
      </w:r>
      <w:r w:rsidR="00EB5A5B" w:rsidRPr="0036495F">
        <w:rPr>
          <w:sz w:val="24"/>
          <w:lang w:eastAsia="ja-JP"/>
        </w:rPr>
        <w:t xml:space="preserve">to distinguish </w:t>
      </w:r>
      <w:r w:rsidR="0086186F">
        <w:rPr>
          <w:sz w:val="24"/>
          <w:lang w:eastAsia="ja-JP"/>
        </w:rPr>
        <w:t xml:space="preserve">capital gains-focused </w:t>
      </w:r>
      <w:r w:rsidR="00EB5A5B" w:rsidRPr="0036495F">
        <w:rPr>
          <w:sz w:val="24"/>
          <w:lang w:eastAsia="ja-JP"/>
        </w:rPr>
        <w:t>speculati</w:t>
      </w:r>
      <w:r w:rsidR="0073170F" w:rsidRPr="0036495F">
        <w:rPr>
          <w:sz w:val="24"/>
          <w:lang w:eastAsia="ja-JP"/>
        </w:rPr>
        <w:t>ve</w:t>
      </w:r>
      <w:r w:rsidR="00EB5A5B" w:rsidRPr="0036495F">
        <w:rPr>
          <w:sz w:val="24"/>
          <w:lang w:eastAsia="ja-JP"/>
        </w:rPr>
        <w:t xml:space="preserve"> </w:t>
      </w:r>
      <w:r w:rsidR="00F24942" w:rsidRPr="0036495F">
        <w:rPr>
          <w:sz w:val="24"/>
          <w:lang w:eastAsia="ja-JP"/>
        </w:rPr>
        <w:t>trading</w:t>
      </w:r>
      <w:r w:rsidR="0073170F" w:rsidRPr="0036495F">
        <w:rPr>
          <w:sz w:val="24"/>
          <w:lang w:eastAsia="ja-JP"/>
        </w:rPr>
        <w:t xml:space="preserve"> </w:t>
      </w:r>
      <w:r w:rsidR="00EB5A5B" w:rsidRPr="0036495F">
        <w:rPr>
          <w:sz w:val="24"/>
          <w:lang w:eastAsia="ja-JP"/>
        </w:rPr>
        <w:t xml:space="preserve">from non-speculative </w:t>
      </w:r>
      <w:r w:rsidR="00F24942" w:rsidRPr="0036495F">
        <w:rPr>
          <w:sz w:val="24"/>
          <w:lang w:eastAsia="ja-JP"/>
        </w:rPr>
        <w:t>trading</w:t>
      </w:r>
      <w:r w:rsidR="00884775" w:rsidRPr="0036495F">
        <w:rPr>
          <w:sz w:val="24"/>
          <w:lang w:eastAsia="ja-JP"/>
        </w:rPr>
        <w:t xml:space="preserve"> in </w:t>
      </w:r>
      <w:r w:rsidR="0086186F">
        <w:rPr>
          <w:sz w:val="24"/>
          <w:lang w:eastAsia="ja-JP"/>
        </w:rPr>
        <w:t xml:space="preserve">field </w:t>
      </w:r>
      <w:r w:rsidR="00884775" w:rsidRPr="0036495F">
        <w:rPr>
          <w:sz w:val="24"/>
          <w:lang w:eastAsia="ja-JP"/>
        </w:rPr>
        <w:t>data</w:t>
      </w:r>
      <w:r w:rsidR="00387639" w:rsidRPr="0036495F">
        <w:rPr>
          <w:sz w:val="24"/>
          <w:lang w:eastAsia="ja-JP"/>
        </w:rPr>
        <w:t xml:space="preserve">. </w:t>
      </w:r>
      <w:r w:rsidR="00F24942" w:rsidRPr="0036495F">
        <w:rPr>
          <w:sz w:val="24"/>
          <w:lang w:eastAsia="ja-JP"/>
        </w:rPr>
        <w:t xml:space="preserve">Even if we </w:t>
      </w:r>
      <w:r w:rsidR="00AF6B28" w:rsidRPr="0036495F">
        <w:rPr>
          <w:sz w:val="24"/>
          <w:lang w:eastAsia="ja-JP"/>
        </w:rPr>
        <w:t>can identify</w:t>
      </w:r>
      <w:r w:rsidR="00F24942" w:rsidRPr="0036495F">
        <w:rPr>
          <w:sz w:val="24"/>
          <w:lang w:eastAsia="ja-JP"/>
        </w:rPr>
        <w:t xml:space="preserve"> speculative trading and </w:t>
      </w:r>
      <w:r w:rsidR="0086186F">
        <w:rPr>
          <w:sz w:val="24"/>
          <w:lang w:eastAsia="ja-JP"/>
        </w:rPr>
        <w:t xml:space="preserve">its effect on </w:t>
      </w:r>
      <w:r w:rsidR="00F24942" w:rsidRPr="0036495F">
        <w:rPr>
          <w:sz w:val="24"/>
          <w:lang w:eastAsia="ja-JP"/>
        </w:rPr>
        <w:t xml:space="preserve">price volatility, </w:t>
      </w:r>
      <w:r w:rsidR="006907FB">
        <w:rPr>
          <w:sz w:val="24"/>
          <w:lang w:eastAsia="ja-JP"/>
        </w:rPr>
        <w:t>it is difficult to</w:t>
      </w:r>
      <w:r w:rsidR="00F24942" w:rsidRPr="0036495F">
        <w:rPr>
          <w:sz w:val="24"/>
          <w:lang w:eastAsia="ja-JP"/>
        </w:rPr>
        <w:t xml:space="preserve"> know whether </w:t>
      </w:r>
      <w:r w:rsidR="00EE4596" w:rsidRPr="0036495F">
        <w:rPr>
          <w:sz w:val="24"/>
          <w:lang w:eastAsia="ja-JP"/>
        </w:rPr>
        <w:t xml:space="preserve">it </w:t>
      </w:r>
      <w:r w:rsidR="00AF6B28" w:rsidRPr="0036495F">
        <w:rPr>
          <w:sz w:val="24"/>
          <w:lang w:eastAsia="ja-JP"/>
        </w:rPr>
        <w:t xml:space="preserve">arises </w:t>
      </w:r>
      <w:r w:rsidR="00EE4596" w:rsidRPr="0036495F">
        <w:rPr>
          <w:sz w:val="24"/>
          <w:lang w:eastAsia="ja-JP"/>
        </w:rPr>
        <w:t xml:space="preserve">from </w:t>
      </w:r>
      <w:r w:rsidR="003E4665" w:rsidRPr="0036495F">
        <w:rPr>
          <w:sz w:val="24"/>
          <w:lang w:eastAsia="ja-JP"/>
        </w:rPr>
        <w:t xml:space="preserve">investors’ </w:t>
      </w:r>
      <w:r w:rsidR="00EE4596" w:rsidRPr="0036495F">
        <w:rPr>
          <w:sz w:val="24"/>
          <w:lang w:eastAsia="ja-JP"/>
        </w:rPr>
        <w:t>difficulty in forming rational expectations.</w:t>
      </w:r>
      <w:r w:rsidR="00EE4596" w:rsidRPr="0036495F">
        <w:rPr>
          <w:rStyle w:val="Funotenzeichen"/>
          <w:sz w:val="24"/>
          <w:lang w:eastAsia="ja-JP"/>
        </w:rPr>
        <w:footnoteReference w:id="6"/>
      </w:r>
      <w:r w:rsidR="00EE4596" w:rsidRPr="0036495F">
        <w:rPr>
          <w:sz w:val="24"/>
          <w:lang w:eastAsia="ja-JP"/>
        </w:rPr>
        <w:t xml:space="preserve"> </w:t>
      </w:r>
      <w:r w:rsidR="00D67A2E" w:rsidRPr="0036495F">
        <w:rPr>
          <w:sz w:val="24"/>
          <w:lang w:eastAsia="ja-JP"/>
        </w:rPr>
        <w:t>Furthermore</w:t>
      </w:r>
      <w:r w:rsidR="00387639" w:rsidRPr="0036495F">
        <w:rPr>
          <w:sz w:val="24"/>
          <w:lang w:eastAsia="ja-JP"/>
        </w:rPr>
        <w:t xml:space="preserve">, </w:t>
      </w:r>
      <w:r w:rsidR="00EB5A5B" w:rsidRPr="0036495F">
        <w:rPr>
          <w:rFonts w:hint="eastAsia"/>
          <w:sz w:val="24"/>
          <w:lang w:eastAsia="ja-JP"/>
        </w:rPr>
        <w:t>the fund</w:t>
      </w:r>
      <w:r w:rsidR="00EB5A5B" w:rsidRPr="0036495F">
        <w:rPr>
          <w:rFonts w:hint="eastAsia"/>
          <w:sz w:val="24"/>
          <w:lang w:eastAsia="ja-JP"/>
        </w:rPr>
        <w:t>a</w:t>
      </w:r>
      <w:r w:rsidR="00EB5A5B" w:rsidRPr="0036495F">
        <w:rPr>
          <w:rFonts w:hint="eastAsia"/>
          <w:sz w:val="24"/>
          <w:lang w:eastAsia="ja-JP"/>
        </w:rPr>
        <w:t>mental value of the security</w:t>
      </w:r>
      <w:r w:rsidR="00EB5A5B" w:rsidRPr="0036495F">
        <w:rPr>
          <w:sz w:val="24"/>
          <w:lang w:eastAsia="ja-JP"/>
        </w:rPr>
        <w:t xml:space="preserve"> to serve</w:t>
      </w:r>
      <w:r w:rsidR="00EB5A5B" w:rsidRPr="0036495F">
        <w:rPr>
          <w:rFonts w:hint="eastAsia"/>
          <w:sz w:val="24"/>
          <w:lang w:eastAsia="ja-JP"/>
        </w:rPr>
        <w:t xml:space="preserve"> as a benchmark for </w:t>
      </w:r>
      <w:r w:rsidR="00EB5A5B" w:rsidRPr="0036495F">
        <w:rPr>
          <w:sz w:val="24"/>
          <w:lang w:eastAsia="ja-JP"/>
        </w:rPr>
        <w:t>measuring</w:t>
      </w:r>
      <w:r w:rsidR="00EB5A5B" w:rsidRPr="0036495F">
        <w:rPr>
          <w:rFonts w:hint="eastAsia"/>
          <w:sz w:val="24"/>
          <w:lang w:eastAsia="ja-JP"/>
        </w:rPr>
        <w:t xml:space="preserve"> </w:t>
      </w:r>
      <w:r w:rsidR="00386E0E">
        <w:rPr>
          <w:sz w:val="24"/>
          <w:lang w:eastAsia="ja-JP"/>
        </w:rPr>
        <w:t>mispricing</w:t>
      </w:r>
      <w:r w:rsidR="00EB5A5B" w:rsidRPr="0036495F">
        <w:rPr>
          <w:rFonts w:hint="eastAsia"/>
          <w:sz w:val="24"/>
          <w:lang w:eastAsia="ja-JP"/>
        </w:rPr>
        <w:t xml:space="preserve"> is rarely </w:t>
      </w:r>
      <w:r w:rsidR="00AF6B28" w:rsidRPr="0036495F">
        <w:rPr>
          <w:sz w:val="24"/>
          <w:lang w:eastAsia="ja-JP"/>
        </w:rPr>
        <w:t>ide</w:t>
      </w:r>
      <w:r w:rsidR="00AF6B28" w:rsidRPr="0036495F">
        <w:rPr>
          <w:sz w:val="24"/>
          <w:lang w:eastAsia="ja-JP"/>
        </w:rPr>
        <w:t>n</w:t>
      </w:r>
      <w:r w:rsidR="00AF6B28" w:rsidRPr="0036495F">
        <w:rPr>
          <w:sz w:val="24"/>
          <w:lang w:eastAsia="ja-JP"/>
        </w:rPr>
        <w:t>tifiable in the field</w:t>
      </w:r>
      <w:r w:rsidR="00EB5A5B" w:rsidRPr="0036495F">
        <w:rPr>
          <w:rFonts w:hint="eastAsia"/>
          <w:sz w:val="24"/>
          <w:lang w:eastAsia="ja-JP"/>
        </w:rPr>
        <w:t>.</w:t>
      </w:r>
      <w:r w:rsidR="00EB5A5B" w:rsidRPr="0036495F">
        <w:rPr>
          <w:rStyle w:val="Funotenzeichen"/>
          <w:sz w:val="24"/>
          <w:lang w:eastAsia="ja-JP"/>
        </w:rPr>
        <w:footnoteReference w:id="7"/>
      </w:r>
      <w:r w:rsidR="00EB5A5B" w:rsidRPr="0036495F">
        <w:rPr>
          <w:rFonts w:hint="eastAsia"/>
          <w:sz w:val="24"/>
          <w:lang w:eastAsia="ja-JP"/>
        </w:rPr>
        <w:t xml:space="preserve"> We therefore </w:t>
      </w:r>
      <w:r w:rsidR="00A96B72" w:rsidRPr="0036495F">
        <w:rPr>
          <w:sz w:val="24"/>
          <w:lang w:eastAsia="ja-JP"/>
        </w:rPr>
        <w:t>chose the</w:t>
      </w:r>
      <w:r w:rsidR="00EB5A5B" w:rsidRPr="0036495F">
        <w:rPr>
          <w:rFonts w:hint="eastAsia"/>
          <w:sz w:val="24"/>
          <w:lang w:eastAsia="ja-JP"/>
        </w:rPr>
        <w:t xml:space="preserve"> experimental approach where </w:t>
      </w:r>
      <w:r w:rsidR="00EB5A5B" w:rsidRPr="0036495F">
        <w:rPr>
          <w:sz w:val="24"/>
          <w:lang w:eastAsia="ja-JP"/>
        </w:rPr>
        <w:t>we</w:t>
      </w:r>
      <w:r w:rsidR="00EB5A5B" w:rsidRPr="0036495F">
        <w:rPr>
          <w:rFonts w:hint="eastAsia"/>
          <w:sz w:val="24"/>
          <w:lang w:eastAsia="ja-JP"/>
        </w:rPr>
        <w:t xml:space="preserve"> </w:t>
      </w:r>
      <w:r w:rsidR="00387639" w:rsidRPr="0036495F">
        <w:rPr>
          <w:sz w:val="24"/>
          <w:lang w:eastAsia="ja-JP"/>
        </w:rPr>
        <w:t xml:space="preserve">can </w:t>
      </w:r>
      <w:r w:rsidR="00387639" w:rsidRPr="0036495F">
        <w:rPr>
          <w:rFonts w:hint="eastAsia"/>
          <w:sz w:val="24"/>
          <w:lang w:eastAsia="ja-JP"/>
        </w:rPr>
        <w:t xml:space="preserve">control the </w:t>
      </w:r>
      <w:r w:rsidR="00D67A2E" w:rsidRPr="0036495F">
        <w:rPr>
          <w:sz w:val="24"/>
          <w:lang w:eastAsia="ja-JP"/>
        </w:rPr>
        <w:t xml:space="preserve">presence </w:t>
      </w:r>
      <w:r w:rsidR="00387639" w:rsidRPr="0036495F">
        <w:rPr>
          <w:sz w:val="24"/>
          <w:lang w:eastAsia="ja-JP"/>
        </w:rPr>
        <w:t>of speculating investors</w:t>
      </w:r>
      <w:r w:rsidR="00D67A2E" w:rsidRPr="0036495F">
        <w:rPr>
          <w:sz w:val="24"/>
          <w:lang w:eastAsia="ja-JP"/>
        </w:rPr>
        <w:t xml:space="preserve">, focus on the </w:t>
      </w:r>
      <w:r w:rsidR="00412176" w:rsidRPr="0036495F">
        <w:rPr>
          <w:sz w:val="24"/>
          <w:lang w:eastAsia="ja-JP"/>
        </w:rPr>
        <w:t>feasibility</w:t>
      </w:r>
      <w:r w:rsidR="00386E0E">
        <w:rPr>
          <w:sz w:val="24"/>
          <w:lang w:eastAsia="ja-JP"/>
        </w:rPr>
        <w:t xml:space="preserve"> of rational expectations</w:t>
      </w:r>
      <w:r w:rsidR="00D67A2E" w:rsidRPr="0036495F">
        <w:rPr>
          <w:sz w:val="24"/>
          <w:lang w:eastAsia="ja-JP"/>
        </w:rPr>
        <w:t>,</w:t>
      </w:r>
      <w:r w:rsidR="00387639" w:rsidRPr="0036495F">
        <w:rPr>
          <w:sz w:val="24"/>
          <w:lang w:eastAsia="ja-JP"/>
        </w:rPr>
        <w:t xml:space="preserve"> and </w:t>
      </w:r>
      <w:r w:rsidR="00386E0E">
        <w:rPr>
          <w:sz w:val="24"/>
          <w:lang w:eastAsia="ja-JP"/>
        </w:rPr>
        <w:t>define</w:t>
      </w:r>
      <w:r w:rsidR="00EB5A5B" w:rsidRPr="0036495F">
        <w:rPr>
          <w:rFonts w:hint="eastAsia"/>
          <w:sz w:val="24"/>
          <w:lang w:eastAsia="ja-JP"/>
        </w:rPr>
        <w:t xml:space="preserve"> the </w:t>
      </w:r>
      <w:r w:rsidR="00386E0E">
        <w:rPr>
          <w:sz w:val="24"/>
          <w:lang w:eastAsia="ja-JP"/>
        </w:rPr>
        <w:t xml:space="preserve">asset’s </w:t>
      </w:r>
      <w:r w:rsidR="00EB5A5B" w:rsidRPr="0036495F">
        <w:rPr>
          <w:rFonts w:hint="eastAsia"/>
          <w:sz w:val="24"/>
          <w:lang w:eastAsia="ja-JP"/>
        </w:rPr>
        <w:t>fundamental value in the laboratory.</w:t>
      </w:r>
    </w:p>
    <w:p w14:paraId="4EE08D66" w14:textId="43132C2D" w:rsidR="005C2BF1" w:rsidRPr="00D6748C" w:rsidRDefault="005C2BF1" w:rsidP="00D6748C">
      <w:pPr>
        <w:pStyle w:val="Funotentext"/>
        <w:spacing w:line="480" w:lineRule="auto"/>
        <w:ind w:firstLine="709"/>
        <w:rPr>
          <w:sz w:val="24"/>
          <w:szCs w:val="24"/>
        </w:rPr>
      </w:pPr>
      <w:r w:rsidRPr="00D6748C">
        <w:rPr>
          <w:sz w:val="24"/>
          <w:szCs w:val="24"/>
        </w:rPr>
        <w:t xml:space="preserve">Although there have been numerous asset market experiments, the question whether speculation causes price volatility or bubbles remains unresolved. </w:t>
      </w:r>
      <w:r>
        <w:rPr>
          <w:sz w:val="24"/>
          <w:szCs w:val="24"/>
        </w:rPr>
        <w:t>I</w:t>
      </w:r>
      <w:r w:rsidRPr="00D6748C">
        <w:rPr>
          <w:sz w:val="24"/>
          <w:szCs w:val="24"/>
        </w:rPr>
        <w:t>n the most commonly used design, introduced by Smith et al. (1988), price bubbles have been observed frequently and some researchers (including Smith et al. 1988) interpreted the bubbles as a result of spe</w:t>
      </w:r>
      <w:r w:rsidRPr="00D6748C">
        <w:rPr>
          <w:sz w:val="24"/>
          <w:szCs w:val="24"/>
        </w:rPr>
        <w:t>c</w:t>
      </w:r>
      <w:r w:rsidRPr="00D6748C">
        <w:rPr>
          <w:sz w:val="24"/>
          <w:szCs w:val="24"/>
        </w:rPr>
        <w:t>ulative trading on others’ irrationality. However, in their experimental setting, it is difficult to judge whether the bubbles occur due to the traders’ speculation or their confusion about the fundamental value. Indeed, Lei et al. (2000) repeated that experiment but prevented specul</w:t>
      </w:r>
      <w:r w:rsidRPr="00D6748C">
        <w:rPr>
          <w:sz w:val="24"/>
          <w:szCs w:val="24"/>
        </w:rPr>
        <w:t>a</w:t>
      </w:r>
      <w:r w:rsidRPr="00D6748C">
        <w:rPr>
          <w:sz w:val="24"/>
          <w:szCs w:val="24"/>
        </w:rPr>
        <w:t>tion by forbidding re-sales. They still observed bubbles and concluded that bubbles in their setting occur due to traders’ confusion (see also Kirchler et al. 2012).</w:t>
      </w:r>
      <w:r w:rsidRPr="0036495F">
        <w:rPr>
          <w:rStyle w:val="Funotenzeichen"/>
          <w:sz w:val="24"/>
        </w:rPr>
        <w:footnoteReference w:id="8"/>
      </w:r>
      <w:r w:rsidRPr="0036495F">
        <w:rPr>
          <w:sz w:val="24"/>
        </w:rPr>
        <w:t xml:space="preserve"> </w:t>
      </w:r>
    </w:p>
    <w:p w14:paraId="68322C46" w14:textId="7741C73D" w:rsidR="007A66EE" w:rsidRPr="0036495F" w:rsidRDefault="007A66EE" w:rsidP="00CB5FA1">
      <w:pPr>
        <w:spacing w:line="480" w:lineRule="auto"/>
        <w:ind w:right="-45" w:firstLine="709"/>
        <w:jc w:val="both"/>
        <w:rPr>
          <w:sz w:val="24"/>
          <w:lang w:eastAsia="ja-JP"/>
        </w:rPr>
      </w:pPr>
      <w:r w:rsidRPr="0036495F">
        <w:rPr>
          <w:rFonts w:hint="eastAsia"/>
          <w:sz w:val="24"/>
          <w:lang w:eastAsia="ja-JP"/>
        </w:rPr>
        <w:lastRenderedPageBreak/>
        <w:t xml:space="preserve">Hirota and Sunder (2007) and </w:t>
      </w:r>
      <w:proofErr w:type="spellStart"/>
      <w:r w:rsidRPr="0036495F">
        <w:rPr>
          <w:sz w:val="24"/>
          <w:lang w:eastAsia="ja-JP"/>
        </w:rPr>
        <w:t>Moinas</w:t>
      </w:r>
      <w:proofErr w:type="spellEnd"/>
      <w:r w:rsidRPr="0036495F">
        <w:rPr>
          <w:sz w:val="24"/>
          <w:lang w:eastAsia="ja-JP"/>
        </w:rPr>
        <w:t xml:space="preserve"> and </w:t>
      </w:r>
      <w:proofErr w:type="spellStart"/>
      <w:r w:rsidRPr="0036495F">
        <w:rPr>
          <w:sz w:val="24"/>
          <w:lang w:eastAsia="ja-JP"/>
        </w:rPr>
        <w:t>Pouget</w:t>
      </w:r>
      <w:proofErr w:type="spellEnd"/>
      <w:r w:rsidRPr="0036495F">
        <w:rPr>
          <w:sz w:val="24"/>
          <w:lang w:eastAsia="ja-JP"/>
        </w:rPr>
        <w:t xml:space="preserve"> (2013) conducted experiments that are directly related to speculation in financial markets. </w:t>
      </w:r>
      <w:r w:rsidR="00CB5FA1" w:rsidRPr="0036495F">
        <w:rPr>
          <w:sz w:val="24"/>
          <w:lang w:eastAsia="ja-JP"/>
        </w:rPr>
        <w:t xml:space="preserve">In their bubble game experiment, </w:t>
      </w:r>
      <w:proofErr w:type="spellStart"/>
      <w:r w:rsidR="00CB5FA1" w:rsidRPr="0036495F">
        <w:rPr>
          <w:sz w:val="24"/>
          <w:lang w:eastAsia="ja-JP"/>
        </w:rPr>
        <w:t>Moinas</w:t>
      </w:r>
      <w:proofErr w:type="spellEnd"/>
      <w:r w:rsidR="00CB5FA1" w:rsidRPr="0036495F">
        <w:rPr>
          <w:sz w:val="24"/>
          <w:lang w:eastAsia="ja-JP"/>
        </w:rPr>
        <w:t xml:space="preserve"> and </w:t>
      </w:r>
      <w:proofErr w:type="spellStart"/>
      <w:r w:rsidR="00CB5FA1" w:rsidRPr="0036495F">
        <w:rPr>
          <w:sz w:val="24"/>
          <w:lang w:eastAsia="ja-JP"/>
        </w:rPr>
        <w:t>Pouget</w:t>
      </w:r>
      <w:proofErr w:type="spellEnd"/>
      <w:r w:rsidR="00CB5FA1" w:rsidRPr="0036495F">
        <w:rPr>
          <w:sz w:val="24"/>
          <w:lang w:eastAsia="ja-JP"/>
        </w:rPr>
        <w:t xml:space="preserve"> (2013) present evidence </w:t>
      </w:r>
      <w:r w:rsidR="006907FB">
        <w:rPr>
          <w:sz w:val="24"/>
          <w:lang w:eastAsia="ja-JP"/>
        </w:rPr>
        <w:t xml:space="preserve">counter </w:t>
      </w:r>
      <w:r w:rsidR="00CB5FA1" w:rsidRPr="0036495F">
        <w:rPr>
          <w:sz w:val="24"/>
          <w:lang w:eastAsia="ja-JP"/>
        </w:rPr>
        <w:t xml:space="preserve">to standard finance theory on speculation. They show that subjects often buy the security at prices </w:t>
      </w:r>
      <w:r w:rsidR="00326EB8">
        <w:rPr>
          <w:sz w:val="24"/>
          <w:lang w:eastAsia="ja-JP"/>
        </w:rPr>
        <w:t>exceeding</w:t>
      </w:r>
      <w:r w:rsidR="00CB5FA1" w:rsidRPr="0036495F">
        <w:rPr>
          <w:sz w:val="24"/>
          <w:lang w:eastAsia="ja-JP"/>
        </w:rPr>
        <w:t xml:space="preserve"> </w:t>
      </w:r>
      <w:r w:rsidR="007434C5" w:rsidRPr="0036495F">
        <w:rPr>
          <w:sz w:val="24"/>
          <w:lang w:eastAsia="ja-JP"/>
        </w:rPr>
        <w:t xml:space="preserve">its </w:t>
      </w:r>
      <w:r w:rsidR="00CB5FA1" w:rsidRPr="0036495F">
        <w:rPr>
          <w:sz w:val="24"/>
          <w:lang w:eastAsia="ja-JP"/>
        </w:rPr>
        <w:t>fundamental value even when bubbles are (theoretically) ruled out by backward induction. They also find that the pr</w:t>
      </w:r>
      <w:r w:rsidR="00CB5FA1" w:rsidRPr="0036495F">
        <w:rPr>
          <w:sz w:val="24"/>
          <w:lang w:eastAsia="ja-JP"/>
        </w:rPr>
        <w:t>o</w:t>
      </w:r>
      <w:r w:rsidR="00CB5FA1" w:rsidRPr="0036495F">
        <w:rPr>
          <w:sz w:val="24"/>
          <w:lang w:eastAsia="ja-JP"/>
        </w:rPr>
        <w:t>pensity for a subject to buy increases with the number of steps of iterated reasoning needed for backward induction. Th</w:t>
      </w:r>
      <w:r w:rsidR="00386E0E">
        <w:rPr>
          <w:sz w:val="24"/>
          <w:lang w:eastAsia="ja-JP"/>
        </w:rPr>
        <w:t>ese results</w:t>
      </w:r>
      <w:r w:rsidR="00CB5FA1" w:rsidRPr="0036495F">
        <w:rPr>
          <w:sz w:val="24"/>
          <w:lang w:eastAsia="ja-JP"/>
        </w:rPr>
        <w:t xml:space="preserve"> </w:t>
      </w:r>
      <w:r w:rsidR="00386E0E">
        <w:rPr>
          <w:sz w:val="24"/>
          <w:lang w:eastAsia="ja-JP"/>
        </w:rPr>
        <w:t xml:space="preserve">indicate that </w:t>
      </w:r>
      <w:r w:rsidR="00CB5FA1" w:rsidRPr="0036495F">
        <w:rPr>
          <w:sz w:val="24"/>
          <w:lang w:eastAsia="ja-JP"/>
        </w:rPr>
        <w:t xml:space="preserve">the </w:t>
      </w:r>
      <w:r w:rsidR="00D40510">
        <w:rPr>
          <w:sz w:val="24"/>
          <w:lang w:eastAsia="ja-JP"/>
        </w:rPr>
        <w:t>lack of common knowledge of ratio</w:t>
      </w:r>
      <w:r w:rsidR="00D40510">
        <w:rPr>
          <w:sz w:val="24"/>
          <w:lang w:eastAsia="ja-JP"/>
        </w:rPr>
        <w:t>n</w:t>
      </w:r>
      <w:r w:rsidR="00D40510">
        <w:rPr>
          <w:sz w:val="24"/>
          <w:lang w:eastAsia="ja-JP"/>
        </w:rPr>
        <w:t xml:space="preserve">ality </w:t>
      </w:r>
      <w:r w:rsidR="00386E0E">
        <w:rPr>
          <w:sz w:val="24"/>
          <w:lang w:eastAsia="ja-JP"/>
        </w:rPr>
        <w:t>might be</w:t>
      </w:r>
      <w:r w:rsidR="00CB5FA1" w:rsidRPr="0036495F">
        <w:rPr>
          <w:sz w:val="24"/>
          <w:lang w:eastAsia="ja-JP"/>
        </w:rPr>
        <w:t xml:space="preserve"> an important driver of speculation. </w:t>
      </w:r>
      <w:r w:rsidR="00326EB8">
        <w:rPr>
          <w:sz w:val="24"/>
          <w:lang w:eastAsia="ja-JP"/>
        </w:rPr>
        <w:t>However, i</w:t>
      </w:r>
      <w:r w:rsidR="00CB5FA1" w:rsidRPr="0036495F">
        <w:rPr>
          <w:sz w:val="24"/>
          <w:lang w:eastAsia="ja-JP"/>
        </w:rPr>
        <w:t>n their experiment we cannot know whether and how speculative trading affects price formation</w:t>
      </w:r>
      <w:r w:rsidR="00326EB8">
        <w:rPr>
          <w:sz w:val="24"/>
          <w:lang w:eastAsia="ja-JP"/>
        </w:rPr>
        <w:t xml:space="preserve"> since </w:t>
      </w:r>
      <w:r w:rsidR="00326EB8" w:rsidRPr="0036495F">
        <w:rPr>
          <w:sz w:val="24"/>
          <w:lang w:eastAsia="ja-JP"/>
        </w:rPr>
        <w:t>the security price is exogenously given by the experimenter</w:t>
      </w:r>
      <w:r w:rsidR="00CB5FA1" w:rsidRPr="0036495F">
        <w:rPr>
          <w:sz w:val="24"/>
          <w:lang w:eastAsia="ja-JP"/>
        </w:rPr>
        <w:t xml:space="preserve">. </w:t>
      </w:r>
      <w:r w:rsidRPr="0036495F">
        <w:rPr>
          <w:sz w:val="24"/>
          <w:lang w:eastAsia="ja-JP"/>
        </w:rPr>
        <w:t xml:space="preserve">In Hirota and Sunder (2007), price bubbles emerge in a treatment where investors receive the expected next period price (predicted by </w:t>
      </w:r>
      <w:r w:rsidR="00C8793D" w:rsidRPr="0036495F">
        <w:rPr>
          <w:sz w:val="24"/>
          <w:lang w:eastAsia="ja-JP"/>
        </w:rPr>
        <w:t>a separate set of subjects</w:t>
      </w:r>
      <w:r w:rsidRPr="0036495F">
        <w:rPr>
          <w:sz w:val="24"/>
          <w:lang w:eastAsia="ja-JP"/>
        </w:rPr>
        <w:t xml:space="preserve">) </w:t>
      </w:r>
      <w:r w:rsidR="00C8793D" w:rsidRPr="0036495F">
        <w:rPr>
          <w:sz w:val="24"/>
          <w:lang w:eastAsia="ja-JP"/>
        </w:rPr>
        <w:t xml:space="preserve">as liquidation value at the end of </w:t>
      </w:r>
      <w:r w:rsidR="0036495F">
        <w:rPr>
          <w:sz w:val="24"/>
          <w:lang w:eastAsia="ja-JP"/>
        </w:rPr>
        <w:t xml:space="preserve">a </w:t>
      </w:r>
      <w:r w:rsidRPr="0036495F">
        <w:rPr>
          <w:sz w:val="24"/>
          <w:lang w:eastAsia="ja-JP"/>
        </w:rPr>
        <w:t>market</w:t>
      </w:r>
      <w:r w:rsidR="00C8793D" w:rsidRPr="0036495F">
        <w:rPr>
          <w:sz w:val="24"/>
          <w:lang w:eastAsia="ja-JP"/>
        </w:rPr>
        <w:t xml:space="preserve"> session</w:t>
      </w:r>
      <w:r w:rsidRPr="0036495F">
        <w:rPr>
          <w:sz w:val="24"/>
          <w:lang w:eastAsia="ja-JP"/>
        </w:rPr>
        <w:t>. Their result shows that when investors face</w:t>
      </w:r>
      <w:r w:rsidRPr="0036495F">
        <w:rPr>
          <w:i/>
          <w:sz w:val="24"/>
          <w:lang w:eastAsia="ja-JP"/>
        </w:rPr>
        <w:t xml:space="preserve"> impossibility</w:t>
      </w:r>
      <w:r w:rsidRPr="0036495F">
        <w:rPr>
          <w:sz w:val="24"/>
          <w:lang w:eastAsia="ja-JP"/>
        </w:rPr>
        <w:t xml:space="preserve"> of backward induction, their speculation induces security prices to deviate from the fundamental value. </w:t>
      </w:r>
      <w:r w:rsidR="00C8793D" w:rsidRPr="0036495F">
        <w:rPr>
          <w:sz w:val="24"/>
          <w:lang w:eastAsia="ja-JP"/>
        </w:rPr>
        <w:t xml:space="preserve">In the present paper, we take a </w:t>
      </w:r>
      <w:r w:rsidRPr="0036495F">
        <w:rPr>
          <w:sz w:val="24"/>
          <w:lang w:eastAsia="ja-JP"/>
        </w:rPr>
        <w:t xml:space="preserve">step further </w:t>
      </w:r>
      <w:r w:rsidR="00C8793D" w:rsidRPr="0036495F">
        <w:rPr>
          <w:sz w:val="24"/>
          <w:lang w:eastAsia="ja-JP"/>
        </w:rPr>
        <w:t>and</w:t>
      </w:r>
      <w:r w:rsidRPr="0036495F">
        <w:rPr>
          <w:sz w:val="24"/>
          <w:lang w:eastAsia="ja-JP"/>
        </w:rPr>
        <w:t xml:space="preserve"> examine whether short-term speculation cause</w:t>
      </w:r>
      <w:r w:rsidR="00386E0E">
        <w:rPr>
          <w:sz w:val="24"/>
          <w:lang w:eastAsia="ja-JP"/>
        </w:rPr>
        <w:t>s</w:t>
      </w:r>
      <w:r w:rsidRPr="0036495F">
        <w:rPr>
          <w:sz w:val="24"/>
          <w:lang w:eastAsia="ja-JP"/>
        </w:rPr>
        <w:t xml:space="preserve"> price deviation from the </w:t>
      </w:r>
      <w:r w:rsidR="00386E0E">
        <w:rPr>
          <w:sz w:val="24"/>
          <w:lang w:eastAsia="ja-JP"/>
        </w:rPr>
        <w:t xml:space="preserve">assets’ </w:t>
      </w:r>
      <w:r w:rsidRPr="0036495F">
        <w:rPr>
          <w:sz w:val="24"/>
          <w:lang w:eastAsia="ja-JP"/>
        </w:rPr>
        <w:t>fundamental</w:t>
      </w:r>
      <w:r w:rsidR="00386E0E">
        <w:rPr>
          <w:sz w:val="24"/>
          <w:lang w:eastAsia="ja-JP"/>
        </w:rPr>
        <w:t xml:space="preserve"> value</w:t>
      </w:r>
      <w:r w:rsidRPr="0036495F">
        <w:rPr>
          <w:sz w:val="24"/>
          <w:lang w:eastAsia="ja-JP"/>
        </w:rPr>
        <w:t xml:space="preserve"> in a market where </w:t>
      </w:r>
      <w:r w:rsidR="00A84E35">
        <w:rPr>
          <w:sz w:val="24"/>
          <w:lang w:eastAsia="ja-JP"/>
        </w:rPr>
        <w:t xml:space="preserve">REE (through investors’ </w:t>
      </w:r>
      <w:r w:rsidRPr="0036495F">
        <w:rPr>
          <w:sz w:val="24"/>
          <w:lang w:eastAsia="ja-JP"/>
        </w:rPr>
        <w:t>backward induction</w:t>
      </w:r>
      <w:r w:rsidR="00A84E35">
        <w:rPr>
          <w:sz w:val="24"/>
          <w:lang w:eastAsia="ja-JP"/>
        </w:rPr>
        <w:t>)</w:t>
      </w:r>
      <w:r w:rsidRPr="0036495F">
        <w:rPr>
          <w:sz w:val="24"/>
          <w:lang w:eastAsia="ja-JP"/>
        </w:rPr>
        <w:t xml:space="preserve"> is </w:t>
      </w:r>
      <w:r w:rsidRPr="0036495F">
        <w:rPr>
          <w:i/>
          <w:sz w:val="24"/>
          <w:lang w:eastAsia="ja-JP"/>
        </w:rPr>
        <w:t xml:space="preserve">theoretically </w:t>
      </w:r>
      <w:r w:rsidR="00A84E35">
        <w:rPr>
          <w:i/>
          <w:sz w:val="24"/>
          <w:lang w:eastAsia="ja-JP"/>
        </w:rPr>
        <w:t>feasible</w:t>
      </w:r>
      <w:r w:rsidR="0086186F">
        <w:rPr>
          <w:sz w:val="24"/>
          <w:lang w:eastAsia="ja-JP"/>
        </w:rPr>
        <w:t>, but calls for a controlled number of steps of iterated reasoning</w:t>
      </w:r>
      <w:r w:rsidR="00F12E8B">
        <w:rPr>
          <w:sz w:val="24"/>
          <w:lang w:eastAsia="ja-JP"/>
        </w:rPr>
        <w:t>.</w:t>
      </w:r>
      <w:r w:rsidR="00386E0E">
        <w:rPr>
          <w:sz w:val="24"/>
          <w:lang w:eastAsia="ja-JP"/>
        </w:rPr>
        <w:t xml:space="preserve"> </w:t>
      </w:r>
    </w:p>
    <w:p w14:paraId="67D97AE7" w14:textId="0A8215B0" w:rsidR="00271A7B" w:rsidRPr="0036495F" w:rsidRDefault="009B7E76" w:rsidP="00271A7B">
      <w:pPr>
        <w:spacing w:line="480" w:lineRule="auto"/>
        <w:ind w:right="-45" w:firstLine="709"/>
        <w:jc w:val="both"/>
        <w:rPr>
          <w:sz w:val="24"/>
          <w:lang w:eastAsia="ja-JP"/>
        </w:rPr>
      </w:pPr>
      <w:r w:rsidRPr="0036495F">
        <w:rPr>
          <w:sz w:val="24"/>
          <w:lang w:eastAsia="ja-JP"/>
        </w:rPr>
        <w:t>To this end</w:t>
      </w:r>
      <w:r w:rsidR="00C53AFB" w:rsidRPr="0036495F">
        <w:rPr>
          <w:sz w:val="24"/>
          <w:lang w:eastAsia="ja-JP"/>
        </w:rPr>
        <w:t xml:space="preserve">, we </w:t>
      </w:r>
      <w:r w:rsidR="0073170F" w:rsidRPr="0036495F">
        <w:rPr>
          <w:rFonts w:hint="eastAsia"/>
          <w:sz w:val="24"/>
          <w:lang w:eastAsia="ja-JP"/>
        </w:rPr>
        <w:t xml:space="preserve">introduce </w:t>
      </w:r>
      <w:r w:rsidR="0073170F" w:rsidRPr="0036495F">
        <w:rPr>
          <w:sz w:val="24"/>
          <w:lang w:eastAsia="ja-JP"/>
        </w:rPr>
        <w:t>a new</w:t>
      </w:r>
      <w:r w:rsidR="00940810">
        <w:rPr>
          <w:sz w:val="24"/>
          <w:lang w:eastAsia="ja-JP"/>
        </w:rPr>
        <w:t>ly</w:t>
      </w:r>
      <w:r w:rsidR="0073170F" w:rsidRPr="0036495F">
        <w:rPr>
          <w:rFonts w:hint="eastAsia"/>
          <w:sz w:val="24"/>
          <w:lang w:eastAsia="ja-JP"/>
        </w:rPr>
        <w:t xml:space="preserve"> </w:t>
      </w:r>
      <w:r w:rsidR="0073170F" w:rsidRPr="0036495F">
        <w:rPr>
          <w:rFonts w:hint="eastAsia"/>
          <w:sz w:val="24"/>
          <w:szCs w:val="24"/>
          <w:lang w:eastAsia="ja-JP"/>
        </w:rPr>
        <w:t>design</w:t>
      </w:r>
      <w:r w:rsidR="00940810">
        <w:rPr>
          <w:sz w:val="24"/>
          <w:szCs w:val="24"/>
          <w:lang w:eastAsia="ja-JP"/>
        </w:rPr>
        <w:t>ed</w:t>
      </w:r>
      <w:r w:rsidR="0073170F" w:rsidRPr="0036495F">
        <w:rPr>
          <w:rFonts w:hint="eastAsia"/>
          <w:sz w:val="24"/>
          <w:szCs w:val="24"/>
          <w:lang w:eastAsia="ja-JP"/>
        </w:rPr>
        <w:t xml:space="preserve"> </w:t>
      </w:r>
      <w:r w:rsidR="0073170F" w:rsidRPr="0036495F">
        <w:rPr>
          <w:sz w:val="24"/>
          <w:szCs w:val="24"/>
          <w:lang w:eastAsia="ja-JP"/>
        </w:rPr>
        <w:t xml:space="preserve">set of </w:t>
      </w:r>
      <w:r w:rsidR="0073170F" w:rsidRPr="0036495F">
        <w:rPr>
          <w:rFonts w:hint="eastAsia"/>
          <w:sz w:val="24"/>
          <w:szCs w:val="24"/>
          <w:lang w:eastAsia="ja-JP"/>
        </w:rPr>
        <w:t xml:space="preserve">experimental security markets, </w:t>
      </w:r>
      <w:r w:rsidR="00821D3A" w:rsidRPr="0036495F">
        <w:rPr>
          <w:sz w:val="24"/>
          <w:szCs w:val="24"/>
          <w:lang w:eastAsia="ja-JP"/>
        </w:rPr>
        <w:t xml:space="preserve">building on </w:t>
      </w:r>
      <w:r w:rsidR="0073170F" w:rsidRPr="0036495F">
        <w:rPr>
          <w:sz w:val="24"/>
          <w:szCs w:val="24"/>
          <w:lang w:eastAsia="ja-JP"/>
        </w:rPr>
        <w:t>earlier</w:t>
      </w:r>
      <w:r w:rsidR="0073170F" w:rsidRPr="0036495F">
        <w:rPr>
          <w:rFonts w:hint="eastAsia"/>
          <w:sz w:val="24"/>
          <w:szCs w:val="24"/>
          <w:lang w:eastAsia="ja-JP"/>
        </w:rPr>
        <w:t xml:space="preserve"> asset market </w:t>
      </w:r>
      <w:r w:rsidR="0073170F" w:rsidRPr="0036495F">
        <w:rPr>
          <w:sz w:val="24"/>
          <w:szCs w:val="24"/>
          <w:lang w:eastAsia="ja-JP"/>
        </w:rPr>
        <w:t>experiment</w:t>
      </w:r>
      <w:r w:rsidR="0073170F" w:rsidRPr="0036495F">
        <w:rPr>
          <w:rFonts w:hint="eastAsia"/>
          <w:sz w:val="24"/>
          <w:szCs w:val="24"/>
          <w:lang w:eastAsia="ja-JP"/>
        </w:rPr>
        <w:t xml:space="preserve">s such as </w:t>
      </w:r>
      <w:r w:rsidR="00A55322" w:rsidRPr="0036495F">
        <w:rPr>
          <w:sz w:val="24"/>
          <w:szCs w:val="24"/>
          <w:lang w:eastAsia="ja-JP"/>
        </w:rPr>
        <w:t xml:space="preserve">Hirota and Sunder (2007), </w:t>
      </w:r>
      <w:proofErr w:type="spellStart"/>
      <w:r w:rsidR="00A55322" w:rsidRPr="0036495F">
        <w:rPr>
          <w:kern w:val="2"/>
          <w:sz w:val="24"/>
          <w:szCs w:val="24"/>
          <w:lang w:eastAsia="ja-JP"/>
        </w:rPr>
        <w:t>Moinas</w:t>
      </w:r>
      <w:proofErr w:type="spellEnd"/>
      <w:r w:rsidR="00A55322" w:rsidRPr="0036495F">
        <w:rPr>
          <w:kern w:val="2"/>
          <w:sz w:val="24"/>
          <w:szCs w:val="24"/>
          <w:lang w:eastAsia="ja-JP"/>
        </w:rPr>
        <w:t xml:space="preserve"> and </w:t>
      </w:r>
      <w:proofErr w:type="spellStart"/>
      <w:r w:rsidR="00A55322" w:rsidRPr="0036495F">
        <w:rPr>
          <w:kern w:val="2"/>
          <w:sz w:val="24"/>
          <w:szCs w:val="24"/>
          <w:lang w:eastAsia="ja-JP"/>
        </w:rPr>
        <w:t>Pouget</w:t>
      </w:r>
      <w:proofErr w:type="spellEnd"/>
      <w:r w:rsidR="00A55322" w:rsidRPr="0036495F">
        <w:rPr>
          <w:kern w:val="2"/>
          <w:sz w:val="24"/>
          <w:szCs w:val="24"/>
          <w:lang w:eastAsia="ja-JP"/>
        </w:rPr>
        <w:t xml:space="preserve"> (2013), and </w:t>
      </w:r>
      <w:r w:rsidR="0073170F" w:rsidRPr="0036495F">
        <w:rPr>
          <w:rFonts w:hint="eastAsia"/>
          <w:sz w:val="24"/>
          <w:szCs w:val="24"/>
          <w:lang w:eastAsia="ja-JP"/>
        </w:rPr>
        <w:t xml:space="preserve">Smith </w:t>
      </w:r>
      <w:r w:rsidR="0073170F" w:rsidRPr="0036495F">
        <w:rPr>
          <w:sz w:val="24"/>
          <w:szCs w:val="24"/>
        </w:rPr>
        <w:t>et al. (1988)</w:t>
      </w:r>
      <w:r w:rsidR="0073170F" w:rsidRPr="0036495F">
        <w:rPr>
          <w:rFonts w:hint="eastAsia"/>
          <w:sz w:val="24"/>
          <w:szCs w:val="24"/>
          <w:lang w:eastAsia="ja-JP"/>
        </w:rPr>
        <w:t>.</w:t>
      </w:r>
      <w:r w:rsidR="008F78C5" w:rsidRPr="0036495F">
        <w:rPr>
          <w:sz w:val="24"/>
          <w:szCs w:val="24"/>
          <w:lang w:eastAsia="ja-JP"/>
        </w:rPr>
        <w:t xml:space="preserve"> Our design has </w:t>
      </w:r>
      <w:r w:rsidR="008F78C5" w:rsidRPr="0036495F">
        <w:rPr>
          <w:rFonts w:hint="eastAsia"/>
          <w:sz w:val="24"/>
          <w:szCs w:val="24"/>
          <w:lang w:eastAsia="ja-JP"/>
        </w:rPr>
        <w:t xml:space="preserve">two </w:t>
      </w:r>
      <w:r w:rsidR="00326EB8">
        <w:rPr>
          <w:sz w:val="24"/>
          <w:szCs w:val="24"/>
          <w:lang w:eastAsia="ja-JP"/>
        </w:rPr>
        <w:t xml:space="preserve">unique </w:t>
      </w:r>
      <w:r w:rsidR="00821D3A" w:rsidRPr="0036495F">
        <w:rPr>
          <w:sz w:val="24"/>
          <w:szCs w:val="24"/>
          <w:lang w:eastAsia="ja-JP"/>
        </w:rPr>
        <w:t xml:space="preserve">defining </w:t>
      </w:r>
      <w:r w:rsidR="008F78C5" w:rsidRPr="0036495F">
        <w:rPr>
          <w:rFonts w:hint="eastAsia"/>
          <w:sz w:val="24"/>
          <w:szCs w:val="24"/>
          <w:lang w:eastAsia="ja-JP"/>
        </w:rPr>
        <w:t>features</w:t>
      </w:r>
      <w:r w:rsidR="008F78C5" w:rsidRPr="0036495F">
        <w:rPr>
          <w:sz w:val="24"/>
          <w:szCs w:val="24"/>
          <w:lang w:eastAsia="ja-JP"/>
        </w:rPr>
        <w:t>.</w:t>
      </w:r>
      <w:r w:rsidR="00C53AFB" w:rsidRPr="0036495F">
        <w:rPr>
          <w:sz w:val="24"/>
          <w:szCs w:val="24"/>
          <w:lang w:eastAsia="ja-JP"/>
        </w:rPr>
        <w:t xml:space="preserve"> </w:t>
      </w:r>
      <w:r w:rsidR="008F78C5" w:rsidRPr="0036495F">
        <w:rPr>
          <w:sz w:val="24"/>
          <w:szCs w:val="24"/>
          <w:lang w:eastAsia="ja-JP"/>
        </w:rPr>
        <w:t>First,</w:t>
      </w:r>
      <w:r w:rsidR="00271A7B" w:rsidRPr="0036495F">
        <w:rPr>
          <w:rFonts w:hint="eastAsia"/>
          <w:sz w:val="24"/>
          <w:szCs w:val="24"/>
          <w:lang w:eastAsia="ja-JP"/>
        </w:rPr>
        <w:t xml:space="preserve"> </w:t>
      </w:r>
      <w:r w:rsidR="00A94A4E" w:rsidRPr="0036495F">
        <w:rPr>
          <w:rFonts w:hint="eastAsia"/>
          <w:sz w:val="24"/>
          <w:lang w:eastAsia="ja-JP"/>
        </w:rPr>
        <w:t xml:space="preserve">a </w:t>
      </w:r>
      <w:r w:rsidR="00A94A4E" w:rsidRPr="0036495F">
        <w:rPr>
          <w:sz w:val="24"/>
          <w:lang w:eastAsia="ja-JP"/>
        </w:rPr>
        <w:t>single kind of simple securities</w:t>
      </w:r>
      <w:r w:rsidR="00A94A4E" w:rsidRPr="0036495F">
        <w:rPr>
          <w:rFonts w:hint="eastAsia"/>
          <w:sz w:val="24"/>
          <w:lang w:eastAsia="ja-JP"/>
        </w:rPr>
        <w:t xml:space="preserve"> </w:t>
      </w:r>
      <w:r w:rsidR="000A4ECB">
        <w:rPr>
          <w:sz w:val="24"/>
          <w:lang w:eastAsia="ja-JP"/>
        </w:rPr>
        <w:t>is</w:t>
      </w:r>
      <w:r w:rsidR="008E09E9" w:rsidRPr="0036495F">
        <w:rPr>
          <w:sz w:val="24"/>
          <w:lang w:eastAsia="ja-JP"/>
        </w:rPr>
        <w:t xml:space="preserve"> </w:t>
      </w:r>
      <w:r w:rsidR="00A94A4E" w:rsidRPr="0036495F">
        <w:rPr>
          <w:sz w:val="24"/>
          <w:lang w:eastAsia="ja-JP"/>
        </w:rPr>
        <w:t xml:space="preserve">traded in the market. </w:t>
      </w:r>
      <w:r w:rsidR="00A94A4E" w:rsidRPr="0036495F">
        <w:rPr>
          <w:rFonts w:hint="eastAsia"/>
          <w:sz w:val="24"/>
          <w:lang w:eastAsia="ja-JP"/>
        </w:rPr>
        <w:t>Each security pays only one (terminal) non-stochastic</w:t>
      </w:r>
      <w:r w:rsidR="00A94A4E" w:rsidRPr="0036495F">
        <w:rPr>
          <w:sz w:val="24"/>
          <w:lang w:eastAsia="ja-JP"/>
        </w:rPr>
        <w:t xml:space="preserve"> common knowledge</w:t>
      </w:r>
      <w:r w:rsidR="007A66EE" w:rsidRPr="0036495F">
        <w:rPr>
          <w:rFonts w:hint="eastAsia"/>
          <w:sz w:val="24"/>
          <w:lang w:eastAsia="ja-JP"/>
        </w:rPr>
        <w:t xml:space="preserve"> dividend</w:t>
      </w:r>
      <w:r w:rsidR="00A94A4E" w:rsidRPr="0036495F">
        <w:rPr>
          <w:rFonts w:hint="eastAsia"/>
          <w:sz w:val="24"/>
          <w:lang w:eastAsia="ja-JP"/>
        </w:rPr>
        <w:t xml:space="preserve"> </w:t>
      </w:r>
      <w:r w:rsidR="004A4186" w:rsidRPr="0036495F">
        <w:rPr>
          <w:sz w:val="24"/>
          <w:lang w:eastAsia="ja-JP"/>
        </w:rPr>
        <w:t>(</w:t>
      </w:r>
      <w:r w:rsidR="008E09E9">
        <w:rPr>
          <w:i/>
          <w:sz w:val="24"/>
          <w:lang w:eastAsia="ja-JP"/>
        </w:rPr>
        <w:t>D =</w:t>
      </w:r>
      <w:r w:rsidR="008E09E9" w:rsidRPr="0036495F">
        <w:rPr>
          <w:sz w:val="24"/>
          <w:lang w:eastAsia="ja-JP"/>
        </w:rPr>
        <w:t xml:space="preserve"> </w:t>
      </w:r>
      <w:r w:rsidR="004A4186" w:rsidRPr="0036495F">
        <w:rPr>
          <w:sz w:val="24"/>
          <w:lang w:eastAsia="ja-JP"/>
        </w:rPr>
        <w:t xml:space="preserve">50) </w:t>
      </w:r>
      <w:r w:rsidR="00A94A4E" w:rsidRPr="0036495F">
        <w:rPr>
          <w:rFonts w:hint="eastAsia"/>
          <w:sz w:val="24"/>
          <w:lang w:eastAsia="ja-JP"/>
        </w:rPr>
        <w:t xml:space="preserve">at the end of the </w:t>
      </w:r>
      <w:r w:rsidR="00D83095" w:rsidRPr="0036495F">
        <w:rPr>
          <w:sz w:val="24"/>
          <w:lang w:eastAsia="ja-JP"/>
        </w:rPr>
        <w:t>final</w:t>
      </w:r>
      <w:r w:rsidR="00A94A4E" w:rsidRPr="0036495F">
        <w:rPr>
          <w:rFonts w:hint="eastAsia"/>
          <w:sz w:val="24"/>
          <w:lang w:eastAsia="ja-JP"/>
        </w:rPr>
        <w:t xml:space="preserve"> period </w:t>
      </w:r>
      <w:r w:rsidR="00A94A4E" w:rsidRPr="0036495F">
        <w:rPr>
          <w:sz w:val="24"/>
          <w:lang w:eastAsia="ja-JP"/>
        </w:rPr>
        <w:t xml:space="preserve">of the session. Second, </w:t>
      </w:r>
      <w:r w:rsidR="00271A7B" w:rsidRPr="0036495F">
        <w:rPr>
          <w:sz w:val="24"/>
          <w:szCs w:val="24"/>
          <w:lang w:eastAsia="ja-JP"/>
        </w:rPr>
        <w:t>t</w:t>
      </w:r>
      <w:r w:rsidR="00271A7B" w:rsidRPr="0036495F">
        <w:rPr>
          <w:rFonts w:hint="eastAsia"/>
          <w:sz w:val="24"/>
          <w:szCs w:val="24"/>
          <w:lang w:eastAsia="ja-JP"/>
        </w:rPr>
        <w:t xml:space="preserve">he market has an overlapping </w:t>
      </w:r>
      <w:proofErr w:type="gramStart"/>
      <w:r w:rsidR="00271A7B" w:rsidRPr="0036495F">
        <w:rPr>
          <w:rFonts w:hint="eastAsia"/>
          <w:sz w:val="24"/>
          <w:szCs w:val="24"/>
          <w:lang w:eastAsia="ja-JP"/>
        </w:rPr>
        <w:t>generation</w:t>
      </w:r>
      <w:r w:rsidR="00271A7B" w:rsidRPr="0036495F">
        <w:rPr>
          <w:sz w:val="24"/>
          <w:szCs w:val="24"/>
          <w:lang w:eastAsia="ja-JP"/>
        </w:rPr>
        <w:t>s</w:t>
      </w:r>
      <w:proofErr w:type="gramEnd"/>
      <w:r w:rsidR="00271A7B" w:rsidRPr="0036495F">
        <w:rPr>
          <w:rFonts w:hint="eastAsia"/>
          <w:sz w:val="24"/>
          <w:szCs w:val="24"/>
          <w:lang w:eastAsia="ja-JP"/>
        </w:rPr>
        <w:t xml:space="preserve"> structure</w:t>
      </w:r>
      <w:r w:rsidR="007A66EE" w:rsidRPr="0036495F">
        <w:rPr>
          <w:sz w:val="24"/>
          <w:szCs w:val="24"/>
          <w:lang w:eastAsia="ja-JP"/>
        </w:rPr>
        <w:t xml:space="preserve">, where only the first generation </w:t>
      </w:r>
      <w:r w:rsidR="00D83095" w:rsidRPr="0036495F">
        <w:rPr>
          <w:sz w:val="24"/>
          <w:szCs w:val="24"/>
          <w:lang w:eastAsia="ja-JP"/>
        </w:rPr>
        <w:t xml:space="preserve">is endowed </w:t>
      </w:r>
      <w:r w:rsidR="007A66EE" w:rsidRPr="0036495F">
        <w:rPr>
          <w:sz w:val="24"/>
          <w:szCs w:val="24"/>
          <w:lang w:eastAsia="ja-JP"/>
        </w:rPr>
        <w:t>with securities</w:t>
      </w:r>
      <w:r w:rsidR="007A66EE" w:rsidRPr="0036495F">
        <w:rPr>
          <w:rFonts w:hint="eastAsia"/>
          <w:sz w:val="24"/>
          <w:szCs w:val="24"/>
          <w:lang w:eastAsia="ja-JP"/>
        </w:rPr>
        <w:t xml:space="preserve"> </w:t>
      </w:r>
      <w:r w:rsidR="00271A7B" w:rsidRPr="0036495F">
        <w:rPr>
          <w:rFonts w:hint="eastAsia"/>
          <w:sz w:val="24"/>
          <w:szCs w:val="24"/>
          <w:lang w:eastAsia="ja-JP"/>
        </w:rPr>
        <w:t>(</w:t>
      </w:r>
      <w:r w:rsidR="00A94A4E" w:rsidRPr="0036495F">
        <w:rPr>
          <w:sz w:val="24"/>
          <w:szCs w:val="24"/>
          <w:lang w:eastAsia="ja-JP"/>
        </w:rPr>
        <w:t>see Figure 1).</w:t>
      </w:r>
      <w:r w:rsidR="00A94A4E" w:rsidRPr="0036495F">
        <w:rPr>
          <w:rStyle w:val="Funotenzeichen"/>
          <w:sz w:val="24"/>
          <w:lang w:eastAsia="ja-JP"/>
        </w:rPr>
        <w:footnoteReference w:id="9"/>
      </w:r>
      <w:r w:rsidR="00A94A4E" w:rsidRPr="0036495F">
        <w:rPr>
          <w:sz w:val="24"/>
          <w:lang w:eastAsia="ja-JP"/>
        </w:rPr>
        <w:t xml:space="preserve"> </w:t>
      </w:r>
      <w:r w:rsidR="00D83095" w:rsidRPr="0036495F">
        <w:rPr>
          <w:sz w:val="24"/>
          <w:lang w:eastAsia="ja-JP"/>
        </w:rPr>
        <w:t xml:space="preserve">All subsequent </w:t>
      </w:r>
      <w:r w:rsidR="00A94A4E" w:rsidRPr="0036495F">
        <w:rPr>
          <w:sz w:val="24"/>
          <w:szCs w:val="24"/>
          <w:lang w:eastAsia="ja-JP"/>
        </w:rPr>
        <w:t>generation</w:t>
      </w:r>
      <w:r w:rsidR="00D83095" w:rsidRPr="0036495F">
        <w:rPr>
          <w:sz w:val="24"/>
          <w:szCs w:val="24"/>
          <w:lang w:eastAsia="ja-JP"/>
        </w:rPr>
        <w:t>s</w:t>
      </w:r>
      <w:r w:rsidR="00A94A4E" w:rsidRPr="0036495F">
        <w:rPr>
          <w:sz w:val="24"/>
          <w:szCs w:val="24"/>
          <w:lang w:eastAsia="ja-JP"/>
        </w:rPr>
        <w:t xml:space="preserve"> of investors </w:t>
      </w:r>
      <w:r w:rsidR="00A94A4E" w:rsidRPr="0036495F">
        <w:rPr>
          <w:sz w:val="24"/>
          <w:szCs w:val="24"/>
          <w:lang w:eastAsia="ja-JP"/>
        </w:rPr>
        <w:lastRenderedPageBreak/>
        <w:t xml:space="preserve">enter </w:t>
      </w:r>
      <w:r w:rsidR="00D83095" w:rsidRPr="0036495F">
        <w:rPr>
          <w:sz w:val="24"/>
          <w:szCs w:val="24"/>
          <w:lang w:eastAsia="ja-JP"/>
        </w:rPr>
        <w:t xml:space="preserve">endowed </w:t>
      </w:r>
      <w:r w:rsidR="00A94A4E" w:rsidRPr="0036495F">
        <w:rPr>
          <w:sz w:val="24"/>
          <w:szCs w:val="24"/>
          <w:lang w:eastAsia="ja-JP"/>
        </w:rPr>
        <w:t>with cash but no securities</w:t>
      </w:r>
      <w:r w:rsidR="00C431D4" w:rsidRPr="0036495F">
        <w:rPr>
          <w:sz w:val="24"/>
          <w:szCs w:val="24"/>
          <w:lang w:eastAsia="ja-JP"/>
        </w:rPr>
        <w:t>; t</w:t>
      </w:r>
      <w:r w:rsidR="00A94A4E" w:rsidRPr="0036495F">
        <w:rPr>
          <w:sz w:val="24"/>
          <w:szCs w:val="24"/>
          <w:lang w:eastAsia="ja-JP"/>
        </w:rPr>
        <w:t>he</w:t>
      </w:r>
      <w:r w:rsidR="00C431D4" w:rsidRPr="0036495F">
        <w:rPr>
          <w:sz w:val="24"/>
          <w:szCs w:val="24"/>
          <w:lang w:eastAsia="ja-JP"/>
        </w:rPr>
        <w:t>y</w:t>
      </w:r>
      <w:r w:rsidR="00A94A4E" w:rsidRPr="0036495F">
        <w:rPr>
          <w:sz w:val="24"/>
          <w:szCs w:val="24"/>
          <w:lang w:eastAsia="ja-JP"/>
        </w:rPr>
        <w:t xml:space="preserve"> buy securities from the (overlapping) “older” generation, </w:t>
      </w:r>
      <w:r w:rsidR="00386E0E" w:rsidRPr="0036495F">
        <w:rPr>
          <w:sz w:val="24"/>
          <w:szCs w:val="24"/>
          <w:lang w:eastAsia="ja-JP"/>
        </w:rPr>
        <w:t>and then</w:t>
      </w:r>
      <w:r w:rsidR="00A94A4E" w:rsidRPr="0036495F">
        <w:rPr>
          <w:sz w:val="24"/>
          <w:szCs w:val="24"/>
          <w:lang w:eastAsia="ja-JP"/>
        </w:rPr>
        <w:t xml:space="preserve"> sell them to the next “younger” generation, </w:t>
      </w:r>
      <w:r w:rsidR="008E09E9">
        <w:rPr>
          <w:sz w:val="24"/>
          <w:szCs w:val="24"/>
          <w:lang w:eastAsia="ja-JP"/>
        </w:rPr>
        <w:t>before exiting</w:t>
      </w:r>
      <w:r w:rsidR="00A94A4E" w:rsidRPr="0036495F">
        <w:rPr>
          <w:sz w:val="24"/>
          <w:szCs w:val="24"/>
          <w:lang w:eastAsia="ja-JP"/>
        </w:rPr>
        <w:t xml:space="preserve"> the market. </w:t>
      </w:r>
      <w:r w:rsidR="00271A7B" w:rsidRPr="0036495F">
        <w:rPr>
          <w:rFonts w:hint="eastAsia"/>
          <w:sz w:val="24"/>
          <w:lang w:eastAsia="ja-JP"/>
        </w:rPr>
        <w:t xml:space="preserve">Only the </w:t>
      </w:r>
      <w:r w:rsidR="008E09E9">
        <w:rPr>
          <w:sz w:val="24"/>
          <w:lang w:eastAsia="ja-JP"/>
        </w:rPr>
        <w:t xml:space="preserve">investors of the </w:t>
      </w:r>
      <w:r w:rsidR="00271A7B" w:rsidRPr="0036495F">
        <w:rPr>
          <w:rFonts w:hint="eastAsia"/>
          <w:sz w:val="24"/>
          <w:lang w:eastAsia="ja-JP"/>
        </w:rPr>
        <w:t>very last generation collect th</w:t>
      </w:r>
      <w:r w:rsidR="00A94A4E" w:rsidRPr="0036495F">
        <w:rPr>
          <w:sz w:val="24"/>
          <w:lang w:eastAsia="ja-JP"/>
        </w:rPr>
        <w:t>e</w:t>
      </w:r>
      <w:r w:rsidR="00271A7B" w:rsidRPr="0036495F">
        <w:rPr>
          <w:rFonts w:hint="eastAsia"/>
          <w:sz w:val="24"/>
          <w:lang w:eastAsia="ja-JP"/>
        </w:rPr>
        <w:t xml:space="preserve"> dividend at the end of </w:t>
      </w:r>
      <w:r w:rsidR="007A66EE" w:rsidRPr="0036495F">
        <w:rPr>
          <w:sz w:val="24"/>
          <w:lang w:eastAsia="ja-JP"/>
        </w:rPr>
        <w:t xml:space="preserve">the </w:t>
      </w:r>
      <w:r w:rsidR="002307F3" w:rsidRPr="0036495F">
        <w:rPr>
          <w:sz w:val="24"/>
          <w:lang w:eastAsia="ja-JP"/>
        </w:rPr>
        <w:t xml:space="preserve">final </w:t>
      </w:r>
      <w:r w:rsidR="007A66EE" w:rsidRPr="0036495F">
        <w:rPr>
          <w:sz w:val="24"/>
          <w:lang w:eastAsia="ja-JP"/>
        </w:rPr>
        <w:t>p</w:t>
      </w:r>
      <w:r w:rsidR="00271A7B" w:rsidRPr="0036495F">
        <w:rPr>
          <w:rFonts w:hint="eastAsia"/>
          <w:sz w:val="24"/>
          <w:lang w:eastAsia="ja-JP"/>
        </w:rPr>
        <w:t>eriod</w:t>
      </w:r>
      <w:r w:rsidR="001E146C" w:rsidRPr="0036495F">
        <w:rPr>
          <w:sz w:val="24"/>
          <w:lang w:eastAsia="ja-JP"/>
        </w:rPr>
        <w:t xml:space="preserve">, and </w:t>
      </w:r>
      <w:r w:rsidR="008C6917" w:rsidRPr="0036495F">
        <w:rPr>
          <w:sz w:val="24"/>
          <w:lang w:eastAsia="ja-JP"/>
        </w:rPr>
        <w:t xml:space="preserve">these </w:t>
      </w:r>
      <w:r w:rsidR="001E146C" w:rsidRPr="0036495F">
        <w:rPr>
          <w:sz w:val="24"/>
          <w:lang w:eastAsia="ja-JP"/>
        </w:rPr>
        <w:t xml:space="preserve">are called </w:t>
      </w:r>
      <w:r w:rsidR="00271A7B" w:rsidRPr="0036495F">
        <w:rPr>
          <w:sz w:val="24"/>
          <w:lang w:eastAsia="ja-JP"/>
        </w:rPr>
        <w:t>“</w:t>
      </w:r>
      <w:r w:rsidR="00271A7B" w:rsidRPr="0036495F">
        <w:rPr>
          <w:rFonts w:hint="eastAsia"/>
          <w:sz w:val="24"/>
          <w:lang w:eastAsia="ja-JP"/>
        </w:rPr>
        <w:t>dividend</w:t>
      </w:r>
      <w:r w:rsidR="008C73A8" w:rsidRPr="0036495F">
        <w:rPr>
          <w:sz w:val="24"/>
          <w:lang w:eastAsia="ja-JP"/>
        </w:rPr>
        <w:t>-</w:t>
      </w:r>
      <w:r w:rsidR="00271A7B" w:rsidRPr="0036495F">
        <w:rPr>
          <w:rFonts w:hint="eastAsia"/>
          <w:sz w:val="24"/>
          <w:lang w:eastAsia="ja-JP"/>
        </w:rPr>
        <w:t>collecting investors</w:t>
      </w:r>
      <w:r w:rsidR="00271A7B" w:rsidRPr="0036495F">
        <w:rPr>
          <w:sz w:val="24"/>
          <w:lang w:eastAsia="ja-JP"/>
        </w:rPr>
        <w:t>”</w:t>
      </w:r>
      <w:r w:rsidR="00271A7B" w:rsidRPr="0036495F">
        <w:rPr>
          <w:rFonts w:hint="eastAsia"/>
          <w:sz w:val="24"/>
          <w:lang w:eastAsia="ja-JP"/>
        </w:rPr>
        <w:t xml:space="preserve">. </w:t>
      </w:r>
      <w:r w:rsidR="00304DF5" w:rsidRPr="0036495F">
        <w:rPr>
          <w:sz w:val="24"/>
          <w:lang w:eastAsia="ja-JP"/>
        </w:rPr>
        <w:t>All o</w:t>
      </w:r>
      <w:r w:rsidR="00271A7B" w:rsidRPr="0036495F">
        <w:rPr>
          <w:rFonts w:hint="eastAsia"/>
          <w:sz w:val="24"/>
          <w:lang w:eastAsia="ja-JP"/>
        </w:rPr>
        <w:t>ther generations</w:t>
      </w:r>
      <w:r w:rsidR="001E146C" w:rsidRPr="0036495F">
        <w:rPr>
          <w:sz w:val="24"/>
          <w:lang w:eastAsia="ja-JP"/>
        </w:rPr>
        <w:t xml:space="preserve"> </w:t>
      </w:r>
      <w:r w:rsidR="00271A7B" w:rsidRPr="0036495F">
        <w:rPr>
          <w:rFonts w:hint="eastAsia"/>
          <w:sz w:val="24"/>
          <w:lang w:eastAsia="ja-JP"/>
        </w:rPr>
        <w:t xml:space="preserve">exit the market before </w:t>
      </w:r>
      <w:r w:rsidR="00271A7B" w:rsidRPr="0036495F">
        <w:rPr>
          <w:sz w:val="24"/>
          <w:lang w:eastAsia="ja-JP"/>
        </w:rPr>
        <w:t>receiving</w:t>
      </w:r>
      <w:r w:rsidR="00271A7B" w:rsidRPr="0036495F">
        <w:rPr>
          <w:rFonts w:hint="eastAsia"/>
          <w:sz w:val="24"/>
          <w:lang w:eastAsia="ja-JP"/>
        </w:rPr>
        <w:t xml:space="preserve"> </w:t>
      </w:r>
      <w:r w:rsidR="008C6917" w:rsidRPr="0036495F">
        <w:rPr>
          <w:sz w:val="24"/>
          <w:lang w:eastAsia="ja-JP"/>
        </w:rPr>
        <w:t>a</w:t>
      </w:r>
      <w:r w:rsidR="008E09E9">
        <w:rPr>
          <w:sz w:val="24"/>
          <w:lang w:eastAsia="ja-JP"/>
        </w:rPr>
        <w:t>ny</w:t>
      </w:r>
      <w:r w:rsidR="008C6917" w:rsidRPr="0036495F">
        <w:rPr>
          <w:sz w:val="24"/>
          <w:lang w:eastAsia="ja-JP"/>
        </w:rPr>
        <w:t xml:space="preserve"> </w:t>
      </w:r>
      <w:r w:rsidR="00271A7B" w:rsidRPr="0036495F">
        <w:rPr>
          <w:rFonts w:hint="eastAsia"/>
          <w:sz w:val="24"/>
          <w:lang w:eastAsia="ja-JP"/>
        </w:rPr>
        <w:t>dividend</w:t>
      </w:r>
      <w:r w:rsidR="002307F3" w:rsidRPr="0036495F">
        <w:rPr>
          <w:sz w:val="24"/>
          <w:lang w:eastAsia="ja-JP"/>
        </w:rPr>
        <w:t>,</w:t>
      </w:r>
      <w:r w:rsidR="00271A7B" w:rsidRPr="0036495F">
        <w:rPr>
          <w:rFonts w:hint="eastAsia"/>
          <w:sz w:val="24"/>
          <w:lang w:eastAsia="ja-JP"/>
        </w:rPr>
        <w:t xml:space="preserve"> </w:t>
      </w:r>
      <w:r w:rsidR="002307F3" w:rsidRPr="0036495F">
        <w:rPr>
          <w:rFonts w:hint="eastAsia"/>
          <w:sz w:val="24"/>
          <w:lang w:eastAsia="ja-JP"/>
        </w:rPr>
        <w:t>trad</w:t>
      </w:r>
      <w:r w:rsidR="002307F3" w:rsidRPr="0036495F">
        <w:rPr>
          <w:sz w:val="24"/>
          <w:lang w:eastAsia="ja-JP"/>
        </w:rPr>
        <w:t>ing</w:t>
      </w:r>
      <w:r w:rsidR="002307F3" w:rsidRPr="0036495F">
        <w:rPr>
          <w:rFonts w:hint="eastAsia"/>
          <w:sz w:val="24"/>
          <w:lang w:eastAsia="ja-JP"/>
        </w:rPr>
        <w:t xml:space="preserve"> </w:t>
      </w:r>
      <w:r w:rsidR="00304DF5" w:rsidRPr="0036495F">
        <w:rPr>
          <w:sz w:val="24"/>
          <w:lang w:eastAsia="ja-JP"/>
        </w:rPr>
        <w:t xml:space="preserve">the security </w:t>
      </w:r>
      <w:r w:rsidR="00271A7B" w:rsidRPr="0036495F">
        <w:rPr>
          <w:rFonts w:hint="eastAsia"/>
          <w:sz w:val="24"/>
          <w:lang w:eastAsia="ja-JP"/>
        </w:rPr>
        <w:t>only for capital gains</w:t>
      </w:r>
      <w:r w:rsidR="000A4ECB">
        <w:rPr>
          <w:sz w:val="24"/>
          <w:lang w:eastAsia="ja-JP"/>
        </w:rPr>
        <w:t>;</w:t>
      </w:r>
      <w:r w:rsidR="00304DF5" w:rsidRPr="0036495F">
        <w:rPr>
          <w:sz w:val="24"/>
          <w:lang w:eastAsia="ja-JP"/>
        </w:rPr>
        <w:t xml:space="preserve"> these </w:t>
      </w:r>
      <w:r w:rsidR="000A4ECB">
        <w:rPr>
          <w:sz w:val="24"/>
          <w:lang w:eastAsia="ja-JP"/>
        </w:rPr>
        <w:t xml:space="preserve">traders </w:t>
      </w:r>
      <w:r w:rsidR="00304DF5" w:rsidRPr="0036495F">
        <w:rPr>
          <w:sz w:val="24"/>
          <w:lang w:eastAsia="ja-JP"/>
        </w:rPr>
        <w:t xml:space="preserve">are </w:t>
      </w:r>
      <w:r w:rsidR="002307F3" w:rsidRPr="0036495F">
        <w:rPr>
          <w:sz w:val="24"/>
          <w:lang w:eastAsia="ja-JP"/>
        </w:rPr>
        <w:t xml:space="preserve">labeled </w:t>
      </w:r>
      <w:r w:rsidR="00304DF5" w:rsidRPr="0036495F">
        <w:rPr>
          <w:sz w:val="24"/>
          <w:lang w:eastAsia="ja-JP"/>
        </w:rPr>
        <w:t>“</w:t>
      </w:r>
      <w:r w:rsidR="00304DF5" w:rsidRPr="00E647AF">
        <w:rPr>
          <w:i/>
          <w:sz w:val="24"/>
          <w:lang w:eastAsia="ja-JP"/>
        </w:rPr>
        <w:t>speculating investors</w:t>
      </w:r>
      <w:r w:rsidR="00304DF5" w:rsidRPr="0036495F">
        <w:rPr>
          <w:sz w:val="24"/>
          <w:lang w:eastAsia="ja-JP"/>
        </w:rPr>
        <w:t>”</w:t>
      </w:r>
      <w:r w:rsidR="006E4935" w:rsidRPr="0036495F">
        <w:rPr>
          <w:sz w:val="24"/>
          <w:lang w:eastAsia="ja-JP"/>
        </w:rPr>
        <w:t>.</w:t>
      </w:r>
      <w:r w:rsidR="00271A7B" w:rsidRPr="0036495F">
        <w:rPr>
          <w:rStyle w:val="Funotenzeichen"/>
          <w:sz w:val="24"/>
          <w:lang w:eastAsia="ja-JP"/>
        </w:rPr>
        <w:footnoteReference w:id="10"/>
      </w:r>
    </w:p>
    <w:p w14:paraId="1D4CEB54" w14:textId="31495B42" w:rsidR="00271A7B" w:rsidRPr="0036495F" w:rsidRDefault="002307F3" w:rsidP="00271A7B">
      <w:pPr>
        <w:spacing w:line="480" w:lineRule="auto"/>
        <w:ind w:right="-45" w:firstLine="709"/>
        <w:jc w:val="both"/>
        <w:rPr>
          <w:sz w:val="24"/>
          <w:lang w:eastAsia="ja-JP"/>
        </w:rPr>
      </w:pPr>
      <w:r w:rsidRPr="0036495F">
        <w:rPr>
          <w:sz w:val="24"/>
          <w:lang w:eastAsia="ja-JP"/>
        </w:rPr>
        <w:t xml:space="preserve">This </w:t>
      </w:r>
      <w:r w:rsidR="00271A7B" w:rsidRPr="0036495F">
        <w:rPr>
          <w:rFonts w:hint="eastAsia"/>
          <w:sz w:val="24"/>
          <w:lang w:eastAsia="ja-JP"/>
        </w:rPr>
        <w:t>design create</w:t>
      </w:r>
      <w:r w:rsidRPr="0036495F">
        <w:rPr>
          <w:sz w:val="24"/>
          <w:lang w:eastAsia="ja-JP"/>
        </w:rPr>
        <w:t>s</w:t>
      </w:r>
      <w:r w:rsidR="00271A7B" w:rsidRPr="0036495F">
        <w:rPr>
          <w:rFonts w:hint="eastAsia"/>
          <w:sz w:val="24"/>
          <w:lang w:eastAsia="ja-JP"/>
        </w:rPr>
        <w:t xml:space="preserve"> speculating investors </w:t>
      </w:r>
      <w:r w:rsidRPr="0036495F">
        <w:rPr>
          <w:sz w:val="24"/>
          <w:lang w:eastAsia="ja-JP"/>
        </w:rPr>
        <w:t>(</w:t>
      </w:r>
      <w:r w:rsidR="00271A7B" w:rsidRPr="0036495F">
        <w:rPr>
          <w:rFonts w:hint="eastAsia"/>
          <w:sz w:val="24"/>
          <w:lang w:eastAsia="ja-JP"/>
        </w:rPr>
        <w:t xml:space="preserve">who </w:t>
      </w:r>
      <w:r w:rsidR="00271A7B" w:rsidRPr="0036495F">
        <w:rPr>
          <w:sz w:val="24"/>
          <w:lang w:eastAsia="ja-JP"/>
        </w:rPr>
        <w:t xml:space="preserve">trade only </w:t>
      </w:r>
      <w:r w:rsidR="00271A7B" w:rsidRPr="0036495F">
        <w:rPr>
          <w:rFonts w:hint="eastAsia"/>
          <w:sz w:val="24"/>
          <w:lang w:eastAsia="ja-JP"/>
        </w:rPr>
        <w:t>for capital gains</w:t>
      </w:r>
      <w:r w:rsidR="00271A7B" w:rsidRPr="0036495F">
        <w:rPr>
          <w:sz w:val="24"/>
          <w:lang w:eastAsia="ja-JP"/>
        </w:rPr>
        <w:t xml:space="preserve"> without e</w:t>
      </w:r>
      <w:r w:rsidR="00271A7B" w:rsidRPr="0036495F">
        <w:rPr>
          <w:sz w:val="24"/>
          <w:lang w:eastAsia="ja-JP"/>
        </w:rPr>
        <w:t>v</w:t>
      </w:r>
      <w:r w:rsidR="00271A7B" w:rsidRPr="0036495F">
        <w:rPr>
          <w:sz w:val="24"/>
          <w:lang w:eastAsia="ja-JP"/>
        </w:rPr>
        <w:t>er collect</w:t>
      </w:r>
      <w:r w:rsidR="003B6DA0">
        <w:rPr>
          <w:sz w:val="24"/>
          <w:lang w:eastAsia="ja-JP"/>
        </w:rPr>
        <w:t>ing</w:t>
      </w:r>
      <w:r w:rsidR="00271A7B" w:rsidRPr="0036495F">
        <w:rPr>
          <w:sz w:val="24"/>
          <w:lang w:eastAsia="ja-JP"/>
        </w:rPr>
        <w:t xml:space="preserve"> dividends</w:t>
      </w:r>
      <w:r w:rsidR="005A2FF6" w:rsidRPr="0036495F">
        <w:rPr>
          <w:rFonts w:hint="eastAsia"/>
          <w:sz w:val="24"/>
          <w:lang w:eastAsia="ja-JP"/>
        </w:rPr>
        <w:t>)</w:t>
      </w:r>
      <w:r w:rsidR="00A96B72" w:rsidRPr="0036495F">
        <w:rPr>
          <w:sz w:val="24"/>
          <w:lang w:eastAsia="ja-JP"/>
        </w:rPr>
        <w:t>,</w:t>
      </w:r>
      <w:r w:rsidR="005A2FF6" w:rsidRPr="0036495F">
        <w:rPr>
          <w:rFonts w:hint="eastAsia"/>
          <w:sz w:val="24"/>
          <w:lang w:eastAsia="ja-JP"/>
        </w:rPr>
        <w:t xml:space="preserve"> a</w:t>
      </w:r>
      <w:r w:rsidRPr="0036495F">
        <w:rPr>
          <w:sz w:val="24"/>
          <w:lang w:eastAsia="ja-JP"/>
        </w:rPr>
        <w:t>llow</w:t>
      </w:r>
      <w:r w:rsidR="00A96B72" w:rsidRPr="0036495F">
        <w:rPr>
          <w:sz w:val="24"/>
          <w:lang w:eastAsia="ja-JP"/>
        </w:rPr>
        <w:t>ing</w:t>
      </w:r>
      <w:r w:rsidRPr="0036495F">
        <w:rPr>
          <w:sz w:val="24"/>
          <w:lang w:eastAsia="ja-JP"/>
        </w:rPr>
        <w:t xml:space="preserve"> us </w:t>
      </w:r>
      <w:r w:rsidR="005A2FF6" w:rsidRPr="0036495F">
        <w:rPr>
          <w:rFonts w:hint="eastAsia"/>
          <w:sz w:val="24"/>
          <w:lang w:eastAsia="ja-JP"/>
        </w:rPr>
        <w:t xml:space="preserve">to </w:t>
      </w:r>
      <w:r w:rsidR="00271A7B" w:rsidRPr="0036495F">
        <w:rPr>
          <w:rFonts w:hint="eastAsia"/>
          <w:sz w:val="24"/>
          <w:lang w:eastAsia="ja-JP"/>
        </w:rPr>
        <w:t xml:space="preserve">examine </w:t>
      </w:r>
      <w:r w:rsidR="00A84E35">
        <w:rPr>
          <w:sz w:val="24"/>
          <w:lang w:eastAsia="ja-JP"/>
        </w:rPr>
        <w:t xml:space="preserve">the effect of </w:t>
      </w:r>
      <w:r w:rsidRPr="0036495F">
        <w:rPr>
          <w:sz w:val="24"/>
          <w:lang w:eastAsia="ja-JP"/>
        </w:rPr>
        <w:t>speculati</w:t>
      </w:r>
      <w:r w:rsidR="00386E0E">
        <w:rPr>
          <w:sz w:val="24"/>
          <w:lang w:eastAsia="ja-JP"/>
        </w:rPr>
        <w:t>ve</w:t>
      </w:r>
      <w:r w:rsidRPr="0036495F">
        <w:rPr>
          <w:rFonts w:hint="eastAsia"/>
          <w:sz w:val="24"/>
          <w:lang w:eastAsia="ja-JP"/>
        </w:rPr>
        <w:t xml:space="preserve"> </w:t>
      </w:r>
      <w:r w:rsidR="00304DF5" w:rsidRPr="0036495F">
        <w:rPr>
          <w:sz w:val="24"/>
          <w:lang w:eastAsia="ja-JP"/>
        </w:rPr>
        <w:t>trad</w:t>
      </w:r>
      <w:r w:rsidR="00386E0E">
        <w:rPr>
          <w:sz w:val="24"/>
          <w:lang w:eastAsia="ja-JP"/>
        </w:rPr>
        <w:t>ing</w:t>
      </w:r>
      <w:r w:rsidR="00304DF5" w:rsidRPr="0036495F">
        <w:rPr>
          <w:sz w:val="24"/>
          <w:lang w:eastAsia="ja-JP"/>
        </w:rPr>
        <w:t xml:space="preserve"> </w:t>
      </w:r>
      <w:r w:rsidR="00A84E35">
        <w:rPr>
          <w:sz w:val="24"/>
          <w:lang w:eastAsia="ja-JP"/>
        </w:rPr>
        <w:t>on price formation.</w:t>
      </w:r>
      <w:r w:rsidR="00271A7B" w:rsidRPr="0036495F">
        <w:rPr>
          <w:rFonts w:hint="eastAsia"/>
          <w:sz w:val="24"/>
          <w:lang w:eastAsia="ja-JP"/>
        </w:rPr>
        <w:t xml:space="preserve"> </w:t>
      </w:r>
      <w:r w:rsidR="00D40510">
        <w:rPr>
          <w:sz w:val="24"/>
          <w:lang w:eastAsia="ja-JP"/>
        </w:rPr>
        <w:t xml:space="preserve">We compare price </w:t>
      </w:r>
      <w:r w:rsidR="00A84E35">
        <w:rPr>
          <w:sz w:val="24"/>
          <w:lang w:eastAsia="ja-JP"/>
        </w:rPr>
        <w:t xml:space="preserve">deviation from the assets’ fundamental value in </w:t>
      </w:r>
      <w:r w:rsidR="00D40510">
        <w:rPr>
          <w:sz w:val="24"/>
          <w:lang w:eastAsia="ja-JP"/>
        </w:rPr>
        <w:t xml:space="preserve">markets with dividend-collecting investors </w:t>
      </w:r>
      <w:r w:rsidR="00A84E35">
        <w:rPr>
          <w:sz w:val="24"/>
          <w:lang w:eastAsia="ja-JP"/>
        </w:rPr>
        <w:t xml:space="preserve">to </w:t>
      </w:r>
      <w:r w:rsidR="00D40510">
        <w:rPr>
          <w:sz w:val="24"/>
          <w:lang w:eastAsia="ja-JP"/>
        </w:rPr>
        <w:t xml:space="preserve">markets with only speculating investors. </w:t>
      </w:r>
      <w:r w:rsidR="00271A7B" w:rsidRPr="0036495F">
        <w:rPr>
          <w:rFonts w:hint="eastAsia"/>
          <w:sz w:val="24"/>
          <w:lang w:eastAsia="ja-JP"/>
        </w:rPr>
        <w:t xml:space="preserve">We also vary the </w:t>
      </w:r>
      <w:r w:rsidR="005D50CA" w:rsidRPr="0036495F">
        <w:rPr>
          <w:sz w:val="24"/>
          <w:lang w:eastAsia="ja-JP"/>
        </w:rPr>
        <w:t xml:space="preserve">number of entering generations (and hence </w:t>
      </w:r>
      <w:r w:rsidR="001E146C" w:rsidRPr="0036495F">
        <w:rPr>
          <w:sz w:val="24"/>
          <w:lang w:eastAsia="ja-JP"/>
        </w:rPr>
        <w:t xml:space="preserve">the </w:t>
      </w:r>
      <w:r w:rsidR="003B6DA0">
        <w:rPr>
          <w:sz w:val="24"/>
          <w:lang w:eastAsia="ja-JP"/>
        </w:rPr>
        <w:t>number</w:t>
      </w:r>
      <w:r w:rsidR="00271A7B" w:rsidRPr="0036495F">
        <w:rPr>
          <w:rFonts w:hint="eastAsia"/>
          <w:sz w:val="24"/>
          <w:lang w:eastAsia="ja-JP"/>
        </w:rPr>
        <w:t xml:space="preserve"> of transfers of security</w:t>
      </w:r>
      <w:r w:rsidR="008C73A8" w:rsidRPr="0036495F">
        <w:rPr>
          <w:sz w:val="24"/>
          <w:lang w:eastAsia="ja-JP"/>
        </w:rPr>
        <w:t xml:space="preserve"> among </w:t>
      </w:r>
      <w:r w:rsidR="0036495F">
        <w:rPr>
          <w:sz w:val="24"/>
          <w:lang w:eastAsia="ja-JP"/>
        </w:rPr>
        <w:t>gener</w:t>
      </w:r>
      <w:r w:rsidR="0036495F">
        <w:rPr>
          <w:sz w:val="24"/>
          <w:lang w:eastAsia="ja-JP"/>
        </w:rPr>
        <w:t>a</w:t>
      </w:r>
      <w:r w:rsidR="0036495F">
        <w:rPr>
          <w:sz w:val="24"/>
          <w:lang w:eastAsia="ja-JP"/>
        </w:rPr>
        <w:t>tions of</w:t>
      </w:r>
      <w:r w:rsidRPr="0036495F">
        <w:rPr>
          <w:sz w:val="24"/>
          <w:lang w:eastAsia="ja-JP"/>
        </w:rPr>
        <w:t xml:space="preserve"> </w:t>
      </w:r>
      <w:r w:rsidR="008C73A8" w:rsidRPr="0036495F">
        <w:rPr>
          <w:sz w:val="24"/>
          <w:lang w:eastAsia="ja-JP"/>
        </w:rPr>
        <w:t>investors</w:t>
      </w:r>
      <w:r w:rsidR="00271A7B" w:rsidRPr="0036495F">
        <w:rPr>
          <w:rFonts w:hint="eastAsia"/>
          <w:sz w:val="24"/>
          <w:lang w:eastAsia="ja-JP"/>
        </w:rPr>
        <w:t xml:space="preserve">) </w:t>
      </w:r>
      <w:r w:rsidR="00D65A91" w:rsidRPr="0036495F">
        <w:rPr>
          <w:sz w:val="24"/>
          <w:lang w:eastAsia="ja-JP"/>
        </w:rPr>
        <w:t>to</w:t>
      </w:r>
      <w:r w:rsidR="00D65A91" w:rsidRPr="0036495F">
        <w:rPr>
          <w:rFonts w:hint="eastAsia"/>
          <w:sz w:val="24"/>
          <w:lang w:eastAsia="ja-JP"/>
        </w:rPr>
        <w:t xml:space="preserve"> </w:t>
      </w:r>
      <w:r w:rsidR="008C6917" w:rsidRPr="0036495F">
        <w:rPr>
          <w:sz w:val="24"/>
          <w:lang w:eastAsia="ja-JP"/>
        </w:rPr>
        <w:t>explore</w:t>
      </w:r>
      <w:r w:rsidR="008C6917" w:rsidRPr="0036495F">
        <w:rPr>
          <w:rFonts w:hint="eastAsia"/>
          <w:sz w:val="24"/>
          <w:lang w:eastAsia="ja-JP"/>
        </w:rPr>
        <w:t xml:space="preserve"> </w:t>
      </w:r>
      <w:r w:rsidR="00271A7B" w:rsidRPr="0036495F">
        <w:rPr>
          <w:rFonts w:hint="eastAsia"/>
          <w:sz w:val="24"/>
          <w:lang w:eastAsia="ja-JP"/>
        </w:rPr>
        <w:t xml:space="preserve">its effect on price </w:t>
      </w:r>
      <w:r w:rsidR="00304DF5" w:rsidRPr="0036495F">
        <w:rPr>
          <w:sz w:val="24"/>
          <w:lang w:eastAsia="ja-JP"/>
        </w:rPr>
        <w:t>formation</w:t>
      </w:r>
      <w:r w:rsidR="00271A7B" w:rsidRPr="0036495F">
        <w:rPr>
          <w:rFonts w:hint="eastAsia"/>
          <w:sz w:val="24"/>
          <w:lang w:eastAsia="ja-JP"/>
        </w:rPr>
        <w:t xml:space="preserve">. Furthermore, </w:t>
      </w:r>
      <w:r w:rsidR="00271A7B" w:rsidRPr="0036495F">
        <w:rPr>
          <w:sz w:val="24"/>
          <w:lang w:eastAsia="ja-JP"/>
        </w:rPr>
        <w:t>our choice of the si</w:t>
      </w:r>
      <w:r w:rsidR="00271A7B" w:rsidRPr="0036495F">
        <w:rPr>
          <w:sz w:val="24"/>
          <w:lang w:eastAsia="ja-JP"/>
        </w:rPr>
        <w:t>n</w:t>
      </w:r>
      <w:r w:rsidR="00271A7B" w:rsidRPr="0036495F">
        <w:rPr>
          <w:sz w:val="24"/>
          <w:lang w:eastAsia="ja-JP"/>
        </w:rPr>
        <w:t>gle non-stochastic common knowledge</w:t>
      </w:r>
      <w:r w:rsidR="00271A7B" w:rsidRPr="0036495F">
        <w:rPr>
          <w:rFonts w:hint="eastAsia"/>
          <w:sz w:val="24"/>
          <w:lang w:eastAsia="ja-JP"/>
        </w:rPr>
        <w:t xml:space="preserve"> dividend </w:t>
      </w:r>
      <w:r w:rsidR="00271A7B" w:rsidRPr="0036495F">
        <w:rPr>
          <w:sz w:val="24"/>
          <w:lang w:eastAsia="ja-JP"/>
        </w:rPr>
        <w:t>paid to holders of the security</w:t>
      </w:r>
      <w:r w:rsidR="00271A7B" w:rsidRPr="0036495F">
        <w:rPr>
          <w:rFonts w:hint="eastAsia"/>
          <w:sz w:val="24"/>
          <w:lang w:eastAsia="ja-JP"/>
        </w:rPr>
        <w:t xml:space="preserve"> at the end of </w:t>
      </w:r>
      <w:r w:rsidR="00D65A91" w:rsidRPr="0036495F">
        <w:rPr>
          <w:sz w:val="24"/>
          <w:lang w:eastAsia="ja-JP"/>
        </w:rPr>
        <w:t xml:space="preserve">the </w:t>
      </w:r>
      <w:r w:rsidRPr="0036495F">
        <w:rPr>
          <w:sz w:val="24"/>
          <w:lang w:eastAsia="ja-JP"/>
        </w:rPr>
        <w:t>final</w:t>
      </w:r>
      <w:r w:rsidRPr="0036495F">
        <w:rPr>
          <w:rFonts w:hint="eastAsia"/>
          <w:sz w:val="24"/>
          <w:lang w:eastAsia="ja-JP"/>
        </w:rPr>
        <w:t xml:space="preserve"> </w:t>
      </w:r>
      <w:r w:rsidR="00271A7B" w:rsidRPr="0036495F">
        <w:rPr>
          <w:rFonts w:hint="eastAsia"/>
          <w:sz w:val="24"/>
          <w:lang w:eastAsia="ja-JP"/>
        </w:rPr>
        <w:t>period leaves little room for doubt</w:t>
      </w:r>
      <w:r w:rsidR="00F12E8B">
        <w:rPr>
          <w:sz w:val="24"/>
          <w:lang w:eastAsia="ja-JP"/>
        </w:rPr>
        <w:t xml:space="preserve"> or confusion</w:t>
      </w:r>
      <w:r w:rsidR="00271A7B" w:rsidRPr="0036495F">
        <w:rPr>
          <w:rFonts w:hint="eastAsia"/>
          <w:sz w:val="24"/>
          <w:lang w:eastAsia="ja-JP"/>
        </w:rPr>
        <w:t xml:space="preserve"> in the </w:t>
      </w:r>
      <w:r w:rsidR="00271A7B" w:rsidRPr="0036495F">
        <w:rPr>
          <w:sz w:val="24"/>
          <w:lang w:eastAsia="ja-JP"/>
        </w:rPr>
        <w:t>mind</w:t>
      </w:r>
      <w:r w:rsidR="00271A7B" w:rsidRPr="0036495F">
        <w:rPr>
          <w:rFonts w:hint="eastAsia"/>
          <w:sz w:val="24"/>
          <w:lang w:eastAsia="ja-JP"/>
        </w:rPr>
        <w:t xml:space="preserve"> of any subject that the fundamental value of the security is </w:t>
      </w:r>
      <w:r w:rsidR="00271A7B" w:rsidRPr="0036495F">
        <w:rPr>
          <w:sz w:val="24"/>
          <w:lang w:eastAsia="ja-JP"/>
        </w:rPr>
        <w:t xml:space="preserve">indeed </w:t>
      </w:r>
      <w:r w:rsidR="00271A7B" w:rsidRPr="0036495F">
        <w:rPr>
          <w:rFonts w:hint="eastAsia"/>
          <w:sz w:val="24"/>
          <w:lang w:eastAsia="ja-JP"/>
        </w:rPr>
        <w:t>50.</w:t>
      </w:r>
      <w:r w:rsidR="00271A7B" w:rsidRPr="0036495F">
        <w:rPr>
          <w:rStyle w:val="Funotenzeichen"/>
          <w:sz w:val="24"/>
          <w:szCs w:val="24"/>
          <w:lang w:eastAsia="ja-JP"/>
        </w:rPr>
        <w:footnoteReference w:id="11"/>
      </w:r>
      <w:r w:rsidR="00A96B72" w:rsidRPr="0036495F">
        <w:rPr>
          <w:sz w:val="24"/>
          <w:lang w:eastAsia="ja-JP"/>
        </w:rPr>
        <w:t xml:space="preserve"> </w:t>
      </w:r>
    </w:p>
    <w:p w14:paraId="2AECAF36" w14:textId="0B1309EB" w:rsidR="007C6429" w:rsidRPr="0036495F" w:rsidRDefault="00A96B72" w:rsidP="0036495F">
      <w:pPr>
        <w:spacing w:line="480" w:lineRule="auto"/>
        <w:ind w:right="-45" w:firstLine="709"/>
        <w:jc w:val="both"/>
        <w:rPr>
          <w:sz w:val="24"/>
          <w:lang w:eastAsia="ja-JP"/>
        </w:rPr>
      </w:pPr>
      <w:r w:rsidRPr="0036495F">
        <w:rPr>
          <w:sz w:val="24"/>
          <w:lang w:eastAsia="ja-JP"/>
        </w:rPr>
        <w:t>S</w:t>
      </w:r>
      <w:r w:rsidR="004A4186" w:rsidRPr="0036495F">
        <w:rPr>
          <w:rFonts w:hint="eastAsia"/>
          <w:sz w:val="24"/>
          <w:lang w:eastAsia="ja-JP"/>
        </w:rPr>
        <w:t xml:space="preserve">tandard </w:t>
      </w:r>
      <w:r w:rsidR="004A4186" w:rsidRPr="0036495F">
        <w:rPr>
          <w:sz w:val="24"/>
          <w:lang w:eastAsia="ja-JP"/>
        </w:rPr>
        <w:t>finance theory</w:t>
      </w:r>
      <w:r w:rsidR="004A4186" w:rsidRPr="0036495F">
        <w:rPr>
          <w:rFonts w:hint="eastAsia"/>
          <w:sz w:val="24"/>
          <w:lang w:eastAsia="ja-JP"/>
        </w:rPr>
        <w:t xml:space="preserve"> predicts that</w:t>
      </w:r>
      <w:r w:rsidR="004A4186" w:rsidRPr="0036495F">
        <w:rPr>
          <w:sz w:val="24"/>
          <w:lang w:eastAsia="ja-JP"/>
        </w:rPr>
        <w:t xml:space="preserve"> even in a market populated by speculating inve</w:t>
      </w:r>
      <w:r w:rsidR="004A4186" w:rsidRPr="0036495F">
        <w:rPr>
          <w:sz w:val="24"/>
          <w:lang w:eastAsia="ja-JP"/>
        </w:rPr>
        <w:t>s</w:t>
      </w:r>
      <w:r w:rsidR="004A4186" w:rsidRPr="0036495F">
        <w:rPr>
          <w:sz w:val="24"/>
          <w:lang w:eastAsia="ja-JP"/>
        </w:rPr>
        <w:t xml:space="preserve">tors, the market price </w:t>
      </w:r>
      <w:r w:rsidR="004A4186" w:rsidRPr="0036495F">
        <w:rPr>
          <w:rFonts w:hint="eastAsia"/>
          <w:sz w:val="24"/>
          <w:lang w:eastAsia="ja-JP"/>
        </w:rPr>
        <w:t xml:space="preserve">of this security </w:t>
      </w:r>
      <w:r w:rsidR="004A4186" w:rsidRPr="0036495F">
        <w:rPr>
          <w:sz w:val="24"/>
          <w:lang w:eastAsia="ja-JP"/>
        </w:rPr>
        <w:t xml:space="preserve">should be </w:t>
      </w:r>
      <w:r w:rsidR="004A4186" w:rsidRPr="0036495F">
        <w:rPr>
          <w:rFonts w:hint="eastAsia"/>
          <w:sz w:val="24"/>
          <w:lang w:eastAsia="ja-JP"/>
        </w:rPr>
        <w:t xml:space="preserve">close to </w:t>
      </w:r>
      <w:r w:rsidR="004A4186" w:rsidRPr="0036495F">
        <w:rPr>
          <w:sz w:val="24"/>
          <w:lang w:eastAsia="ja-JP"/>
        </w:rPr>
        <w:t>the fundamental value of 50</w:t>
      </w:r>
      <w:r w:rsidR="004A4186" w:rsidRPr="0036495F">
        <w:rPr>
          <w:rFonts w:hint="eastAsia"/>
          <w:sz w:val="24"/>
          <w:lang w:eastAsia="ja-JP"/>
        </w:rPr>
        <w:t xml:space="preserve"> </w:t>
      </w:r>
      <w:r w:rsidR="004A4186" w:rsidRPr="0036495F">
        <w:rPr>
          <w:sz w:val="24"/>
          <w:lang w:eastAsia="ja-JP"/>
        </w:rPr>
        <w:t>throug</w:t>
      </w:r>
      <w:r w:rsidR="004A4186" w:rsidRPr="0036495F">
        <w:rPr>
          <w:sz w:val="24"/>
          <w:lang w:eastAsia="ja-JP"/>
        </w:rPr>
        <w:t>h</w:t>
      </w:r>
      <w:r w:rsidR="004A4186" w:rsidRPr="0036495F">
        <w:rPr>
          <w:sz w:val="24"/>
          <w:lang w:eastAsia="ja-JP"/>
        </w:rPr>
        <w:t>out</w:t>
      </w:r>
      <w:r w:rsidR="004A4186" w:rsidRPr="0036495F">
        <w:rPr>
          <w:rFonts w:hint="eastAsia"/>
          <w:sz w:val="24"/>
          <w:lang w:eastAsia="ja-JP"/>
        </w:rPr>
        <w:t xml:space="preserve">, </w:t>
      </w:r>
      <w:r w:rsidR="004A4186" w:rsidRPr="0036495F">
        <w:rPr>
          <w:sz w:val="24"/>
          <w:lang w:eastAsia="ja-JP"/>
        </w:rPr>
        <w:t>since</w:t>
      </w:r>
      <w:r w:rsidR="004A4186" w:rsidRPr="0036495F">
        <w:rPr>
          <w:rFonts w:hint="eastAsia"/>
          <w:sz w:val="24"/>
          <w:lang w:eastAsia="ja-JP"/>
        </w:rPr>
        <w:t xml:space="preserve"> 50 is the price at the REE at which each generation of investors arrive </w:t>
      </w:r>
      <w:r w:rsidR="004A4186" w:rsidRPr="0036495F">
        <w:rPr>
          <w:sz w:val="24"/>
          <w:lang w:eastAsia="ja-JP"/>
        </w:rPr>
        <w:t>through</w:t>
      </w:r>
      <w:r w:rsidR="004A4186" w:rsidRPr="0036495F">
        <w:rPr>
          <w:rFonts w:hint="eastAsia"/>
          <w:sz w:val="24"/>
          <w:lang w:eastAsia="ja-JP"/>
        </w:rPr>
        <w:t xml:space="preserve"> backward induction.</w:t>
      </w:r>
      <w:r w:rsidR="004A4186" w:rsidRPr="0036495F">
        <w:rPr>
          <w:sz w:val="24"/>
          <w:lang w:eastAsia="ja-JP"/>
        </w:rPr>
        <w:t xml:space="preserve"> </w:t>
      </w:r>
      <w:r w:rsidR="004A4186" w:rsidRPr="0036495F">
        <w:rPr>
          <w:rFonts w:hint="eastAsia"/>
          <w:sz w:val="24"/>
          <w:lang w:eastAsia="ja-JP"/>
        </w:rPr>
        <w:t xml:space="preserve">However, </w:t>
      </w:r>
      <w:r w:rsidR="004A4186" w:rsidRPr="0036495F">
        <w:rPr>
          <w:sz w:val="24"/>
          <w:lang w:eastAsia="ja-JP"/>
        </w:rPr>
        <w:t>o</w:t>
      </w:r>
      <w:r w:rsidR="005D50CA" w:rsidRPr="0036495F">
        <w:rPr>
          <w:sz w:val="24"/>
          <w:lang w:eastAsia="ja-JP"/>
        </w:rPr>
        <w:t>ur</w:t>
      </w:r>
      <w:r w:rsidR="00271A7B" w:rsidRPr="0036495F">
        <w:rPr>
          <w:rFonts w:hint="eastAsia"/>
          <w:sz w:val="24"/>
          <w:lang w:eastAsia="ja-JP"/>
        </w:rPr>
        <w:t xml:space="preserve"> experimental results show</w:t>
      </w:r>
      <w:r w:rsidR="00271A7B" w:rsidRPr="0036495F">
        <w:rPr>
          <w:sz w:val="24"/>
          <w:lang w:eastAsia="ja-JP"/>
        </w:rPr>
        <w:t xml:space="preserve"> that with </w:t>
      </w:r>
      <w:r w:rsidR="00271A7B" w:rsidRPr="0036495F">
        <w:rPr>
          <w:rFonts w:hint="eastAsia"/>
          <w:sz w:val="24"/>
          <w:lang w:eastAsia="ja-JP"/>
        </w:rPr>
        <w:t xml:space="preserve">speculating investors </w:t>
      </w:r>
      <w:r w:rsidR="00271A7B" w:rsidRPr="0036495F">
        <w:rPr>
          <w:sz w:val="24"/>
          <w:lang w:eastAsia="ja-JP"/>
        </w:rPr>
        <w:t>in the market, transaction prices deviate substantially from 50.</w:t>
      </w:r>
      <w:r w:rsidR="00271A7B" w:rsidRPr="0036495F">
        <w:rPr>
          <w:rFonts w:hint="eastAsia"/>
          <w:sz w:val="24"/>
          <w:lang w:eastAsia="ja-JP"/>
        </w:rPr>
        <w:t xml:space="preserve"> </w:t>
      </w:r>
      <w:r w:rsidR="00271A7B" w:rsidRPr="0036495F">
        <w:rPr>
          <w:sz w:val="24"/>
          <w:lang w:eastAsia="ja-JP"/>
        </w:rPr>
        <w:t>Specifically</w:t>
      </w:r>
      <w:r w:rsidR="00271A7B" w:rsidRPr="0036495F">
        <w:rPr>
          <w:rFonts w:hint="eastAsia"/>
          <w:sz w:val="24"/>
          <w:lang w:eastAsia="ja-JP"/>
        </w:rPr>
        <w:t xml:space="preserve">, we </w:t>
      </w:r>
      <w:r w:rsidR="00271A7B" w:rsidRPr="0036495F">
        <w:rPr>
          <w:sz w:val="24"/>
          <w:lang w:eastAsia="ja-JP"/>
        </w:rPr>
        <w:t>find</w:t>
      </w:r>
      <w:r w:rsidR="00271A7B" w:rsidRPr="0036495F">
        <w:rPr>
          <w:rFonts w:hint="eastAsia"/>
          <w:sz w:val="24"/>
          <w:lang w:eastAsia="ja-JP"/>
        </w:rPr>
        <w:t xml:space="preserve"> that</w:t>
      </w:r>
      <w:r w:rsidR="0036495F">
        <w:rPr>
          <w:sz w:val="24"/>
          <w:lang w:eastAsia="ja-JP"/>
        </w:rPr>
        <w:t xml:space="preserve"> </w:t>
      </w:r>
      <w:r w:rsidR="0036495F" w:rsidRPr="0036495F">
        <w:rPr>
          <w:sz w:val="24"/>
          <w:lang w:eastAsia="ja-JP"/>
        </w:rPr>
        <w:t>(</w:t>
      </w:r>
      <w:proofErr w:type="spellStart"/>
      <w:r w:rsidR="0036495F" w:rsidRPr="0036495F">
        <w:rPr>
          <w:sz w:val="24"/>
          <w:lang w:eastAsia="ja-JP"/>
        </w:rPr>
        <w:t>i</w:t>
      </w:r>
      <w:proofErr w:type="spellEnd"/>
      <w:r w:rsidR="0036495F" w:rsidRPr="0036495F">
        <w:rPr>
          <w:sz w:val="24"/>
          <w:lang w:eastAsia="ja-JP"/>
        </w:rPr>
        <w:t xml:space="preserve">) </w:t>
      </w:r>
      <w:r w:rsidR="0036495F" w:rsidRPr="0036495F">
        <w:rPr>
          <w:rFonts w:hint="eastAsia"/>
          <w:sz w:val="24"/>
          <w:lang w:eastAsia="ja-JP"/>
        </w:rPr>
        <w:t xml:space="preserve">in </w:t>
      </w:r>
      <w:r w:rsidR="0036495F" w:rsidRPr="0036495F">
        <w:rPr>
          <w:sz w:val="24"/>
          <w:lang w:eastAsia="ja-JP"/>
        </w:rPr>
        <w:lastRenderedPageBreak/>
        <w:t>periods</w:t>
      </w:r>
      <w:r w:rsidR="0036495F" w:rsidRPr="0036495F">
        <w:rPr>
          <w:rFonts w:hint="eastAsia"/>
          <w:sz w:val="24"/>
          <w:lang w:eastAsia="ja-JP"/>
        </w:rPr>
        <w:t xml:space="preserve"> with only speculati</w:t>
      </w:r>
      <w:r w:rsidR="0036495F" w:rsidRPr="0036495F">
        <w:rPr>
          <w:sz w:val="24"/>
          <w:lang w:eastAsia="ja-JP"/>
        </w:rPr>
        <w:t>ng</w:t>
      </w:r>
      <w:r w:rsidR="0036495F" w:rsidRPr="0036495F">
        <w:rPr>
          <w:rFonts w:hint="eastAsia"/>
          <w:sz w:val="24"/>
          <w:lang w:eastAsia="ja-JP"/>
        </w:rPr>
        <w:t xml:space="preserve"> investors </w:t>
      </w:r>
      <w:r w:rsidR="0036495F" w:rsidRPr="0036495F">
        <w:rPr>
          <w:sz w:val="24"/>
          <w:lang w:eastAsia="ja-JP"/>
        </w:rPr>
        <w:t>present</w:t>
      </w:r>
      <w:r w:rsidR="0036495F" w:rsidRPr="0036495F">
        <w:rPr>
          <w:rFonts w:hint="eastAsia"/>
          <w:sz w:val="24"/>
          <w:lang w:eastAsia="ja-JP"/>
        </w:rPr>
        <w:t xml:space="preserve"> </w:t>
      </w:r>
      <w:r w:rsidR="0036495F" w:rsidRPr="0036495F">
        <w:rPr>
          <w:sz w:val="24"/>
          <w:lang w:eastAsia="ja-JP"/>
        </w:rPr>
        <w:t xml:space="preserve">prices </w:t>
      </w:r>
      <w:r w:rsidR="0036495F" w:rsidRPr="0036495F">
        <w:rPr>
          <w:rFonts w:hint="eastAsia"/>
          <w:sz w:val="24"/>
          <w:lang w:eastAsia="ja-JP"/>
        </w:rPr>
        <w:t>are more likely to depart from fund</w:t>
      </w:r>
      <w:r w:rsidR="0036495F" w:rsidRPr="0036495F">
        <w:rPr>
          <w:rFonts w:hint="eastAsia"/>
          <w:sz w:val="24"/>
          <w:lang w:eastAsia="ja-JP"/>
        </w:rPr>
        <w:t>a</w:t>
      </w:r>
      <w:r w:rsidR="0036495F" w:rsidRPr="0036495F">
        <w:rPr>
          <w:rFonts w:hint="eastAsia"/>
          <w:sz w:val="24"/>
          <w:lang w:eastAsia="ja-JP"/>
        </w:rPr>
        <w:t xml:space="preserve">mentals, compared to prices in </w:t>
      </w:r>
      <w:r w:rsidR="0036495F" w:rsidRPr="0036495F">
        <w:rPr>
          <w:sz w:val="24"/>
          <w:lang w:eastAsia="ja-JP"/>
        </w:rPr>
        <w:t>periods</w:t>
      </w:r>
      <w:r w:rsidR="0036495F" w:rsidRPr="0036495F">
        <w:rPr>
          <w:rFonts w:hint="eastAsia"/>
          <w:sz w:val="24"/>
          <w:lang w:eastAsia="ja-JP"/>
        </w:rPr>
        <w:t xml:space="preserve"> </w:t>
      </w:r>
      <w:r w:rsidR="0036495F" w:rsidRPr="0036495F">
        <w:rPr>
          <w:sz w:val="24"/>
          <w:lang w:eastAsia="ja-JP"/>
        </w:rPr>
        <w:t>in which</w:t>
      </w:r>
      <w:r w:rsidR="0036495F" w:rsidRPr="0036495F">
        <w:rPr>
          <w:rFonts w:hint="eastAsia"/>
          <w:sz w:val="24"/>
          <w:lang w:eastAsia="ja-JP"/>
        </w:rPr>
        <w:t xml:space="preserve"> dividend</w:t>
      </w:r>
      <w:r w:rsidR="0036495F" w:rsidRPr="0036495F">
        <w:rPr>
          <w:sz w:val="24"/>
          <w:lang w:eastAsia="ja-JP"/>
        </w:rPr>
        <w:t>-</w:t>
      </w:r>
      <w:r w:rsidR="0036495F" w:rsidRPr="0036495F">
        <w:rPr>
          <w:rFonts w:hint="eastAsia"/>
          <w:sz w:val="24"/>
          <w:lang w:eastAsia="ja-JP"/>
        </w:rPr>
        <w:t>collecting investors</w:t>
      </w:r>
      <w:r w:rsidR="0036495F" w:rsidRPr="0036495F">
        <w:rPr>
          <w:sz w:val="24"/>
          <w:lang w:eastAsia="ja-JP"/>
        </w:rPr>
        <w:t xml:space="preserve"> are present;</w:t>
      </w:r>
      <w:r w:rsidR="0036495F" w:rsidRPr="0036495F">
        <w:rPr>
          <w:rFonts w:hint="eastAsia"/>
          <w:sz w:val="24"/>
          <w:lang w:eastAsia="ja-JP"/>
        </w:rPr>
        <w:t xml:space="preserve"> </w:t>
      </w:r>
      <w:r w:rsidR="0036495F" w:rsidRPr="0036495F">
        <w:rPr>
          <w:sz w:val="24"/>
          <w:lang w:eastAsia="ja-JP"/>
        </w:rPr>
        <w:t xml:space="preserve">(ii) </w:t>
      </w:r>
      <w:r w:rsidR="0036495F">
        <w:rPr>
          <w:sz w:val="24"/>
          <w:lang w:eastAsia="ja-JP"/>
        </w:rPr>
        <w:t xml:space="preserve">volatility of prices is higher when only speculating investors are present; (iii) </w:t>
      </w:r>
      <w:r w:rsidR="0036495F" w:rsidRPr="0036495F">
        <w:rPr>
          <w:sz w:val="24"/>
          <w:lang w:eastAsia="ja-JP"/>
        </w:rPr>
        <w:t xml:space="preserve">the “mispricing” is </w:t>
      </w:r>
      <w:r w:rsidR="00A16648">
        <w:rPr>
          <w:sz w:val="24"/>
          <w:lang w:eastAsia="ja-JP"/>
        </w:rPr>
        <w:t xml:space="preserve">likely to be </w:t>
      </w:r>
      <w:r w:rsidR="0036495F" w:rsidRPr="0036495F">
        <w:rPr>
          <w:sz w:val="24"/>
          <w:lang w:eastAsia="ja-JP"/>
        </w:rPr>
        <w:t>strategic rather than irrational; (</w:t>
      </w:r>
      <w:r w:rsidR="0036495F" w:rsidRPr="0036495F">
        <w:rPr>
          <w:rFonts w:hint="eastAsia"/>
          <w:sz w:val="24"/>
          <w:lang w:eastAsia="ja-JP"/>
        </w:rPr>
        <w:t>i</w:t>
      </w:r>
      <w:r w:rsidR="0036495F">
        <w:rPr>
          <w:sz w:val="24"/>
          <w:lang w:eastAsia="ja-JP"/>
        </w:rPr>
        <w:t>v</w:t>
      </w:r>
      <w:r w:rsidR="0036495F" w:rsidRPr="0036495F">
        <w:rPr>
          <w:sz w:val="24"/>
          <w:lang w:eastAsia="ja-JP"/>
        </w:rPr>
        <w:t xml:space="preserve">) </w:t>
      </w:r>
      <w:r w:rsidR="0036495F" w:rsidRPr="0036495F">
        <w:rPr>
          <w:rFonts w:hint="eastAsia"/>
          <w:sz w:val="24"/>
          <w:lang w:eastAsia="ja-JP"/>
        </w:rPr>
        <w:t>p</w:t>
      </w:r>
      <w:r w:rsidR="0036495F" w:rsidRPr="0036495F">
        <w:rPr>
          <w:sz w:val="24"/>
          <w:lang w:eastAsia="ja-JP"/>
        </w:rPr>
        <w:t xml:space="preserve">rices </w:t>
      </w:r>
      <w:r w:rsidR="0036495F" w:rsidRPr="0036495F">
        <w:rPr>
          <w:rFonts w:hint="eastAsia"/>
          <w:sz w:val="24"/>
          <w:lang w:eastAsia="ja-JP"/>
        </w:rPr>
        <w:t>are more likely to depart from fund</w:t>
      </w:r>
      <w:r w:rsidR="0036495F" w:rsidRPr="0036495F">
        <w:rPr>
          <w:rFonts w:hint="eastAsia"/>
          <w:sz w:val="24"/>
          <w:lang w:eastAsia="ja-JP"/>
        </w:rPr>
        <w:t>a</w:t>
      </w:r>
      <w:r w:rsidR="0036495F" w:rsidRPr="0036495F">
        <w:rPr>
          <w:rFonts w:hint="eastAsia"/>
          <w:sz w:val="24"/>
          <w:lang w:eastAsia="ja-JP"/>
        </w:rPr>
        <w:t xml:space="preserve">mentals as the securities change hands </w:t>
      </w:r>
      <w:r w:rsidR="0036495F" w:rsidRPr="0036495F">
        <w:rPr>
          <w:sz w:val="24"/>
          <w:lang w:eastAsia="ja-JP"/>
        </w:rPr>
        <w:t xml:space="preserve">among speculating investors </w:t>
      </w:r>
      <w:r w:rsidR="0036495F" w:rsidRPr="0036495F">
        <w:rPr>
          <w:rFonts w:hint="eastAsia"/>
          <w:sz w:val="24"/>
          <w:lang w:eastAsia="ja-JP"/>
        </w:rPr>
        <w:t>more often over their 16 period life (i.e., the holding period of</w:t>
      </w:r>
      <w:r w:rsidR="0036495F" w:rsidRPr="0036495F">
        <w:rPr>
          <w:sz w:val="24"/>
          <w:lang w:eastAsia="ja-JP"/>
        </w:rPr>
        <w:t xml:space="preserve"> speculating</w:t>
      </w:r>
      <w:r w:rsidR="0036495F" w:rsidRPr="0036495F">
        <w:rPr>
          <w:rFonts w:hint="eastAsia"/>
          <w:sz w:val="24"/>
          <w:lang w:eastAsia="ja-JP"/>
        </w:rPr>
        <w:t xml:space="preserve"> investors shrink</w:t>
      </w:r>
      <w:r w:rsidR="0036495F" w:rsidRPr="0036495F">
        <w:rPr>
          <w:sz w:val="24"/>
          <w:lang w:eastAsia="ja-JP"/>
        </w:rPr>
        <w:t>s</w:t>
      </w:r>
      <w:r w:rsidR="00F12E8B">
        <w:rPr>
          <w:sz w:val="24"/>
          <w:lang w:eastAsia="ja-JP"/>
        </w:rPr>
        <w:t xml:space="preserve"> and more steps of iterative reasoning are called for</w:t>
      </w:r>
      <w:r w:rsidR="0036495F" w:rsidRPr="0036495F">
        <w:rPr>
          <w:rFonts w:hint="eastAsia"/>
          <w:sz w:val="24"/>
          <w:lang w:eastAsia="ja-JP"/>
        </w:rPr>
        <w:t>)</w:t>
      </w:r>
      <w:r w:rsidR="0036495F" w:rsidRPr="0036495F">
        <w:rPr>
          <w:sz w:val="24"/>
          <w:lang w:eastAsia="ja-JP"/>
        </w:rPr>
        <w:t>;</w:t>
      </w:r>
      <w:r w:rsidR="0036495F" w:rsidRPr="0036495F">
        <w:rPr>
          <w:rFonts w:hint="eastAsia"/>
          <w:sz w:val="24"/>
          <w:lang w:eastAsia="ja-JP"/>
        </w:rPr>
        <w:t xml:space="preserve"> </w:t>
      </w:r>
      <w:r w:rsidR="0036495F">
        <w:rPr>
          <w:sz w:val="24"/>
          <w:lang w:eastAsia="ja-JP"/>
        </w:rPr>
        <w:t>v</w:t>
      </w:r>
      <w:r w:rsidR="0036495F" w:rsidRPr="0036495F">
        <w:rPr>
          <w:rFonts w:hint="eastAsia"/>
          <w:sz w:val="24"/>
          <w:lang w:eastAsia="ja-JP"/>
        </w:rPr>
        <w:t xml:space="preserve">) speculative trading </w:t>
      </w:r>
      <w:r w:rsidR="00F12E8B">
        <w:rPr>
          <w:sz w:val="24"/>
          <w:lang w:eastAsia="ja-JP"/>
        </w:rPr>
        <w:t xml:space="preserve">pushes prices </w:t>
      </w:r>
      <w:r w:rsidR="0036495F" w:rsidRPr="0036495F">
        <w:rPr>
          <w:rFonts w:hint="eastAsia"/>
          <w:sz w:val="24"/>
          <w:lang w:eastAsia="ja-JP"/>
        </w:rPr>
        <w:t xml:space="preserve">upward </w:t>
      </w:r>
      <w:r w:rsidR="0036495F" w:rsidRPr="0036495F">
        <w:rPr>
          <w:sz w:val="24"/>
          <w:lang w:eastAsia="ja-JP"/>
        </w:rPr>
        <w:t>(downward) when</w:t>
      </w:r>
      <w:r w:rsidR="0036495F" w:rsidRPr="0036495F">
        <w:rPr>
          <w:rFonts w:hint="eastAsia"/>
          <w:sz w:val="24"/>
          <w:lang w:eastAsia="ja-JP"/>
        </w:rPr>
        <w:t xml:space="preserve"> l</w:t>
      </w:r>
      <w:r w:rsidR="0036495F" w:rsidRPr="0036495F">
        <w:rPr>
          <w:rFonts w:hint="eastAsia"/>
          <w:sz w:val="24"/>
          <w:lang w:eastAsia="ja-JP"/>
        </w:rPr>
        <w:t>i</w:t>
      </w:r>
      <w:r w:rsidR="0036495F" w:rsidRPr="0036495F">
        <w:rPr>
          <w:rFonts w:hint="eastAsia"/>
          <w:sz w:val="24"/>
          <w:lang w:eastAsia="ja-JP"/>
        </w:rPr>
        <w:t xml:space="preserve">quidity </w:t>
      </w:r>
      <w:r w:rsidR="0036495F" w:rsidRPr="0036495F">
        <w:rPr>
          <w:sz w:val="24"/>
          <w:lang w:eastAsia="ja-JP"/>
        </w:rPr>
        <w:t>is high (low)</w:t>
      </w:r>
      <w:r w:rsidR="0036495F">
        <w:rPr>
          <w:sz w:val="24"/>
          <w:lang w:eastAsia="ja-JP"/>
        </w:rPr>
        <w:t>, i.e.</w:t>
      </w:r>
      <w:r w:rsidR="00940810">
        <w:rPr>
          <w:sz w:val="24"/>
          <w:lang w:eastAsia="ja-JP"/>
        </w:rPr>
        <w:t>,</w:t>
      </w:r>
      <w:r w:rsidR="0036495F">
        <w:rPr>
          <w:sz w:val="24"/>
          <w:lang w:eastAsia="ja-JP"/>
        </w:rPr>
        <w:t xml:space="preserve"> </w:t>
      </w:r>
      <w:r w:rsidR="0036495F" w:rsidRPr="0036495F">
        <w:rPr>
          <w:sz w:val="24"/>
          <w:lang w:eastAsia="ja-JP"/>
        </w:rPr>
        <w:t xml:space="preserve">higher liquidity provided through higher </w:t>
      </w:r>
      <w:r w:rsidR="0036495F" w:rsidRPr="0036495F">
        <w:rPr>
          <w:rFonts w:hint="eastAsia"/>
          <w:sz w:val="24"/>
          <w:lang w:eastAsia="ja-JP"/>
        </w:rPr>
        <w:t xml:space="preserve">cash </w:t>
      </w:r>
      <w:r w:rsidR="0036495F" w:rsidRPr="0036495F">
        <w:rPr>
          <w:sz w:val="24"/>
          <w:lang w:eastAsia="ja-JP"/>
        </w:rPr>
        <w:t xml:space="preserve">endowments </w:t>
      </w:r>
      <w:r w:rsidR="0036495F" w:rsidRPr="0036495F">
        <w:rPr>
          <w:rFonts w:hint="eastAsia"/>
          <w:sz w:val="24"/>
          <w:lang w:eastAsia="ja-JP"/>
        </w:rPr>
        <w:t xml:space="preserve">in the </w:t>
      </w:r>
      <w:r w:rsidR="0036495F" w:rsidRPr="0036495F">
        <w:rPr>
          <w:sz w:val="24"/>
          <w:lang w:eastAsia="ja-JP"/>
        </w:rPr>
        <w:t>market</w:t>
      </w:r>
      <w:r w:rsidR="0036495F" w:rsidRPr="0036495F">
        <w:rPr>
          <w:rFonts w:hint="eastAsia"/>
          <w:sz w:val="24"/>
          <w:lang w:eastAsia="ja-JP"/>
        </w:rPr>
        <w:t xml:space="preserve"> </w:t>
      </w:r>
      <w:r w:rsidR="0036495F" w:rsidRPr="0036495F">
        <w:rPr>
          <w:sz w:val="24"/>
          <w:lang w:eastAsia="ja-JP"/>
        </w:rPr>
        <w:t>raises prices above the fundamental value and</w:t>
      </w:r>
      <w:r w:rsidR="0036495F" w:rsidRPr="0036495F">
        <w:rPr>
          <w:rFonts w:hint="eastAsia"/>
          <w:sz w:val="24"/>
          <w:lang w:eastAsia="ja-JP"/>
        </w:rPr>
        <w:t xml:space="preserve"> </w:t>
      </w:r>
      <w:r w:rsidR="0036495F" w:rsidRPr="0036495F">
        <w:rPr>
          <w:sz w:val="24"/>
          <w:lang w:eastAsia="ja-JP"/>
        </w:rPr>
        <w:t>prices</w:t>
      </w:r>
      <w:r w:rsidR="0036495F" w:rsidRPr="0036495F">
        <w:rPr>
          <w:rFonts w:hint="eastAsia"/>
          <w:sz w:val="24"/>
          <w:lang w:eastAsia="ja-JP"/>
        </w:rPr>
        <w:t xml:space="preserve"> </w:t>
      </w:r>
      <w:r w:rsidR="0036495F" w:rsidRPr="0036495F">
        <w:rPr>
          <w:sz w:val="24"/>
          <w:lang w:eastAsia="ja-JP"/>
        </w:rPr>
        <w:t>fall short of the fundamental va</w:t>
      </w:r>
      <w:r w:rsidR="0036495F" w:rsidRPr="0036495F">
        <w:rPr>
          <w:sz w:val="24"/>
          <w:lang w:eastAsia="ja-JP"/>
        </w:rPr>
        <w:t>l</w:t>
      </w:r>
      <w:r w:rsidR="0036495F" w:rsidRPr="0036495F">
        <w:rPr>
          <w:sz w:val="24"/>
          <w:lang w:eastAsia="ja-JP"/>
        </w:rPr>
        <w:t>ue in low-liquidity</w:t>
      </w:r>
      <w:r w:rsidR="0036495F" w:rsidRPr="0036495F">
        <w:rPr>
          <w:rFonts w:hint="eastAsia"/>
          <w:sz w:val="24"/>
          <w:lang w:eastAsia="ja-JP"/>
        </w:rPr>
        <w:t xml:space="preserve"> sessions</w:t>
      </w:r>
      <w:r w:rsidR="0036495F">
        <w:rPr>
          <w:sz w:val="24"/>
          <w:lang w:eastAsia="ja-JP"/>
        </w:rPr>
        <w:t xml:space="preserve">. </w:t>
      </w:r>
      <w:r w:rsidR="007C6429" w:rsidRPr="0036495F">
        <w:rPr>
          <w:rFonts w:hint="eastAsia"/>
          <w:sz w:val="24"/>
          <w:lang w:eastAsia="ja-JP"/>
        </w:rPr>
        <w:t>These laboratory results do not support the REE prediction made by standard finance theory</w:t>
      </w:r>
      <w:r w:rsidR="005D50CA" w:rsidRPr="0036495F">
        <w:rPr>
          <w:sz w:val="24"/>
          <w:lang w:eastAsia="ja-JP"/>
        </w:rPr>
        <w:t>, but</w:t>
      </w:r>
      <w:r w:rsidR="007C6429" w:rsidRPr="0036495F">
        <w:rPr>
          <w:sz w:val="24"/>
          <w:lang w:eastAsia="ja-JP"/>
        </w:rPr>
        <w:t xml:space="preserve"> </w:t>
      </w:r>
      <w:r w:rsidR="007C6429" w:rsidRPr="0036495F">
        <w:rPr>
          <w:rFonts w:hint="eastAsia"/>
          <w:sz w:val="24"/>
          <w:lang w:eastAsia="ja-JP"/>
        </w:rPr>
        <w:t>suggest that speculation lead</w:t>
      </w:r>
      <w:r w:rsidR="007C6429" w:rsidRPr="0036495F">
        <w:rPr>
          <w:sz w:val="24"/>
          <w:lang w:eastAsia="ja-JP"/>
        </w:rPr>
        <w:t>s</w:t>
      </w:r>
      <w:r w:rsidR="007C6429" w:rsidRPr="0036495F">
        <w:rPr>
          <w:rFonts w:hint="eastAsia"/>
          <w:sz w:val="24"/>
          <w:lang w:eastAsia="ja-JP"/>
        </w:rPr>
        <w:t xml:space="preserve"> to </w:t>
      </w:r>
      <w:r w:rsidR="00B17031" w:rsidRPr="0036495F">
        <w:rPr>
          <w:sz w:val="24"/>
          <w:lang w:eastAsia="ja-JP"/>
        </w:rPr>
        <w:t>price bubbles</w:t>
      </w:r>
      <w:r w:rsidRPr="0036495F">
        <w:rPr>
          <w:sz w:val="24"/>
          <w:lang w:eastAsia="ja-JP"/>
        </w:rPr>
        <w:t xml:space="preserve"> (positive as well as negative; </w:t>
      </w:r>
      <w:r w:rsidR="00F12E8B">
        <w:rPr>
          <w:sz w:val="24"/>
          <w:lang w:eastAsia="ja-JP"/>
        </w:rPr>
        <w:t xml:space="preserve">the direction driven </w:t>
      </w:r>
      <w:r w:rsidRPr="0036495F">
        <w:rPr>
          <w:sz w:val="24"/>
          <w:lang w:eastAsia="ja-JP"/>
        </w:rPr>
        <w:t>mostly by liquidity)</w:t>
      </w:r>
      <w:r w:rsidR="00FF2091">
        <w:rPr>
          <w:sz w:val="24"/>
          <w:lang w:eastAsia="ja-JP"/>
        </w:rPr>
        <w:t xml:space="preserve"> and higher price volatility</w:t>
      </w:r>
      <w:r w:rsidR="007C6429" w:rsidRPr="0036495F">
        <w:rPr>
          <w:sz w:val="24"/>
          <w:lang w:eastAsia="ja-JP"/>
        </w:rPr>
        <w:t xml:space="preserve">. </w:t>
      </w:r>
    </w:p>
    <w:p w14:paraId="550A7F36" w14:textId="02FEFADF" w:rsidR="00593F4E" w:rsidRPr="0036495F" w:rsidRDefault="00BB0F00" w:rsidP="008E44F4">
      <w:pPr>
        <w:spacing w:line="480" w:lineRule="auto"/>
        <w:ind w:right="-45" w:firstLine="709"/>
        <w:jc w:val="both"/>
        <w:rPr>
          <w:sz w:val="24"/>
          <w:lang w:eastAsia="ja-JP"/>
        </w:rPr>
      </w:pPr>
      <w:r w:rsidRPr="0036495F">
        <w:rPr>
          <w:sz w:val="24"/>
          <w:lang w:eastAsia="ja-JP"/>
        </w:rPr>
        <w:t xml:space="preserve">The paper is organized as follows. Section 2 describes the experimental design and procedures. Section 3 presents </w:t>
      </w:r>
      <w:r w:rsidR="001D40BE" w:rsidRPr="0036495F">
        <w:rPr>
          <w:sz w:val="24"/>
          <w:lang w:eastAsia="ja-JP"/>
        </w:rPr>
        <w:t xml:space="preserve">the </w:t>
      </w:r>
      <w:r w:rsidRPr="0036495F">
        <w:rPr>
          <w:sz w:val="24"/>
          <w:lang w:eastAsia="ja-JP"/>
        </w:rPr>
        <w:t>hypothes</w:t>
      </w:r>
      <w:r w:rsidR="001D40BE" w:rsidRPr="0036495F">
        <w:rPr>
          <w:sz w:val="24"/>
          <w:lang w:eastAsia="ja-JP"/>
        </w:rPr>
        <w:t>e</w:t>
      </w:r>
      <w:r w:rsidRPr="0036495F">
        <w:rPr>
          <w:sz w:val="24"/>
          <w:lang w:eastAsia="ja-JP"/>
        </w:rPr>
        <w:t>s to be tested in the laboratory. Section 4 reports experimental results</w:t>
      </w:r>
      <w:r w:rsidR="001D40BE" w:rsidRPr="0036495F">
        <w:rPr>
          <w:sz w:val="24"/>
          <w:lang w:eastAsia="ja-JP"/>
        </w:rPr>
        <w:t xml:space="preserve"> and</w:t>
      </w:r>
      <w:r w:rsidRPr="0036495F">
        <w:rPr>
          <w:sz w:val="24"/>
          <w:lang w:eastAsia="ja-JP"/>
        </w:rPr>
        <w:t xml:space="preserve"> Section 5 discusses the imp</w:t>
      </w:r>
      <w:r w:rsidR="00B63143" w:rsidRPr="0036495F">
        <w:rPr>
          <w:sz w:val="24"/>
          <w:lang w:eastAsia="ja-JP"/>
        </w:rPr>
        <w:t xml:space="preserve">lications and </w:t>
      </w:r>
      <w:r w:rsidR="00B853C8">
        <w:rPr>
          <w:sz w:val="24"/>
          <w:lang w:eastAsia="ja-JP"/>
        </w:rPr>
        <w:t>presents</w:t>
      </w:r>
      <w:r w:rsidR="001D40BE" w:rsidRPr="0036495F">
        <w:rPr>
          <w:sz w:val="24"/>
          <w:lang w:eastAsia="ja-JP"/>
        </w:rPr>
        <w:t xml:space="preserve"> </w:t>
      </w:r>
      <w:r w:rsidR="00B63143" w:rsidRPr="0036495F">
        <w:rPr>
          <w:sz w:val="24"/>
          <w:lang w:eastAsia="ja-JP"/>
        </w:rPr>
        <w:t>concluding remarks.</w:t>
      </w:r>
    </w:p>
    <w:p w14:paraId="0EBF173B" w14:textId="77777777" w:rsidR="0019035C" w:rsidRPr="0036495F" w:rsidRDefault="0019035C" w:rsidP="008E44F4">
      <w:pPr>
        <w:spacing w:line="480" w:lineRule="auto"/>
        <w:ind w:right="-45" w:firstLine="709"/>
        <w:jc w:val="both"/>
        <w:rPr>
          <w:lang w:eastAsia="ja-JP"/>
        </w:rPr>
      </w:pPr>
    </w:p>
    <w:p w14:paraId="53EAF964" w14:textId="77777777" w:rsidR="00AA4EF8" w:rsidRPr="0036495F" w:rsidRDefault="00830D8A" w:rsidP="0001724B">
      <w:pPr>
        <w:pStyle w:val="berschrift7"/>
        <w:spacing w:afterLines="0"/>
      </w:pPr>
      <w:r w:rsidRPr="0036495F">
        <w:t xml:space="preserve">2. </w:t>
      </w:r>
      <w:r w:rsidR="00FF0BBF" w:rsidRPr="0036495F">
        <w:t>Design of the experiment</w:t>
      </w:r>
    </w:p>
    <w:p w14:paraId="786E4BB0" w14:textId="7470244E" w:rsidR="00EE6BF9" w:rsidRPr="0036495F" w:rsidRDefault="00EE6BF9" w:rsidP="00EE6BF9">
      <w:pPr>
        <w:spacing w:after="120" w:line="480" w:lineRule="auto"/>
        <w:jc w:val="both"/>
        <w:rPr>
          <w:i/>
          <w:sz w:val="24"/>
          <w:lang w:eastAsia="ja-JP"/>
        </w:rPr>
      </w:pPr>
      <w:r w:rsidRPr="0036495F">
        <w:rPr>
          <w:i/>
          <w:sz w:val="24"/>
          <w:lang w:eastAsia="ja-JP"/>
        </w:rPr>
        <w:t>Setup and treatments</w:t>
      </w:r>
    </w:p>
    <w:p w14:paraId="3A5AA163" w14:textId="1286B72F" w:rsidR="006635B6" w:rsidRPr="0036495F" w:rsidRDefault="00E1695B" w:rsidP="006635B6">
      <w:pPr>
        <w:spacing w:after="120" w:line="480" w:lineRule="auto"/>
        <w:ind w:firstLine="709"/>
        <w:jc w:val="both"/>
        <w:rPr>
          <w:sz w:val="24"/>
          <w:lang w:eastAsia="ja-JP"/>
        </w:rPr>
      </w:pPr>
      <w:r w:rsidRPr="0036495F">
        <w:rPr>
          <w:sz w:val="24"/>
          <w:lang w:eastAsia="ja-JP"/>
        </w:rPr>
        <w:t xml:space="preserve">Each market session in </w:t>
      </w:r>
      <w:r w:rsidR="00A16648">
        <w:rPr>
          <w:sz w:val="24"/>
          <w:lang w:eastAsia="ja-JP"/>
        </w:rPr>
        <w:t>the</w:t>
      </w:r>
      <w:r w:rsidR="00A16648" w:rsidRPr="0036495F">
        <w:rPr>
          <w:sz w:val="24"/>
          <w:lang w:eastAsia="ja-JP"/>
        </w:rPr>
        <w:t xml:space="preserve"> </w:t>
      </w:r>
      <w:r w:rsidRPr="0036495F">
        <w:rPr>
          <w:sz w:val="24"/>
          <w:lang w:eastAsia="ja-JP"/>
        </w:rPr>
        <w:t xml:space="preserve">experiment </w:t>
      </w:r>
      <w:r w:rsidR="0046168C" w:rsidRPr="0036495F">
        <w:rPr>
          <w:sz w:val="24"/>
          <w:lang w:eastAsia="ja-JP"/>
        </w:rPr>
        <w:t xml:space="preserve">consists of 16 trading periods of 120 seconds each and </w:t>
      </w:r>
      <w:r w:rsidR="003A7463" w:rsidRPr="0036495F">
        <w:rPr>
          <w:sz w:val="24"/>
          <w:lang w:eastAsia="ja-JP"/>
        </w:rPr>
        <w:t xml:space="preserve">is </w:t>
      </w:r>
      <w:r w:rsidRPr="0036495F">
        <w:rPr>
          <w:sz w:val="24"/>
          <w:lang w:eastAsia="ja-JP"/>
        </w:rPr>
        <w:t>populated by investors</w:t>
      </w:r>
      <w:r w:rsidR="00A16648">
        <w:rPr>
          <w:sz w:val="24"/>
          <w:lang w:eastAsia="ja-JP"/>
        </w:rPr>
        <w:t xml:space="preserve"> (</w:t>
      </w:r>
      <w:r w:rsidR="0046168C" w:rsidRPr="0036495F">
        <w:rPr>
          <w:sz w:val="24"/>
          <w:lang w:eastAsia="ja-JP"/>
        </w:rPr>
        <w:t>who buy and sell securities</w:t>
      </w:r>
      <w:r w:rsidR="00402F9D">
        <w:rPr>
          <w:sz w:val="24"/>
          <w:lang w:eastAsia="ja-JP"/>
        </w:rPr>
        <w:t>)</w:t>
      </w:r>
      <w:r w:rsidR="0046168C" w:rsidRPr="0036495F">
        <w:rPr>
          <w:sz w:val="24"/>
          <w:lang w:eastAsia="ja-JP"/>
        </w:rPr>
        <w:t>,</w:t>
      </w:r>
      <w:r w:rsidRPr="0036495F">
        <w:rPr>
          <w:sz w:val="24"/>
          <w:lang w:eastAsia="ja-JP"/>
        </w:rPr>
        <w:t xml:space="preserve"> and predictors</w:t>
      </w:r>
      <w:r w:rsidR="00402F9D">
        <w:rPr>
          <w:sz w:val="24"/>
          <w:lang w:eastAsia="ja-JP"/>
        </w:rPr>
        <w:t xml:space="preserve"> (</w:t>
      </w:r>
      <w:r w:rsidR="0046168C" w:rsidRPr="0036495F">
        <w:rPr>
          <w:sz w:val="24"/>
          <w:lang w:eastAsia="ja-JP"/>
        </w:rPr>
        <w:t>who</w:t>
      </w:r>
      <w:r w:rsidRPr="0036495F">
        <w:rPr>
          <w:sz w:val="24"/>
          <w:lang w:eastAsia="ja-JP"/>
        </w:rPr>
        <w:t xml:space="preserve"> </w:t>
      </w:r>
      <w:r w:rsidR="0046168C" w:rsidRPr="0036495F">
        <w:rPr>
          <w:sz w:val="24"/>
          <w:lang w:eastAsia="ja-JP"/>
        </w:rPr>
        <w:t xml:space="preserve">are tasked with predicting </w:t>
      </w:r>
      <w:r w:rsidR="00402F9D">
        <w:rPr>
          <w:sz w:val="24"/>
          <w:lang w:eastAsia="ja-JP"/>
        </w:rPr>
        <w:t xml:space="preserve">at the beginning of each period </w:t>
      </w:r>
      <w:r w:rsidR="0046168C" w:rsidRPr="0036495F">
        <w:rPr>
          <w:sz w:val="24"/>
          <w:lang w:eastAsia="ja-JP"/>
        </w:rPr>
        <w:t xml:space="preserve">the average </w:t>
      </w:r>
      <w:r w:rsidR="00402F9D">
        <w:rPr>
          <w:sz w:val="24"/>
          <w:lang w:eastAsia="ja-JP"/>
        </w:rPr>
        <w:t xml:space="preserve">transactions </w:t>
      </w:r>
      <w:r w:rsidR="0046168C" w:rsidRPr="0036495F">
        <w:rPr>
          <w:sz w:val="24"/>
          <w:lang w:eastAsia="ja-JP"/>
        </w:rPr>
        <w:t xml:space="preserve">price </w:t>
      </w:r>
      <w:r w:rsidR="00402F9D">
        <w:rPr>
          <w:sz w:val="24"/>
          <w:lang w:eastAsia="ja-JP"/>
        </w:rPr>
        <w:t>for the period)</w:t>
      </w:r>
      <w:r w:rsidRPr="0036495F">
        <w:rPr>
          <w:sz w:val="24"/>
          <w:lang w:eastAsia="ja-JP"/>
        </w:rPr>
        <w:t>.</w:t>
      </w:r>
      <w:r w:rsidR="003A7463" w:rsidRPr="0036495F">
        <w:rPr>
          <w:sz w:val="24"/>
          <w:lang w:eastAsia="ja-JP"/>
        </w:rPr>
        <w:t xml:space="preserve"> </w:t>
      </w:r>
    </w:p>
    <w:p w14:paraId="41EE35F2" w14:textId="00DD12C5" w:rsidR="004843AB" w:rsidRDefault="0046168C" w:rsidP="007B2FEF">
      <w:pPr>
        <w:spacing w:afterLines="50" w:after="120" w:line="480" w:lineRule="auto"/>
        <w:ind w:firstLine="709"/>
        <w:jc w:val="both"/>
        <w:rPr>
          <w:sz w:val="24"/>
          <w:lang w:eastAsia="ja-JP"/>
        </w:rPr>
      </w:pPr>
      <w:r w:rsidRPr="0036495F">
        <w:rPr>
          <w:sz w:val="24"/>
          <w:lang w:eastAsia="ja-JP"/>
        </w:rPr>
        <w:t>We</w:t>
      </w:r>
      <w:r w:rsidR="006635B6" w:rsidRPr="0036495F">
        <w:rPr>
          <w:sz w:val="24"/>
          <w:lang w:eastAsia="ja-JP"/>
        </w:rPr>
        <w:t xml:space="preserve"> differentiate investors</w:t>
      </w:r>
      <w:r w:rsidR="006635B6">
        <w:rPr>
          <w:sz w:val="24"/>
          <w:lang w:eastAsia="ja-JP"/>
        </w:rPr>
        <w:t xml:space="preserve"> into two classes</w:t>
      </w:r>
      <w:r>
        <w:rPr>
          <w:sz w:val="24"/>
          <w:lang w:eastAsia="ja-JP"/>
        </w:rPr>
        <w:t xml:space="preserve"> by </w:t>
      </w:r>
      <w:r w:rsidR="00E1695B">
        <w:rPr>
          <w:sz w:val="24"/>
          <w:lang w:eastAsia="ja-JP"/>
        </w:rPr>
        <w:t>imple</w:t>
      </w:r>
      <w:r w:rsidR="00167387">
        <w:rPr>
          <w:sz w:val="24"/>
          <w:lang w:eastAsia="ja-JP"/>
        </w:rPr>
        <w:t>ment</w:t>
      </w:r>
      <w:r>
        <w:rPr>
          <w:sz w:val="24"/>
          <w:lang w:eastAsia="ja-JP"/>
        </w:rPr>
        <w:t>ing</w:t>
      </w:r>
      <w:r w:rsidR="00167387">
        <w:rPr>
          <w:sz w:val="24"/>
          <w:lang w:eastAsia="ja-JP"/>
        </w:rPr>
        <w:t xml:space="preserve"> an overlapping </w:t>
      </w:r>
      <w:proofErr w:type="gramStart"/>
      <w:r w:rsidR="00167387">
        <w:rPr>
          <w:sz w:val="24"/>
          <w:lang w:eastAsia="ja-JP"/>
        </w:rPr>
        <w:t>gener</w:t>
      </w:r>
      <w:r w:rsidR="00167387">
        <w:rPr>
          <w:sz w:val="24"/>
          <w:lang w:eastAsia="ja-JP"/>
        </w:rPr>
        <w:t>a</w:t>
      </w:r>
      <w:r w:rsidR="00167387">
        <w:rPr>
          <w:sz w:val="24"/>
          <w:lang w:eastAsia="ja-JP"/>
        </w:rPr>
        <w:t>tion</w:t>
      </w:r>
      <w:r w:rsidR="00402F9D">
        <w:rPr>
          <w:sz w:val="24"/>
          <w:lang w:eastAsia="ja-JP"/>
        </w:rPr>
        <w:t>s</w:t>
      </w:r>
      <w:proofErr w:type="gramEnd"/>
      <w:r w:rsidR="00E1695B">
        <w:rPr>
          <w:sz w:val="24"/>
          <w:lang w:eastAsia="ja-JP"/>
        </w:rPr>
        <w:t xml:space="preserve"> structure </w:t>
      </w:r>
      <w:r w:rsidR="00402F9D">
        <w:rPr>
          <w:sz w:val="24"/>
          <w:lang w:eastAsia="ja-JP"/>
        </w:rPr>
        <w:t>shown</w:t>
      </w:r>
      <w:r w:rsidR="00E1695B">
        <w:rPr>
          <w:sz w:val="24"/>
          <w:lang w:eastAsia="ja-JP"/>
        </w:rPr>
        <w:t xml:space="preserve"> in Figure </w:t>
      </w:r>
      <w:r w:rsidR="00E1695B">
        <w:rPr>
          <w:rFonts w:hint="eastAsia"/>
          <w:sz w:val="24"/>
          <w:lang w:eastAsia="ja-JP"/>
        </w:rPr>
        <w:t>1.</w:t>
      </w:r>
      <w:r w:rsidR="003A7463" w:rsidRPr="003A7463">
        <w:rPr>
          <w:sz w:val="24"/>
          <w:lang w:eastAsia="ja-JP"/>
        </w:rPr>
        <w:t xml:space="preserve"> </w:t>
      </w:r>
      <w:r w:rsidR="006635B6">
        <w:rPr>
          <w:sz w:val="24"/>
          <w:lang w:eastAsia="ja-JP"/>
        </w:rPr>
        <w:t>At any time there are two generations in the market.</w:t>
      </w:r>
      <w:r w:rsidR="006635B6" w:rsidRPr="006635B6">
        <w:rPr>
          <w:sz w:val="24"/>
          <w:lang w:eastAsia="ja-JP"/>
        </w:rPr>
        <w:t xml:space="preserve"> </w:t>
      </w:r>
      <w:r w:rsidR="006635B6">
        <w:rPr>
          <w:sz w:val="24"/>
          <w:lang w:eastAsia="ja-JP"/>
        </w:rPr>
        <w:t xml:space="preserve">The </w:t>
      </w:r>
      <w:r w:rsidR="006635B6">
        <w:rPr>
          <w:rFonts w:hint="eastAsia"/>
          <w:sz w:val="24"/>
          <w:lang w:eastAsia="ja-JP"/>
        </w:rPr>
        <w:t>security</w:t>
      </w:r>
      <w:r w:rsidR="006635B6">
        <w:rPr>
          <w:sz w:val="24"/>
          <w:lang w:eastAsia="ja-JP"/>
        </w:rPr>
        <w:t xml:space="preserve"> traded has a maturity of 16 periods and pays a </w:t>
      </w:r>
      <w:r w:rsidR="006635B6" w:rsidRPr="00E2524A">
        <w:rPr>
          <w:sz w:val="24"/>
          <w:lang w:eastAsia="ja-JP"/>
        </w:rPr>
        <w:t xml:space="preserve">single, common knowledge </w:t>
      </w:r>
      <w:r w:rsidR="006635B6">
        <w:rPr>
          <w:rFonts w:hint="eastAsia"/>
          <w:sz w:val="24"/>
          <w:lang w:eastAsia="ja-JP"/>
        </w:rPr>
        <w:t xml:space="preserve">terminal </w:t>
      </w:r>
      <w:r w:rsidR="006635B6" w:rsidRPr="009163E9">
        <w:rPr>
          <w:sz w:val="24"/>
          <w:lang w:eastAsia="ja-JP"/>
        </w:rPr>
        <w:lastRenderedPageBreak/>
        <w:t xml:space="preserve">dividend, </w:t>
      </w:r>
      <w:r w:rsidR="006635B6" w:rsidRPr="00875C65">
        <w:rPr>
          <w:i/>
          <w:sz w:val="24"/>
          <w:lang w:eastAsia="ja-JP"/>
        </w:rPr>
        <w:t>D</w:t>
      </w:r>
      <w:r w:rsidR="006635B6">
        <w:rPr>
          <w:sz w:val="24"/>
          <w:lang w:eastAsia="ja-JP"/>
        </w:rPr>
        <w:t xml:space="preserve"> </w:t>
      </w:r>
      <w:r w:rsidR="006635B6" w:rsidRPr="009163E9">
        <w:rPr>
          <w:sz w:val="24"/>
          <w:lang w:eastAsia="ja-JP"/>
        </w:rPr>
        <w:t>=</w:t>
      </w:r>
      <w:r w:rsidR="006635B6">
        <w:rPr>
          <w:sz w:val="24"/>
          <w:lang w:eastAsia="ja-JP"/>
        </w:rPr>
        <w:t xml:space="preserve"> </w:t>
      </w:r>
      <w:r w:rsidR="006635B6" w:rsidRPr="009163E9">
        <w:rPr>
          <w:sz w:val="24"/>
          <w:lang w:eastAsia="ja-JP"/>
        </w:rPr>
        <w:t xml:space="preserve">50, at </w:t>
      </w:r>
      <w:r w:rsidR="006635B6">
        <w:rPr>
          <w:rFonts w:hint="eastAsia"/>
          <w:sz w:val="24"/>
          <w:lang w:eastAsia="ja-JP"/>
        </w:rPr>
        <w:t>the end of Period 16</w:t>
      </w:r>
      <w:r w:rsidR="006635B6">
        <w:rPr>
          <w:sz w:val="24"/>
          <w:lang w:eastAsia="ja-JP"/>
        </w:rPr>
        <w:t xml:space="preserve"> </w:t>
      </w:r>
      <w:r w:rsidR="004843AB">
        <w:rPr>
          <w:sz w:val="24"/>
          <w:lang w:eastAsia="ja-JP"/>
        </w:rPr>
        <w:t xml:space="preserve">only </w:t>
      </w:r>
      <w:r w:rsidR="006635B6">
        <w:rPr>
          <w:sz w:val="24"/>
          <w:lang w:eastAsia="ja-JP"/>
        </w:rPr>
        <w:t>to its holders</w:t>
      </w:r>
      <w:r w:rsidR="006635B6">
        <w:rPr>
          <w:rFonts w:hint="eastAsia"/>
          <w:sz w:val="24"/>
          <w:lang w:eastAsia="ja-JP"/>
        </w:rPr>
        <w:t xml:space="preserve"> from the last generation</w:t>
      </w:r>
      <w:r w:rsidR="006635B6">
        <w:rPr>
          <w:sz w:val="24"/>
          <w:lang w:eastAsia="ja-JP"/>
        </w:rPr>
        <w:t xml:space="preserve">, referred to </w:t>
      </w:r>
      <w:r w:rsidR="004843AB">
        <w:rPr>
          <w:sz w:val="24"/>
          <w:lang w:eastAsia="ja-JP"/>
        </w:rPr>
        <w:t xml:space="preserve">as </w:t>
      </w:r>
      <w:r w:rsidR="006635B6">
        <w:rPr>
          <w:sz w:val="24"/>
          <w:lang w:eastAsia="ja-JP"/>
        </w:rPr>
        <w:t>“</w:t>
      </w:r>
      <w:r w:rsidR="006635B6">
        <w:rPr>
          <w:rFonts w:hint="eastAsia"/>
          <w:sz w:val="24"/>
          <w:lang w:eastAsia="ja-JP"/>
        </w:rPr>
        <w:t>dividend-collecting investors</w:t>
      </w:r>
      <w:r w:rsidR="006635B6">
        <w:rPr>
          <w:sz w:val="24"/>
          <w:lang w:eastAsia="ja-JP"/>
        </w:rPr>
        <w:t>”</w:t>
      </w:r>
      <w:r w:rsidR="006635B6">
        <w:rPr>
          <w:rFonts w:hint="eastAsia"/>
          <w:sz w:val="24"/>
          <w:lang w:eastAsia="ja-JP"/>
        </w:rPr>
        <w:t>.</w:t>
      </w:r>
      <w:r w:rsidR="006635B6">
        <w:rPr>
          <w:sz w:val="24"/>
          <w:lang w:eastAsia="ja-JP"/>
        </w:rPr>
        <w:t xml:space="preserve"> All</w:t>
      </w:r>
      <w:r w:rsidR="006635B6">
        <w:rPr>
          <w:rFonts w:hint="eastAsia"/>
          <w:sz w:val="24"/>
          <w:lang w:eastAsia="ja-JP"/>
        </w:rPr>
        <w:t xml:space="preserve"> other generation</w:t>
      </w:r>
      <w:r w:rsidR="006635B6">
        <w:rPr>
          <w:sz w:val="24"/>
          <w:lang w:eastAsia="ja-JP"/>
        </w:rPr>
        <w:t>s</w:t>
      </w:r>
      <w:r w:rsidR="006635B6">
        <w:rPr>
          <w:rFonts w:hint="eastAsia"/>
          <w:sz w:val="24"/>
          <w:lang w:eastAsia="ja-JP"/>
        </w:rPr>
        <w:t xml:space="preserve"> of investors </w:t>
      </w:r>
      <w:r w:rsidR="00F12E8B">
        <w:rPr>
          <w:sz w:val="24"/>
          <w:lang w:eastAsia="ja-JP"/>
        </w:rPr>
        <w:t>do</w:t>
      </w:r>
      <w:r w:rsidR="00402F9D">
        <w:rPr>
          <w:sz w:val="24"/>
          <w:lang w:eastAsia="ja-JP"/>
        </w:rPr>
        <w:t xml:space="preserve"> </w:t>
      </w:r>
      <w:r w:rsidR="006635B6">
        <w:rPr>
          <w:sz w:val="24"/>
          <w:lang w:eastAsia="ja-JP"/>
        </w:rPr>
        <w:t xml:space="preserve">not </w:t>
      </w:r>
      <w:r w:rsidR="006635B6">
        <w:rPr>
          <w:rFonts w:hint="eastAsia"/>
          <w:sz w:val="24"/>
          <w:lang w:eastAsia="ja-JP"/>
        </w:rPr>
        <w:t>collect</w:t>
      </w:r>
      <w:r w:rsidR="006635B6">
        <w:rPr>
          <w:sz w:val="24"/>
          <w:lang w:eastAsia="ja-JP"/>
        </w:rPr>
        <w:t xml:space="preserve"> any</w:t>
      </w:r>
      <w:r w:rsidR="006635B6">
        <w:rPr>
          <w:rFonts w:hint="eastAsia"/>
          <w:sz w:val="24"/>
          <w:lang w:eastAsia="ja-JP"/>
        </w:rPr>
        <w:t xml:space="preserve"> dividend. They are </w:t>
      </w:r>
      <w:r w:rsidR="006635B6">
        <w:rPr>
          <w:sz w:val="24"/>
          <w:lang w:eastAsia="ja-JP"/>
        </w:rPr>
        <w:t>called</w:t>
      </w:r>
      <w:r w:rsidR="006635B6">
        <w:rPr>
          <w:rFonts w:hint="eastAsia"/>
          <w:sz w:val="24"/>
          <w:lang w:eastAsia="ja-JP"/>
        </w:rPr>
        <w:t xml:space="preserve"> </w:t>
      </w:r>
      <w:r w:rsidR="006635B6">
        <w:rPr>
          <w:sz w:val="24"/>
          <w:lang w:eastAsia="ja-JP"/>
        </w:rPr>
        <w:t>“</w:t>
      </w:r>
      <w:r w:rsidR="006635B6">
        <w:rPr>
          <w:rFonts w:hint="eastAsia"/>
          <w:sz w:val="24"/>
          <w:lang w:eastAsia="ja-JP"/>
        </w:rPr>
        <w:t>speculating investors</w:t>
      </w:r>
      <w:r w:rsidR="00402F9D">
        <w:rPr>
          <w:sz w:val="24"/>
          <w:lang w:eastAsia="ja-JP"/>
        </w:rPr>
        <w:t>,</w:t>
      </w:r>
      <w:r w:rsidR="006635B6">
        <w:rPr>
          <w:sz w:val="24"/>
          <w:lang w:eastAsia="ja-JP"/>
        </w:rPr>
        <w:t>”</w:t>
      </w:r>
      <w:r w:rsidR="006635B6">
        <w:rPr>
          <w:rFonts w:hint="eastAsia"/>
          <w:sz w:val="24"/>
          <w:lang w:eastAsia="ja-JP"/>
        </w:rPr>
        <w:t xml:space="preserve"> </w:t>
      </w:r>
      <w:r w:rsidR="00402F9D">
        <w:rPr>
          <w:sz w:val="24"/>
          <w:lang w:eastAsia="ja-JP"/>
        </w:rPr>
        <w:t xml:space="preserve">and </w:t>
      </w:r>
      <w:r w:rsidR="006635B6">
        <w:rPr>
          <w:sz w:val="24"/>
          <w:lang w:eastAsia="ja-JP"/>
        </w:rPr>
        <w:t>trad</w:t>
      </w:r>
      <w:r w:rsidR="00402F9D">
        <w:rPr>
          <w:sz w:val="24"/>
          <w:lang w:eastAsia="ja-JP"/>
        </w:rPr>
        <w:t>e</w:t>
      </w:r>
      <w:r w:rsidR="006635B6">
        <w:rPr>
          <w:rFonts w:hint="eastAsia"/>
          <w:sz w:val="24"/>
          <w:lang w:eastAsia="ja-JP"/>
        </w:rPr>
        <w:t xml:space="preserve"> the security only for capital gain</w:t>
      </w:r>
      <w:r w:rsidR="006635B6">
        <w:rPr>
          <w:sz w:val="24"/>
          <w:lang w:eastAsia="ja-JP"/>
        </w:rPr>
        <w:t>s.</w:t>
      </w:r>
      <w:r w:rsidR="006635B6" w:rsidRPr="00167387">
        <w:rPr>
          <w:rFonts w:hint="eastAsia"/>
          <w:sz w:val="24"/>
          <w:lang w:eastAsia="ja-JP"/>
        </w:rPr>
        <w:t xml:space="preserve"> </w:t>
      </w:r>
      <w:r w:rsidR="006635B6">
        <w:rPr>
          <w:rFonts w:hint="eastAsia"/>
          <w:sz w:val="24"/>
          <w:lang w:eastAsia="ja-JP"/>
        </w:rPr>
        <w:t xml:space="preserve">Any </w:t>
      </w:r>
      <w:r w:rsidR="006635B6">
        <w:rPr>
          <w:sz w:val="24"/>
          <w:lang w:eastAsia="ja-JP"/>
        </w:rPr>
        <w:t>securities</w:t>
      </w:r>
      <w:r w:rsidR="006635B6">
        <w:rPr>
          <w:rFonts w:hint="eastAsia"/>
          <w:sz w:val="24"/>
          <w:lang w:eastAsia="ja-JP"/>
        </w:rPr>
        <w:t xml:space="preserve"> </w:t>
      </w:r>
      <w:r w:rsidR="006635B6">
        <w:rPr>
          <w:sz w:val="24"/>
          <w:lang w:eastAsia="ja-JP"/>
        </w:rPr>
        <w:t xml:space="preserve">these investors hold </w:t>
      </w:r>
      <w:r w:rsidR="006635B6">
        <w:rPr>
          <w:rFonts w:hint="eastAsia"/>
          <w:sz w:val="24"/>
          <w:lang w:eastAsia="ja-JP"/>
        </w:rPr>
        <w:t xml:space="preserve">at the time of </w:t>
      </w:r>
      <w:r w:rsidR="006635B6">
        <w:rPr>
          <w:sz w:val="24"/>
          <w:lang w:eastAsia="ja-JP"/>
        </w:rPr>
        <w:t>their</w:t>
      </w:r>
      <w:r w:rsidR="006635B6">
        <w:rPr>
          <w:rFonts w:hint="eastAsia"/>
          <w:sz w:val="24"/>
          <w:lang w:eastAsia="ja-JP"/>
        </w:rPr>
        <w:t xml:space="preserve"> exit are worthless.</w:t>
      </w:r>
      <w:r w:rsidR="006635B6">
        <w:rPr>
          <w:rStyle w:val="Funotenzeichen"/>
          <w:sz w:val="24"/>
          <w:lang w:eastAsia="ja-JP"/>
        </w:rPr>
        <w:footnoteReference w:id="12"/>
      </w:r>
      <w:r w:rsidR="004843AB">
        <w:rPr>
          <w:sz w:val="24"/>
          <w:lang w:eastAsia="ja-JP"/>
        </w:rPr>
        <w:t xml:space="preserve"> </w:t>
      </w:r>
    </w:p>
    <w:p w14:paraId="6A985CBA" w14:textId="77777777" w:rsidR="00414C14" w:rsidRPr="00382650" w:rsidRDefault="00414C14" w:rsidP="00414C14">
      <w:pPr>
        <w:spacing w:line="480" w:lineRule="auto"/>
        <w:ind w:firstLine="709"/>
        <w:jc w:val="center"/>
        <w:rPr>
          <w:i/>
          <w:sz w:val="24"/>
          <w:lang w:eastAsia="ja-JP"/>
        </w:rPr>
      </w:pPr>
      <w:r>
        <w:rPr>
          <w:rFonts w:hint="eastAsia"/>
          <w:i/>
          <w:sz w:val="24"/>
          <w:lang w:eastAsia="ja-JP"/>
        </w:rPr>
        <w:t>(</w:t>
      </w:r>
      <w:r w:rsidRPr="00382650">
        <w:rPr>
          <w:i/>
          <w:sz w:val="24"/>
          <w:lang w:eastAsia="ja-JP"/>
        </w:rPr>
        <w:t>Figure 1 about here</w:t>
      </w:r>
      <w:r>
        <w:rPr>
          <w:rFonts w:hint="eastAsia"/>
          <w:i/>
          <w:sz w:val="24"/>
          <w:lang w:eastAsia="ja-JP"/>
        </w:rPr>
        <w:t>)</w:t>
      </w:r>
    </w:p>
    <w:p w14:paraId="722A4746" w14:textId="39F2934D" w:rsidR="001E0DDA" w:rsidRDefault="003A7463" w:rsidP="005C5ABB">
      <w:pPr>
        <w:spacing w:after="120" w:line="480" w:lineRule="auto"/>
        <w:ind w:firstLine="709"/>
        <w:jc w:val="both"/>
        <w:rPr>
          <w:sz w:val="24"/>
          <w:lang w:eastAsia="ja-JP"/>
        </w:rPr>
      </w:pPr>
      <w:r>
        <w:rPr>
          <w:sz w:val="24"/>
          <w:lang w:eastAsia="ja-JP"/>
        </w:rPr>
        <w:t>The experiment has a 4</w:t>
      </w:r>
      <w:r w:rsidRPr="009163E9">
        <w:rPr>
          <w:sz w:val="24"/>
          <w:lang w:eastAsia="ja-JP"/>
        </w:rPr>
        <w:t>x2</w:t>
      </w:r>
      <w:r w:rsidRPr="00E2524A">
        <w:rPr>
          <w:sz w:val="24"/>
          <w:lang w:eastAsia="ja-JP"/>
        </w:rPr>
        <w:t xml:space="preserve"> </w:t>
      </w:r>
      <w:r>
        <w:rPr>
          <w:sz w:val="24"/>
          <w:lang w:eastAsia="ja-JP"/>
        </w:rPr>
        <w:t xml:space="preserve">design </w:t>
      </w:r>
      <w:r w:rsidR="004843AB">
        <w:rPr>
          <w:sz w:val="24"/>
          <w:lang w:eastAsia="ja-JP"/>
        </w:rPr>
        <w:t xml:space="preserve">(see Table 1) </w:t>
      </w:r>
      <w:r>
        <w:rPr>
          <w:sz w:val="24"/>
          <w:lang w:eastAsia="ja-JP"/>
        </w:rPr>
        <w:t xml:space="preserve">in which the first treatment </w:t>
      </w:r>
      <w:r w:rsidRPr="009163E9">
        <w:rPr>
          <w:sz w:val="24"/>
          <w:lang w:eastAsia="ja-JP"/>
        </w:rPr>
        <w:t xml:space="preserve">(number of </w:t>
      </w:r>
      <w:r>
        <w:rPr>
          <w:rFonts w:hint="eastAsia"/>
          <w:sz w:val="24"/>
          <w:lang w:eastAsia="ja-JP"/>
        </w:rPr>
        <w:t xml:space="preserve">entering </w:t>
      </w:r>
      <w:r w:rsidRPr="009163E9">
        <w:rPr>
          <w:sz w:val="24"/>
          <w:lang w:eastAsia="ja-JP"/>
        </w:rPr>
        <w:t>generation</w:t>
      </w:r>
      <w:r>
        <w:rPr>
          <w:rFonts w:hint="eastAsia"/>
          <w:sz w:val="24"/>
          <w:lang w:eastAsia="ja-JP"/>
        </w:rPr>
        <w:t>s</w:t>
      </w:r>
      <w:r w:rsidR="00414C14">
        <w:rPr>
          <w:sz w:val="24"/>
          <w:lang w:eastAsia="ja-JP"/>
        </w:rPr>
        <w:t xml:space="preserve"> until maturity of the </w:t>
      </w:r>
      <w:r w:rsidR="00D57DDE">
        <w:rPr>
          <w:sz w:val="24"/>
          <w:lang w:eastAsia="ja-JP"/>
        </w:rPr>
        <w:t>security</w:t>
      </w:r>
      <w:r w:rsidRPr="009163E9">
        <w:rPr>
          <w:sz w:val="24"/>
          <w:lang w:eastAsia="ja-JP"/>
        </w:rPr>
        <w:t xml:space="preserve">) </w:t>
      </w:r>
      <w:r>
        <w:rPr>
          <w:sz w:val="24"/>
          <w:lang w:eastAsia="ja-JP"/>
        </w:rPr>
        <w:t>takes four</w:t>
      </w:r>
      <w:r w:rsidRPr="00E2524A">
        <w:rPr>
          <w:sz w:val="24"/>
          <w:lang w:eastAsia="ja-JP"/>
        </w:rPr>
        <w:t xml:space="preserve"> different values</w:t>
      </w:r>
      <w:r w:rsidR="004843AB">
        <w:rPr>
          <w:sz w:val="24"/>
          <w:lang w:eastAsia="ja-JP"/>
        </w:rPr>
        <w:t xml:space="preserve"> </w:t>
      </w:r>
      <w:r>
        <w:rPr>
          <w:sz w:val="24"/>
          <w:lang w:eastAsia="ja-JP"/>
        </w:rPr>
        <w:t>and</w:t>
      </w:r>
      <w:r w:rsidRPr="00E2524A">
        <w:rPr>
          <w:sz w:val="24"/>
          <w:lang w:eastAsia="ja-JP"/>
        </w:rPr>
        <w:t xml:space="preserve"> </w:t>
      </w:r>
      <w:r>
        <w:rPr>
          <w:sz w:val="24"/>
          <w:lang w:eastAsia="ja-JP"/>
        </w:rPr>
        <w:t xml:space="preserve">the second treatment (liquidity) takes </w:t>
      </w:r>
      <w:r w:rsidRPr="009163E9">
        <w:rPr>
          <w:sz w:val="24"/>
          <w:lang w:eastAsia="ja-JP"/>
        </w:rPr>
        <w:t>two</w:t>
      </w:r>
      <w:r>
        <w:rPr>
          <w:sz w:val="24"/>
          <w:lang w:eastAsia="ja-JP"/>
        </w:rPr>
        <w:t xml:space="preserve"> </w:t>
      </w:r>
      <w:r w:rsidRPr="00E2524A">
        <w:rPr>
          <w:sz w:val="24"/>
          <w:lang w:eastAsia="ja-JP"/>
        </w:rPr>
        <w:t>values</w:t>
      </w:r>
      <w:r>
        <w:rPr>
          <w:sz w:val="24"/>
          <w:lang w:eastAsia="ja-JP"/>
        </w:rPr>
        <w:t>.</w:t>
      </w:r>
      <w:r w:rsidR="0046168C">
        <w:rPr>
          <w:sz w:val="24"/>
          <w:lang w:eastAsia="ja-JP"/>
        </w:rPr>
        <w:t xml:space="preserve"> </w:t>
      </w:r>
      <w:r>
        <w:rPr>
          <w:rFonts w:hint="eastAsia"/>
          <w:sz w:val="24"/>
          <w:lang w:eastAsia="ja-JP"/>
        </w:rPr>
        <w:t>By v</w:t>
      </w:r>
      <w:r>
        <w:rPr>
          <w:sz w:val="24"/>
          <w:lang w:eastAsia="ja-JP"/>
        </w:rPr>
        <w:t xml:space="preserve">arying the number of </w:t>
      </w:r>
      <w:r>
        <w:rPr>
          <w:rFonts w:hint="eastAsia"/>
          <w:sz w:val="24"/>
          <w:lang w:eastAsia="ja-JP"/>
        </w:rPr>
        <w:t xml:space="preserve">entering </w:t>
      </w:r>
      <w:r w:rsidRPr="009163E9">
        <w:rPr>
          <w:sz w:val="24"/>
          <w:lang w:eastAsia="ja-JP"/>
        </w:rPr>
        <w:t>generation</w:t>
      </w:r>
      <w:r>
        <w:rPr>
          <w:sz w:val="24"/>
          <w:lang w:eastAsia="ja-JP"/>
        </w:rPr>
        <w:t>s</w:t>
      </w:r>
      <w:r w:rsidR="0046168C">
        <w:rPr>
          <w:sz w:val="24"/>
          <w:lang w:eastAsia="ja-JP"/>
        </w:rPr>
        <w:t xml:space="preserve"> (1, 2, 4, and 8)</w:t>
      </w:r>
      <w:r>
        <w:rPr>
          <w:rFonts w:hint="eastAsia"/>
          <w:sz w:val="24"/>
          <w:lang w:eastAsia="ja-JP"/>
        </w:rPr>
        <w:t xml:space="preserve">, we </w:t>
      </w:r>
      <w:r w:rsidR="00414C14">
        <w:rPr>
          <w:sz w:val="24"/>
          <w:lang w:eastAsia="ja-JP"/>
        </w:rPr>
        <w:t>manipulate</w:t>
      </w:r>
      <w:r>
        <w:rPr>
          <w:rFonts w:hint="eastAsia"/>
          <w:sz w:val="24"/>
          <w:lang w:eastAsia="ja-JP"/>
        </w:rPr>
        <w:t xml:space="preserve"> </w:t>
      </w:r>
      <w:r w:rsidR="00657AA7">
        <w:rPr>
          <w:sz w:val="24"/>
          <w:lang w:eastAsia="ja-JP"/>
        </w:rPr>
        <w:t xml:space="preserve">the number of periods with only speculating investors and </w:t>
      </w:r>
      <w:r>
        <w:rPr>
          <w:rFonts w:hint="eastAsia"/>
          <w:sz w:val="24"/>
          <w:lang w:eastAsia="ja-JP"/>
        </w:rPr>
        <w:t xml:space="preserve">the </w:t>
      </w:r>
      <w:r w:rsidR="00414C14">
        <w:rPr>
          <w:sz w:val="24"/>
          <w:lang w:eastAsia="ja-JP"/>
        </w:rPr>
        <w:t xml:space="preserve">level of difficulty </w:t>
      </w:r>
      <w:r w:rsidR="00F12E8B">
        <w:rPr>
          <w:sz w:val="24"/>
          <w:lang w:eastAsia="ja-JP"/>
        </w:rPr>
        <w:t xml:space="preserve">(number of iterative steps) </w:t>
      </w:r>
      <w:r w:rsidR="00414C14">
        <w:rPr>
          <w:sz w:val="24"/>
          <w:lang w:eastAsia="ja-JP"/>
        </w:rPr>
        <w:t>for</w:t>
      </w:r>
      <w:r w:rsidR="00414C14">
        <w:rPr>
          <w:rFonts w:hint="eastAsia"/>
          <w:sz w:val="24"/>
          <w:lang w:eastAsia="ja-JP"/>
        </w:rPr>
        <w:t xml:space="preserve"> each generation of investors </w:t>
      </w:r>
      <w:r w:rsidR="00414C14">
        <w:rPr>
          <w:sz w:val="24"/>
          <w:lang w:eastAsia="ja-JP"/>
        </w:rPr>
        <w:t xml:space="preserve">to </w:t>
      </w:r>
      <w:r w:rsidR="00414C14">
        <w:rPr>
          <w:rFonts w:hint="eastAsia"/>
          <w:sz w:val="24"/>
          <w:lang w:eastAsia="ja-JP"/>
        </w:rPr>
        <w:t>arrive</w:t>
      </w:r>
      <w:r w:rsidR="00414C14">
        <w:rPr>
          <w:sz w:val="24"/>
          <w:lang w:eastAsia="ja-JP"/>
        </w:rPr>
        <w:t xml:space="preserve"> at REE</w:t>
      </w:r>
      <w:r w:rsidR="00414C14">
        <w:rPr>
          <w:rFonts w:hint="eastAsia"/>
          <w:sz w:val="24"/>
          <w:lang w:eastAsia="ja-JP"/>
        </w:rPr>
        <w:t xml:space="preserve"> </w:t>
      </w:r>
      <w:r w:rsidR="00414C14">
        <w:rPr>
          <w:sz w:val="24"/>
          <w:lang w:eastAsia="ja-JP"/>
        </w:rPr>
        <w:t>through</w:t>
      </w:r>
      <w:r w:rsidR="00414C14">
        <w:rPr>
          <w:rFonts w:hint="eastAsia"/>
          <w:sz w:val="24"/>
          <w:lang w:eastAsia="ja-JP"/>
        </w:rPr>
        <w:t xml:space="preserve"> backward induction.</w:t>
      </w:r>
      <w:r w:rsidR="00414C14">
        <w:rPr>
          <w:sz w:val="24"/>
          <w:lang w:eastAsia="ja-JP"/>
        </w:rPr>
        <w:t xml:space="preserve"> </w:t>
      </w:r>
      <w:r w:rsidR="0046168C">
        <w:rPr>
          <w:sz w:val="24"/>
          <w:lang w:eastAsia="ja-JP"/>
        </w:rPr>
        <w:t xml:space="preserve">Figure 1 illustrates that in Treatment </w:t>
      </w:r>
      <w:r w:rsidR="0046168C">
        <w:rPr>
          <w:rFonts w:hint="eastAsia"/>
          <w:sz w:val="24"/>
          <w:lang w:eastAsia="ja-JP"/>
        </w:rPr>
        <w:t>T1</w:t>
      </w:r>
      <w:r w:rsidR="0046168C">
        <w:rPr>
          <w:sz w:val="24"/>
          <w:lang w:eastAsia="ja-JP"/>
        </w:rPr>
        <w:t xml:space="preserve"> </w:t>
      </w:r>
      <w:r w:rsidR="0046168C">
        <w:rPr>
          <w:rFonts w:hint="eastAsia"/>
          <w:sz w:val="24"/>
          <w:lang w:eastAsia="ja-JP"/>
        </w:rPr>
        <w:t xml:space="preserve">dividend-collecting investors (G1) </w:t>
      </w:r>
      <w:r w:rsidR="0046168C">
        <w:rPr>
          <w:sz w:val="24"/>
          <w:lang w:eastAsia="ja-JP"/>
        </w:rPr>
        <w:t>are present in all 16 periods of</w:t>
      </w:r>
      <w:r w:rsidR="0046168C">
        <w:rPr>
          <w:rFonts w:hint="eastAsia"/>
          <w:sz w:val="24"/>
          <w:lang w:eastAsia="ja-JP"/>
        </w:rPr>
        <w:t xml:space="preserve"> the market session. </w:t>
      </w:r>
      <w:r w:rsidR="0046168C">
        <w:rPr>
          <w:sz w:val="24"/>
          <w:lang w:eastAsia="ja-JP"/>
        </w:rPr>
        <w:t xml:space="preserve">In </w:t>
      </w:r>
      <w:r w:rsidR="0046168C">
        <w:rPr>
          <w:rFonts w:hint="eastAsia"/>
          <w:sz w:val="24"/>
          <w:lang w:eastAsia="ja-JP"/>
        </w:rPr>
        <w:t xml:space="preserve">T2, T4, and T8 </w:t>
      </w:r>
      <w:r w:rsidR="0046168C">
        <w:rPr>
          <w:sz w:val="24"/>
          <w:lang w:eastAsia="ja-JP"/>
        </w:rPr>
        <w:t xml:space="preserve">some periods have </w:t>
      </w:r>
      <w:r w:rsidR="0046168C">
        <w:rPr>
          <w:rFonts w:hint="eastAsia"/>
          <w:sz w:val="24"/>
          <w:lang w:eastAsia="ja-JP"/>
        </w:rPr>
        <w:t>only speculating investors</w:t>
      </w:r>
      <w:r w:rsidR="0046168C">
        <w:rPr>
          <w:sz w:val="24"/>
          <w:lang w:eastAsia="ja-JP"/>
        </w:rPr>
        <w:t xml:space="preserve"> active</w:t>
      </w:r>
      <w:r w:rsidR="0046168C">
        <w:rPr>
          <w:rFonts w:hint="eastAsia"/>
          <w:sz w:val="24"/>
          <w:lang w:eastAsia="ja-JP"/>
        </w:rPr>
        <w:t xml:space="preserve"> in the market (</w:t>
      </w:r>
      <w:r w:rsidR="00ED6EEC">
        <w:rPr>
          <w:sz w:val="24"/>
          <w:lang w:eastAsia="ja-JP"/>
        </w:rPr>
        <w:t>p</w:t>
      </w:r>
      <w:r w:rsidR="0046168C">
        <w:rPr>
          <w:rFonts w:hint="eastAsia"/>
          <w:sz w:val="24"/>
          <w:lang w:eastAsia="ja-JP"/>
        </w:rPr>
        <w:t xml:space="preserve">eriods 1-8 in T2, </w:t>
      </w:r>
      <w:r w:rsidR="00ED6EEC">
        <w:rPr>
          <w:sz w:val="24"/>
          <w:lang w:eastAsia="ja-JP"/>
        </w:rPr>
        <w:t>p</w:t>
      </w:r>
      <w:r w:rsidR="0046168C">
        <w:rPr>
          <w:rFonts w:hint="eastAsia"/>
          <w:sz w:val="24"/>
          <w:lang w:eastAsia="ja-JP"/>
        </w:rPr>
        <w:t xml:space="preserve">eriods 1-12 in T4, and </w:t>
      </w:r>
      <w:r w:rsidR="00ED6EEC">
        <w:rPr>
          <w:sz w:val="24"/>
          <w:lang w:eastAsia="ja-JP"/>
        </w:rPr>
        <w:t>p</w:t>
      </w:r>
      <w:r w:rsidR="0046168C">
        <w:rPr>
          <w:rFonts w:hint="eastAsia"/>
          <w:sz w:val="24"/>
          <w:lang w:eastAsia="ja-JP"/>
        </w:rPr>
        <w:t xml:space="preserve">eriods 1-14 in T8) and </w:t>
      </w:r>
      <w:r w:rsidR="0046168C">
        <w:rPr>
          <w:sz w:val="24"/>
          <w:lang w:eastAsia="ja-JP"/>
        </w:rPr>
        <w:t xml:space="preserve">in other periods </w:t>
      </w:r>
      <w:r w:rsidR="0046168C">
        <w:rPr>
          <w:rFonts w:hint="eastAsia"/>
          <w:sz w:val="24"/>
          <w:lang w:eastAsia="ja-JP"/>
        </w:rPr>
        <w:t>dividend-collecting investors</w:t>
      </w:r>
      <w:r w:rsidR="0046168C">
        <w:rPr>
          <w:sz w:val="24"/>
          <w:lang w:eastAsia="ja-JP"/>
        </w:rPr>
        <w:t xml:space="preserve"> </w:t>
      </w:r>
      <w:r w:rsidR="0046168C">
        <w:rPr>
          <w:rFonts w:hint="eastAsia"/>
          <w:sz w:val="24"/>
          <w:lang w:eastAsia="ja-JP"/>
        </w:rPr>
        <w:t xml:space="preserve">(the last generation) </w:t>
      </w:r>
      <w:r w:rsidR="0046168C">
        <w:rPr>
          <w:sz w:val="24"/>
          <w:lang w:eastAsia="ja-JP"/>
        </w:rPr>
        <w:t xml:space="preserve">are </w:t>
      </w:r>
      <w:r w:rsidR="001A771F">
        <w:rPr>
          <w:sz w:val="24"/>
          <w:lang w:eastAsia="ja-JP"/>
        </w:rPr>
        <w:t xml:space="preserve">also </w:t>
      </w:r>
      <w:r w:rsidR="0046168C">
        <w:rPr>
          <w:sz w:val="24"/>
          <w:lang w:eastAsia="ja-JP"/>
        </w:rPr>
        <w:t xml:space="preserve">present </w:t>
      </w:r>
      <w:r w:rsidR="0046168C">
        <w:rPr>
          <w:rFonts w:hint="eastAsia"/>
          <w:sz w:val="24"/>
          <w:lang w:eastAsia="ja-JP"/>
        </w:rPr>
        <w:t>in the market (</w:t>
      </w:r>
      <w:r w:rsidR="00ED6EEC">
        <w:rPr>
          <w:sz w:val="24"/>
          <w:lang w:eastAsia="ja-JP"/>
        </w:rPr>
        <w:t>p</w:t>
      </w:r>
      <w:r w:rsidR="0046168C">
        <w:rPr>
          <w:rFonts w:hint="eastAsia"/>
          <w:sz w:val="24"/>
          <w:lang w:eastAsia="ja-JP"/>
        </w:rPr>
        <w:t xml:space="preserve">eriods 9-16 in T2, </w:t>
      </w:r>
      <w:r w:rsidR="00ED6EEC">
        <w:rPr>
          <w:sz w:val="24"/>
          <w:lang w:eastAsia="ja-JP"/>
        </w:rPr>
        <w:t>p</w:t>
      </w:r>
      <w:r w:rsidR="0046168C">
        <w:rPr>
          <w:rFonts w:hint="eastAsia"/>
          <w:sz w:val="24"/>
          <w:lang w:eastAsia="ja-JP"/>
        </w:rPr>
        <w:t xml:space="preserve">eriods 13-16 in T4 and </w:t>
      </w:r>
      <w:r w:rsidR="00ED6EEC">
        <w:rPr>
          <w:sz w:val="24"/>
          <w:lang w:eastAsia="ja-JP"/>
        </w:rPr>
        <w:t>p</w:t>
      </w:r>
      <w:r w:rsidR="0046168C">
        <w:rPr>
          <w:rFonts w:hint="eastAsia"/>
          <w:sz w:val="24"/>
          <w:lang w:eastAsia="ja-JP"/>
        </w:rPr>
        <w:t xml:space="preserve">eriods 15-16 in T8). </w:t>
      </w:r>
    </w:p>
    <w:p w14:paraId="5AFD445C" w14:textId="216D1F47" w:rsidR="00EE6BF9" w:rsidRDefault="0046168C" w:rsidP="005C5ABB">
      <w:pPr>
        <w:spacing w:after="120" w:line="480" w:lineRule="auto"/>
        <w:ind w:firstLine="709"/>
        <w:jc w:val="both"/>
        <w:rPr>
          <w:sz w:val="24"/>
          <w:lang w:eastAsia="ja-JP"/>
        </w:rPr>
      </w:pPr>
      <w:r>
        <w:rPr>
          <w:sz w:val="24"/>
          <w:lang w:eastAsia="ja-JP"/>
        </w:rPr>
        <w:t>The liquidity treatment varies the initial cash-to-asset value ratio (commonly referred to as C/A-</w:t>
      </w:r>
      <w:r w:rsidR="00A0637E">
        <w:rPr>
          <w:sz w:val="24"/>
          <w:lang w:eastAsia="ja-JP"/>
        </w:rPr>
        <w:t xml:space="preserve">ratio, </w:t>
      </w:r>
      <w:r>
        <w:rPr>
          <w:sz w:val="24"/>
          <w:lang w:eastAsia="ja-JP"/>
        </w:rPr>
        <w:t>that is the amount of cash available to trade securities in the economy divided by the total fundamental value of all securities) for</w:t>
      </w:r>
      <w:r w:rsidRPr="00417ACF">
        <w:rPr>
          <w:sz w:val="24"/>
          <w:lang w:eastAsia="ja-JP"/>
        </w:rPr>
        <w:t xml:space="preserve"> </w:t>
      </w:r>
      <w:r>
        <w:rPr>
          <w:sz w:val="24"/>
          <w:lang w:eastAsia="ja-JP"/>
        </w:rPr>
        <w:t>H (=10)</w:t>
      </w:r>
      <w:r>
        <w:rPr>
          <w:rFonts w:hint="eastAsia"/>
          <w:sz w:val="24"/>
          <w:lang w:eastAsia="ja-JP"/>
        </w:rPr>
        <w:t xml:space="preserve"> </w:t>
      </w:r>
      <w:r>
        <w:rPr>
          <w:sz w:val="24"/>
          <w:lang w:eastAsia="ja-JP"/>
        </w:rPr>
        <w:t>and L (=2).</w:t>
      </w:r>
      <w:r>
        <w:rPr>
          <w:rStyle w:val="Funotenzeichen"/>
          <w:sz w:val="24"/>
          <w:lang w:eastAsia="ja-JP"/>
        </w:rPr>
        <w:footnoteReference w:id="13"/>
      </w:r>
      <w:r>
        <w:rPr>
          <w:sz w:val="24"/>
          <w:lang w:eastAsia="ja-JP"/>
        </w:rPr>
        <w:t xml:space="preserve"> Treatments are d</w:t>
      </w:r>
      <w:r>
        <w:rPr>
          <w:sz w:val="24"/>
          <w:lang w:eastAsia="ja-JP"/>
        </w:rPr>
        <w:t>e</w:t>
      </w:r>
      <w:r>
        <w:rPr>
          <w:sz w:val="24"/>
          <w:lang w:eastAsia="ja-JP"/>
        </w:rPr>
        <w:t xml:space="preserve">noted as </w:t>
      </w:r>
      <w:proofErr w:type="spellStart"/>
      <w:r>
        <w:rPr>
          <w:sz w:val="24"/>
          <w:lang w:eastAsia="ja-JP"/>
        </w:rPr>
        <w:t>Tx</w:t>
      </w:r>
      <w:r w:rsidRPr="003B416F">
        <w:rPr>
          <w:sz w:val="24"/>
          <w:lang w:eastAsia="ja-JP"/>
        </w:rPr>
        <w:t>y</w:t>
      </w:r>
      <w:proofErr w:type="spellEnd"/>
      <w:r>
        <w:rPr>
          <w:sz w:val="24"/>
          <w:lang w:eastAsia="ja-JP"/>
        </w:rPr>
        <w:t xml:space="preserve"> with x </w:t>
      </w:r>
      <w:r>
        <w:rPr>
          <w:sz w:val="24"/>
          <w:lang w:eastAsia="ja-JP"/>
        </w:rPr>
        <w:sym w:font="Symbol" w:char="F0CE"/>
      </w:r>
      <w:r>
        <w:rPr>
          <w:sz w:val="24"/>
          <w:lang w:eastAsia="ja-JP"/>
        </w:rPr>
        <w:t xml:space="preserve"> {1,</w:t>
      </w:r>
      <w:r w:rsidR="001A771F">
        <w:rPr>
          <w:sz w:val="24"/>
          <w:lang w:eastAsia="ja-JP"/>
        </w:rPr>
        <w:t xml:space="preserve"> </w:t>
      </w:r>
      <w:r w:rsidRPr="00E2524A">
        <w:rPr>
          <w:sz w:val="24"/>
          <w:lang w:eastAsia="ja-JP"/>
        </w:rPr>
        <w:t>2,</w:t>
      </w:r>
      <w:r w:rsidR="001A771F">
        <w:rPr>
          <w:sz w:val="24"/>
          <w:lang w:eastAsia="ja-JP"/>
        </w:rPr>
        <w:t xml:space="preserve"> </w:t>
      </w:r>
      <w:r w:rsidRPr="00E2524A">
        <w:rPr>
          <w:sz w:val="24"/>
          <w:lang w:eastAsia="ja-JP"/>
        </w:rPr>
        <w:t>4,</w:t>
      </w:r>
      <w:r>
        <w:rPr>
          <w:sz w:val="24"/>
          <w:lang w:eastAsia="ja-JP"/>
        </w:rPr>
        <w:t xml:space="preserve"> or </w:t>
      </w:r>
      <w:r w:rsidRPr="00E2524A">
        <w:rPr>
          <w:sz w:val="24"/>
          <w:lang w:eastAsia="ja-JP"/>
        </w:rPr>
        <w:t>8</w:t>
      </w:r>
      <w:proofErr w:type="gramStart"/>
      <w:r>
        <w:rPr>
          <w:sz w:val="24"/>
          <w:lang w:eastAsia="ja-JP"/>
        </w:rPr>
        <w:t>}</w:t>
      </w:r>
      <w:r w:rsidRPr="00E2524A">
        <w:rPr>
          <w:sz w:val="24"/>
          <w:lang w:eastAsia="ja-JP"/>
        </w:rPr>
        <w:t xml:space="preserve"> indicating</w:t>
      </w:r>
      <w:proofErr w:type="gramEnd"/>
      <w:r w:rsidRPr="00E2524A">
        <w:rPr>
          <w:sz w:val="24"/>
          <w:lang w:eastAsia="ja-JP"/>
        </w:rPr>
        <w:t xml:space="preserve"> the number of </w:t>
      </w:r>
      <w:r>
        <w:rPr>
          <w:rFonts w:hint="eastAsia"/>
          <w:sz w:val="24"/>
          <w:lang w:eastAsia="ja-JP"/>
        </w:rPr>
        <w:t xml:space="preserve">entering </w:t>
      </w:r>
      <w:r w:rsidRPr="00E2524A">
        <w:rPr>
          <w:sz w:val="24"/>
          <w:lang w:eastAsia="ja-JP"/>
        </w:rPr>
        <w:t>generation</w:t>
      </w:r>
      <w:r w:rsidR="001A771F">
        <w:rPr>
          <w:sz w:val="24"/>
          <w:lang w:eastAsia="ja-JP"/>
        </w:rPr>
        <w:t>s</w:t>
      </w:r>
      <w:r w:rsidRPr="00E2524A">
        <w:rPr>
          <w:sz w:val="24"/>
          <w:lang w:eastAsia="ja-JP"/>
        </w:rPr>
        <w:t xml:space="preserve"> and y</w:t>
      </w:r>
      <w:r>
        <w:rPr>
          <w:sz w:val="24"/>
          <w:lang w:eastAsia="ja-JP"/>
        </w:rPr>
        <w:t xml:space="preserve"> </w:t>
      </w:r>
      <w:r>
        <w:rPr>
          <w:sz w:val="24"/>
          <w:lang w:eastAsia="ja-JP"/>
        </w:rPr>
        <w:sym w:font="Symbol" w:char="F0CE"/>
      </w:r>
      <w:r w:rsidRPr="00E2524A">
        <w:rPr>
          <w:sz w:val="24"/>
          <w:lang w:eastAsia="ja-JP"/>
        </w:rPr>
        <w:t xml:space="preserve"> </w:t>
      </w:r>
      <w:r>
        <w:rPr>
          <w:sz w:val="24"/>
          <w:lang w:eastAsia="ja-JP"/>
        </w:rPr>
        <w:lastRenderedPageBreak/>
        <w:t>{</w:t>
      </w:r>
      <w:r>
        <w:rPr>
          <w:rFonts w:hint="eastAsia"/>
          <w:sz w:val="24"/>
          <w:lang w:eastAsia="ja-JP"/>
        </w:rPr>
        <w:t xml:space="preserve">H or </w:t>
      </w:r>
      <w:r w:rsidRPr="00E2524A">
        <w:rPr>
          <w:sz w:val="24"/>
          <w:lang w:eastAsia="ja-JP"/>
        </w:rPr>
        <w:t>L</w:t>
      </w:r>
      <w:r>
        <w:rPr>
          <w:sz w:val="24"/>
          <w:lang w:eastAsia="ja-JP"/>
        </w:rPr>
        <w:t>}</w:t>
      </w:r>
      <w:r w:rsidRPr="00E2524A">
        <w:rPr>
          <w:sz w:val="24"/>
          <w:lang w:eastAsia="ja-JP"/>
        </w:rPr>
        <w:t xml:space="preserve"> indicating </w:t>
      </w:r>
      <w:r>
        <w:rPr>
          <w:sz w:val="24"/>
          <w:lang w:eastAsia="ja-JP"/>
        </w:rPr>
        <w:t>high and low-liquidity treatments</w:t>
      </w:r>
      <w:r w:rsidRPr="00E2524A">
        <w:rPr>
          <w:sz w:val="24"/>
          <w:lang w:eastAsia="ja-JP"/>
        </w:rPr>
        <w:t>.</w:t>
      </w:r>
      <w:r>
        <w:rPr>
          <w:sz w:val="24"/>
          <w:lang w:eastAsia="ja-JP"/>
        </w:rPr>
        <w:t xml:space="preserve"> </w:t>
      </w:r>
      <w:r w:rsidR="001A771F">
        <w:rPr>
          <w:sz w:val="24"/>
          <w:lang w:eastAsia="ja-JP"/>
        </w:rPr>
        <w:t xml:space="preserve">In multiple sessions within </w:t>
      </w:r>
      <w:r w:rsidR="00EE6BF9">
        <w:rPr>
          <w:sz w:val="24"/>
          <w:lang w:eastAsia="ja-JP"/>
        </w:rPr>
        <w:t>each treatment the market structure (number of investors, number of securities and cash</w:t>
      </w:r>
      <w:r w:rsidR="00EE6BF9">
        <w:rPr>
          <w:rFonts w:hint="eastAsia"/>
          <w:sz w:val="24"/>
          <w:lang w:eastAsia="ja-JP"/>
        </w:rPr>
        <w:t xml:space="preserve"> endo</w:t>
      </w:r>
      <w:r w:rsidR="00EE6BF9">
        <w:rPr>
          <w:rFonts w:hint="eastAsia"/>
          <w:sz w:val="24"/>
          <w:lang w:eastAsia="ja-JP"/>
        </w:rPr>
        <w:t>w</w:t>
      </w:r>
      <w:r w:rsidR="00EE6BF9">
        <w:rPr>
          <w:rFonts w:hint="eastAsia"/>
          <w:sz w:val="24"/>
          <w:lang w:eastAsia="ja-JP"/>
        </w:rPr>
        <w:t>ment of an entering generation</w:t>
      </w:r>
      <w:r w:rsidR="00EE6BF9">
        <w:rPr>
          <w:sz w:val="24"/>
          <w:lang w:eastAsia="ja-JP"/>
        </w:rPr>
        <w:t>) remains unchanged over the 16 periods.</w:t>
      </w:r>
    </w:p>
    <w:p w14:paraId="4134680C" w14:textId="77777777" w:rsidR="00EE6BF9" w:rsidRDefault="00EE6BF9" w:rsidP="00EE6BF9">
      <w:pPr>
        <w:spacing w:line="480" w:lineRule="auto"/>
        <w:jc w:val="center"/>
        <w:rPr>
          <w:i/>
          <w:sz w:val="24"/>
          <w:lang w:eastAsia="ja-JP"/>
        </w:rPr>
      </w:pPr>
      <w:r>
        <w:rPr>
          <w:rFonts w:hint="eastAsia"/>
          <w:i/>
          <w:sz w:val="24"/>
          <w:lang w:eastAsia="ja-JP"/>
        </w:rPr>
        <w:t>(</w:t>
      </w:r>
      <w:r>
        <w:rPr>
          <w:i/>
          <w:sz w:val="24"/>
          <w:lang w:eastAsia="ja-JP"/>
        </w:rPr>
        <w:t>Table 1 about here</w:t>
      </w:r>
      <w:r>
        <w:rPr>
          <w:rFonts w:hint="eastAsia"/>
          <w:i/>
          <w:sz w:val="24"/>
          <w:lang w:eastAsia="ja-JP"/>
        </w:rPr>
        <w:t>)</w:t>
      </w:r>
    </w:p>
    <w:p w14:paraId="12885A0C" w14:textId="0F289524" w:rsidR="00EE6BF9" w:rsidRDefault="004843AB" w:rsidP="007B2FEF">
      <w:pPr>
        <w:spacing w:afterLines="50" w:after="120" w:line="480" w:lineRule="auto"/>
        <w:ind w:firstLine="720"/>
        <w:jc w:val="both"/>
        <w:rPr>
          <w:sz w:val="24"/>
          <w:lang w:eastAsia="ja-JP"/>
        </w:rPr>
      </w:pPr>
      <w:r>
        <w:rPr>
          <w:sz w:val="24"/>
          <w:lang w:eastAsia="ja-JP"/>
        </w:rPr>
        <w:t xml:space="preserve">To keep the total number of subjects within reasonable limits we recruit </w:t>
      </w:r>
      <w:r>
        <w:rPr>
          <w:rFonts w:hint="eastAsia"/>
          <w:sz w:val="24"/>
          <w:lang w:eastAsia="ja-JP"/>
        </w:rPr>
        <w:t>18</w:t>
      </w:r>
      <w:r>
        <w:rPr>
          <w:sz w:val="24"/>
          <w:lang w:eastAsia="ja-JP"/>
        </w:rPr>
        <w:t xml:space="preserve"> subjects for each session.</w:t>
      </w:r>
      <w:r>
        <w:rPr>
          <w:rStyle w:val="Funotenzeichen"/>
          <w:sz w:val="24"/>
          <w:lang w:eastAsia="ja-JP"/>
        </w:rPr>
        <w:footnoteReference w:id="14"/>
      </w:r>
      <w:r>
        <w:rPr>
          <w:sz w:val="24"/>
          <w:lang w:eastAsia="ja-JP"/>
        </w:rPr>
        <w:t xml:space="preserve"> In every period, two generations (ten subjects in total</w:t>
      </w:r>
      <w:r w:rsidR="00FF2091">
        <w:rPr>
          <w:sz w:val="24"/>
          <w:lang w:eastAsia="ja-JP"/>
        </w:rPr>
        <w:t>, five in each gener</w:t>
      </w:r>
      <w:r w:rsidR="00FF2091">
        <w:rPr>
          <w:sz w:val="24"/>
          <w:lang w:eastAsia="ja-JP"/>
        </w:rPr>
        <w:t>a</w:t>
      </w:r>
      <w:r w:rsidR="00FF2091">
        <w:rPr>
          <w:sz w:val="24"/>
          <w:lang w:eastAsia="ja-JP"/>
        </w:rPr>
        <w:t>tion</w:t>
      </w:r>
      <w:r>
        <w:rPr>
          <w:sz w:val="24"/>
          <w:lang w:eastAsia="ja-JP"/>
        </w:rPr>
        <w:t>) are active investors, while the other eight (five in T1) subjects are “predictors”</w:t>
      </w:r>
      <w:r w:rsidR="00EE6BF9">
        <w:rPr>
          <w:sz w:val="24"/>
          <w:lang w:eastAsia="ja-JP"/>
        </w:rPr>
        <w:t xml:space="preserve">. When an investor generation exits the market, </w:t>
      </w:r>
      <w:r w:rsidR="00EE6BF9">
        <w:rPr>
          <w:rFonts w:hint="eastAsia"/>
          <w:sz w:val="24"/>
          <w:lang w:eastAsia="ja-JP"/>
        </w:rPr>
        <w:t>five</w:t>
      </w:r>
      <w:r w:rsidR="00EE6BF9" w:rsidRPr="00C36C79">
        <w:rPr>
          <w:sz w:val="24"/>
          <w:lang w:eastAsia="ja-JP"/>
        </w:rPr>
        <w:t xml:space="preserve"> </w:t>
      </w:r>
      <w:r w:rsidR="00EE6BF9">
        <w:rPr>
          <w:sz w:val="24"/>
          <w:lang w:eastAsia="ja-JP"/>
        </w:rPr>
        <w:t xml:space="preserve">subjects are randomly chosen from the pool of </w:t>
      </w:r>
      <w:r w:rsidR="00EE6BF9">
        <w:rPr>
          <w:rFonts w:hint="eastAsia"/>
          <w:sz w:val="24"/>
          <w:lang w:eastAsia="ja-JP"/>
        </w:rPr>
        <w:t>eight</w:t>
      </w:r>
      <w:r w:rsidR="00EE6BF9">
        <w:rPr>
          <w:sz w:val="24"/>
          <w:lang w:eastAsia="ja-JP"/>
        </w:rPr>
        <w:t xml:space="preserve"> predictors to form the newly entering generation for the next period, and the exiting generation joins the pool of predictors. Subjects stay in this pool for two or more periods. This rotating mechanism allows each generation of investors to gain experience and unde</w:t>
      </w:r>
      <w:r w:rsidR="00EE6BF9">
        <w:rPr>
          <w:sz w:val="24"/>
          <w:lang w:eastAsia="ja-JP"/>
        </w:rPr>
        <w:t>r</w:t>
      </w:r>
      <w:r w:rsidR="00EE6BF9">
        <w:rPr>
          <w:sz w:val="24"/>
          <w:lang w:eastAsia="ja-JP"/>
        </w:rPr>
        <w:t>standing of the environment without significantly interfering with the purpose of the exper</w:t>
      </w:r>
      <w:r w:rsidR="00EE6BF9">
        <w:rPr>
          <w:sz w:val="24"/>
          <w:lang w:eastAsia="ja-JP"/>
        </w:rPr>
        <w:t>i</w:t>
      </w:r>
      <w:r w:rsidR="00EE6BF9">
        <w:rPr>
          <w:sz w:val="24"/>
          <w:lang w:eastAsia="ja-JP"/>
        </w:rPr>
        <w:t>ment (see Lim et al. 199</w:t>
      </w:r>
      <w:r w:rsidR="00EE6BF9">
        <w:rPr>
          <w:rFonts w:hint="eastAsia"/>
          <w:sz w:val="24"/>
          <w:lang w:eastAsia="ja-JP"/>
        </w:rPr>
        <w:t>4,</w:t>
      </w:r>
      <w:r w:rsidR="00EE6BF9">
        <w:rPr>
          <w:sz w:val="24"/>
          <w:lang w:eastAsia="ja-JP"/>
        </w:rPr>
        <w:t xml:space="preserve"> Marimon and Sunder 1993). Since s</w:t>
      </w:r>
      <w:r w:rsidR="00EE6BF9" w:rsidRPr="00D11DB7">
        <w:rPr>
          <w:sz w:val="24"/>
          <w:lang w:eastAsia="ja-JP"/>
        </w:rPr>
        <w:t xml:space="preserve">ubjects </w:t>
      </w:r>
      <w:r w:rsidR="00EE6BF9">
        <w:rPr>
          <w:sz w:val="24"/>
          <w:lang w:eastAsia="ja-JP"/>
        </w:rPr>
        <w:t xml:space="preserve">cannot know </w:t>
      </w:r>
      <w:r w:rsidR="00EE6BF9" w:rsidRPr="00D11DB7">
        <w:rPr>
          <w:sz w:val="24"/>
          <w:lang w:eastAsia="ja-JP"/>
        </w:rPr>
        <w:t>whe</w:t>
      </w:r>
      <w:r w:rsidR="00EE6BF9">
        <w:rPr>
          <w:sz w:val="24"/>
          <w:lang w:eastAsia="ja-JP"/>
        </w:rPr>
        <w:t>ther and whe</w:t>
      </w:r>
      <w:r w:rsidR="00EE6BF9" w:rsidRPr="00D11DB7">
        <w:rPr>
          <w:sz w:val="24"/>
          <w:lang w:eastAsia="ja-JP"/>
        </w:rPr>
        <w:t xml:space="preserve">n they will reenter the </w:t>
      </w:r>
      <w:r w:rsidR="00EE6BF9">
        <w:rPr>
          <w:rFonts w:hint="eastAsia"/>
          <w:sz w:val="24"/>
          <w:lang w:eastAsia="ja-JP"/>
        </w:rPr>
        <w:t>market</w:t>
      </w:r>
      <w:r w:rsidR="00EE6BF9">
        <w:rPr>
          <w:sz w:val="24"/>
          <w:lang w:eastAsia="ja-JP"/>
        </w:rPr>
        <w:t>, it is virtually impossible for their current behavior</w:t>
      </w:r>
      <w:r w:rsidR="00435219">
        <w:rPr>
          <w:sz w:val="24"/>
          <w:lang w:eastAsia="ja-JP"/>
        </w:rPr>
        <w:t xml:space="preserve"> to be influenced by their anticipations of any future re-entries</w:t>
      </w:r>
      <w:r w:rsidR="00EE6BF9">
        <w:rPr>
          <w:sz w:val="24"/>
          <w:lang w:eastAsia="ja-JP"/>
        </w:rPr>
        <w:t>.</w:t>
      </w:r>
    </w:p>
    <w:p w14:paraId="13F32EFE" w14:textId="77777777" w:rsidR="00780409" w:rsidRDefault="006D14DF">
      <w:pPr>
        <w:spacing w:line="480" w:lineRule="auto"/>
        <w:jc w:val="both"/>
        <w:rPr>
          <w:sz w:val="24"/>
          <w:lang w:eastAsia="ja-JP"/>
        </w:rPr>
      </w:pPr>
      <w:r>
        <w:rPr>
          <w:i/>
          <w:sz w:val="24"/>
          <w:lang w:eastAsia="ja-JP"/>
        </w:rPr>
        <w:t>Security</w:t>
      </w:r>
      <w:r w:rsidR="00A60BBB" w:rsidRPr="00FF0BBF">
        <w:rPr>
          <w:i/>
          <w:sz w:val="24"/>
          <w:lang w:eastAsia="ja-JP"/>
        </w:rPr>
        <w:t xml:space="preserve"> </w:t>
      </w:r>
      <w:r w:rsidR="00F42153">
        <w:rPr>
          <w:rFonts w:hint="eastAsia"/>
          <w:i/>
          <w:sz w:val="24"/>
          <w:lang w:eastAsia="ja-JP"/>
        </w:rPr>
        <w:t xml:space="preserve">and cash </w:t>
      </w:r>
      <w:r w:rsidR="00A60BBB" w:rsidRPr="00FF0BBF">
        <w:rPr>
          <w:i/>
          <w:sz w:val="24"/>
          <w:lang w:eastAsia="ja-JP"/>
        </w:rPr>
        <w:t>endowments</w:t>
      </w:r>
      <w:r w:rsidR="00A60BBB">
        <w:rPr>
          <w:sz w:val="24"/>
          <w:lang w:eastAsia="ja-JP"/>
        </w:rPr>
        <w:t xml:space="preserve"> </w:t>
      </w:r>
    </w:p>
    <w:p w14:paraId="735E7553" w14:textId="6AF3FD2F" w:rsidR="00882ABF" w:rsidRPr="00882ABF" w:rsidRDefault="00A60BBB" w:rsidP="00882ABF">
      <w:pPr>
        <w:spacing w:after="120" w:line="480" w:lineRule="auto"/>
        <w:ind w:firstLine="709"/>
        <w:jc w:val="both"/>
        <w:rPr>
          <w:sz w:val="24"/>
          <w:lang w:eastAsia="ja-JP"/>
        </w:rPr>
      </w:pPr>
      <w:r>
        <w:rPr>
          <w:sz w:val="24"/>
          <w:lang w:eastAsia="ja-JP"/>
        </w:rPr>
        <w:t xml:space="preserve">Only the </w:t>
      </w:r>
      <w:r>
        <w:rPr>
          <w:rFonts w:hint="eastAsia"/>
          <w:sz w:val="24"/>
          <w:lang w:eastAsia="ja-JP"/>
        </w:rPr>
        <w:t xml:space="preserve">initial </w:t>
      </w:r>
      <w:r>
        <w:rPr>
          <w:sz w:val="24"/>
          <w:lang w:eastAsia="ja-JP"/>
        </w:rPr>
        <w:t xml:space="preserve">generation of </w:t>
      </w:r>
      <w:r w:rsidR="00440147">
        <w:rPr>
          <w:rFonts w:hint="eastAsia"/>
          <w:sz w:val="24"/>
          <w:lang w:eastAsia="ja-JP"/>
        </w:rPr>
        <w:t>investor</w:t>
      </w:r>
      <w:r w:rsidR="00EA0F15">
        <w:rPr>
          <w:rFonts w:hint="eastAsia"/>
          <w:sz w:val="24"/>
          <w:lang w:eastAsia="ja-JP"/>
        </w:rPr>
        <w:t>s</w:t>
      </w:r>
      <w:r>
        <w:rPr>
          <w:sz w:val="24"/>
          <w:lang w:eastAsia="ja-JP"/>
        </w:rPr>
        <w:t xml:space="preserve"> </w:t>
      </w:r>
      <w:r>
        <w:rPr>
          <w:rFonts w:hint="eastAsia"/>
          <w:sz w:val="24"/>
          <w:lang w:eastAsia="ja-JP"/>
        </w:rPr>
        <w:t xml:space="preserve">(G0) </w:t>
      </w:r>
      <w:r>
        <w:rPr>
          <w:sz w:val="24"/>
          <w:lang w:eastAsia="ja-JP"/>
        </w:rPr>
        <w:t xml:space="preserve">is endowed with units of the </w:t>
      </w:r>
      <w:r w:rsidR="00B62ED0">
        <w:rPr>
          <w:rFonts w:hint="eastAsia"/>
          <w:sz w:val="24"/>
          <w:lang w:eastAsia="ja-JP"/>
        </w:rPr>
        <w:t>security</w:t>
      </w:r>
      <w:r w:rsidR="00EC0DF6">
        <w:rPr>
          <w:sz w:val="24"/>
          <w:lang w:eastAsia="ja-JP"/>
        </w:rPr>
        <w:t xml:space="preserve"> at </w:t>
      </w:r>
      <w:r w:rsidR="00EC0DF6">
        <w:rPr>
          <w:rFonts w:hint="eastAsia"/>
          <w:sz w:val="24"/>
          <w:lang w:eastAsia="ja-JP"/>
        </w:rPr>
        <w:t xml:space="preserve">the beginning of </w:t>
      </w:r>
      <w:r w:rsidR="00ED6EEC">
        <w:rPr>
          <w:sz w:val="24"/>
          <w:lang w:eastAsia="ja-JP"/>
        </w:rPr>
        <w:t>p</w:t>
      </w:r>
      <w:r w:rsidR="00EC0DF6">
        <w:rPr>
          <w:rFonts w:hint="eastAsia"/>
          <w:sz w:val="24"/>
          <w:lang w:eastAsia="ja-JP"/>
        </w:rPr>
        <w:t>eriod 1</w:t>
      </w:r>
      <w:r>
        <w:rPr>
          <w:sz w:val="24"/>
          <w:lang w:eastAsia="ja-JP"/>
        </w:rPr>
        <w:t xml:space="preserve">. </w:t>
      </w:r>
      <w:r w:rsidR="00EA0F15">
        <w:rPr>
          <w:rFonts w:hint="eastAsia"/>
          <w:sz w:val="24"/>
          <w:lang w:eastAsia="ja-JP"/>
        </w:rPr>
        <w:t>All other</w:t>
      </w:r>
      <w:r w:rsidR="00EC0DF6">
        <w:rPr>
          <w:sz w:val="24"/>
          <w:lang w:eastAsia="ja-JP"/>
        </w:rPr>
        <w:t xml:space="preserve"> generations</w:t>
      </w:r>
      <w:r w:rsidR="00EA0F15">
        <w:rPr>
          <w:rFonts w:hint="eastAsia"/>
          <w:sz w:val="24"/>
          <w:lang w:eastAsia="ja-JP"/>
        </w:rPr>
        <w:t xml:space="preserve"> (G1</w:t>
      </w:r>
      <w:r w:rsidR="00A0637E">
        <w:rPr>
          <w:sz w:val="24"/>
          <w:lang w:eastAsia="ja-JP"/>
        </w:rPr>
        <w:t xml:space="preserve"> up to </w:t>
      </w:r>
      <w:r w:rsidR="00EA0F15">
        <w:rPr>
          <w:rFonts w:hint="eastAsia"/>
          <w:sz w:val="24"/>
          <w:lang w:eastAsia="ja-JP"/>
        </w:rPr>
        <w:t xml:space="preserve">G8) are </w:t>
      </w:r>
      <w:r w:rsidR="00FB23D7">
        <w:rPr>
          <w:sz w:val="24"/>
          <w:lang w:eastAsia="ja-JP"/>
        </w:rPr>
        <w:t xml:space="preserve">initially </w:t>
      </w:r>
      <w:r w:rsidR="00EA0F15">
        <w:rPr>
          <w:rFonts w:hint="eastAsia"/>
          <w:sz w:val="24"/>
          <w:lang w:eastAsia="ja-JP"/>
        </w:rPr>
        <w:t xml:space="preserve">endowed with cash </w:t>
      </w:r>
      <w:r w:rsidR="00EC0DF6">
        <w:rPr>
          <w:sz w:val="24"/>
          <w:lang w:eastAsia="ja-JP"/>
        </w:rPr>
        <w:t xml:space="preserve">but no </w:t>
      </w:r>
      <w:r w:rsidR="00EC0DF6">
        <w:rPr>
          <w:rFonts w:hint="eastAsia"/>
          <w:sz w:val="24"/>
          <w:lang w:eastAsia="ja-JP"/>
        </w:rPr>
        <w:t>securities</w:t>
      </w:r>
      <w:r w:rsidR="00EA0F15">
        <w:rPr>
          <w:rFonts w:hint="eastAsia"/>
          <w:sz w:val="24"/>
          <w:lang w:eastAsia="ja-JP"/>
        </w:rPr>
        <w:t xml:space="preserve">. </w:t>
      </w:r>
      <w:r w:rsidR="00EC0DF6">
        <w:rPr>
          <w:sz w:val="24"/>
          <w:lang w:eastAsia="ja-JP"/>
        </w:rPr>
        <w:t xml:space="preserve">They </w:t>
      </w:r>
      <w:r w:rsidR="00EC0DF6">
        <w:rPr>
          <w:rFonts w:hint="eastAsia"/>
          <w:sz w:val="24"/>
          <w:lang w:eastAsia="ja-JP"/>
        </w:rPr>
        <w:t xml:space="preserve">can </w:t>
      </w:r>
      <w:r w:rsidR="00EC0DF6">
        <w:rPr>
          <w:sz w:val="24"/>
          <w:lang w:eastAsia="ja-JP"/>
        </w:rPr>
        <w:t xml:space="preserve">use their cash to </w:t>
      </w:r>
      <w:r w:rsidR="00EC0DF6">
        <w:rPr>
          <w:rFonts w:hint="eastAsia"/>
          <w:sz w:val="24"/>
          <w:lang w:eastAsia="ja-JP"/>
        </w:rPr>
        <w:t xml:space="preserve">buy securities from the </w:t>
      </w:r>
      <w:r w:rsidR="00EC0DF6">
        <w:rPr>
          <w:sz w:val="24"/>
          <w:lang w:eastAsia="ja-JP"/>
        </w:rPr>
        <w:t>‘</w:t>
      </w:r>
      <w:r w:rsidR="00EC0DF6">
        <w:rPr>
          <w:rFonts w:hint="eastAsia"/>
          <w:sz w:val="24"/>
          <w:lang w:eastAsia="ja-JP"/>
        </w:rPr>
        <w:t>older</w:t>
      </w:r>
      <w:r w:rsidR="00EC0DF6">
        <w:rPr>
          <w:sz w:val="24"/>
          <w:lang w:eastAsia="ja-JP"/>
        </w:rPr>
        <w:t>’</w:t>
      </w:r>
      <w:r w:rsidR="00EC0DF6">
        <w:rPr>
          <w:rFonts w:hint="eastAsia"/>
          <w:sz w:val="24"/>
          <w:lang w:eastAsia="ja-JP"/>
        </w:rPr>
        <w:t xml:space="preserve"> </w:t>
      </w:r>
      <w:r w:rsidR="00EC0DF6">
        <w:rPr>
          <w:sz w:val="24"/>
          <w:lang w:eastAsia="ja-JP"/>
        </w:rPr>
        <w:t>generation</w:t>
      </w:r>
      <w:r w:rsidR="00EC0DF6">
        <w:rPr>
          <w:rFonts w:hint="eastAsia"/>
          <w:sz w:val="24"/>
          <w:lang w:eastAsia="ja-JP"/>
        </w:rPr>
        <w:t xml:space="preserve">, </w:t>
      </w:r>
      <w:proofErr w:type="gramStart"/>
      <w:r w:rsidR="00EC0DF6">
        <w:rPr>
          <w:sz w:val="24"/>
          <w:lang w:eastAsia="ja-JP"/>
        </w:rPr>
        <w:t>then</w:t>
      </w:r>
      <w:proofErr w:type="gramEnd"/>
      <w:r w:rsidR="00EC0DF6">
        <w:rPr>
          <w:sz w:val="24"/>
          <w:lang w:eastAsia="ja-JP"/>
        </w:rPr>
        <w:t xml:space="preserve"> sell the</w:t>
      </w:r>
      <w:r w:rsidR="007464DE">
        <w:rPr>
          <w:sz w:val="24"/>
          <w:lang w:eastAsia="ja-JP"/>
        </w:rPr>
        <w:t xml:space="preserve"> securities</w:t>
      </w:r>
      <w:r w:rsidR="00EC0DF6">
        <w:rPr>
          <w:rFonts w:hint="eastAsia"/>
          <w:sz w:val="24"/>
          <w:lang w:eastAsia="ja-JP"/>
        </w:rPr>
        <w:t xml:space="preserve"> to the </w:t>
      </w:r>
      <w:r w:rsidR="00EC0DF6">
        <w:rPr>
          <w:sz w:val="24"/>
          <w:lang w:eastAsia="ja-JP"/>
        </w:rPr>
        <w:t>next ‘</w:t>
      </w:r>
      <w:r w:rsidR="00EC0DF6">
        <w:rPr>
          <w:rFonts w:hint="eastAsia"/>
          <w:sz w:val="24"/>
          <w:lang w:eastAsia="ja-JP"/>
        </w:rPr>
        <w:t>younger</w:t>
      </w:r>
      <w:r w:rsidR="00EC0DF6">
        <w:rPr>
          <w:sz w:val="24"/>
          <w:lang w:eastAsia="ja-JP"/>
        </w:rPr>
        <w:t>’</w:t>
      </w:r>
      <w:r w:rsidR="00EC0DF6">
        <w:rPr>
          <w:rFonts w:hint="eastAsia"/>
          <w:sz w:val="24"/>
          <w:lang w:eastAsia="ja-JP"/>
        </w:rPr>
        <w:t xml:space="preserve"> generation and </w:t>
      </w:r>
      <w:r w:rsidR="00EC0DF6">
        <w:rPr>
          <w:sz w:val="24"/>
          <w:lang w:eastAsia="ja-JP"/>
        </w:rPr>
        <w:t>exit the market, just when another generation enters (or the session ends).</w:t>
      </w:r>
      <w:r w:rsidR="00EC0DF6">
        <w:rPr>
          <w:rStyle w:val="Funotenzeichen"/>
          <w:sz w:val="24"/>
          <w:lang w:eastAsia="ja-JP"/>
        </w:rPr>
        <w:footnoteReference w:id="15"/>
      </w:r>
      <w:r w:rsidR="00EC0DF6">
        <w:rPr>
          <w:sz w:val="24"/>
          <w:lang w:eastAsia="ja-JP"/>
        </w:rPr>
        <w:t xml:space="preserve"> </w:t>
      </w:r>
      <w:r w:rsidR="00882ABF" w:rsidRPr="00882ABF">
        <w:rPr>
          <w:sz w:val="24"/>
          <w:lang w:eastAsia="ja-JP"/>
        </w:rPr>
        <w:t>This design ensure</w:t>
      </w:r>
      <w:r w:rsidR="00882ABF" w:rsidRPr="00882ABF">
        <w:rPr>
          <w:rFonts w:hint="eastAsia"/>
          <w:sz w:val="24"/>
          <w:lang w:eastAsia="ja-JP"/>
        </w:rPr>
        <w:t>s</w:t>
      </w:r>
      <w:r w:rsidR="00882ABF" w:rsidRPr="00882ABF">
        <w:rPr>
          <w:sz w:val="24"/>
          <w:lang w:eastAsia="ja-JP"/>
        </w:rPr>
        <w:t xml:space="preserve"> that </w:t>
      </w:r>
      <w:r w:rsidR="00882ABF" w:rsidRPr="00882ABF">
        <w:rPr>
          <w:rFonts w:hint="eastAsia"/>
          <w:sz w:val="24"/>
          <w:lang w:eastAsia="ja-JP"/>
        </w:rPr>
        <w:t>even</w:t>
      </w:r>
      <w:r w:rsidR="00882ABF" w:rsidRPr="00882ABF">
        <w:rPr>
          <w:sz w:val="24"/>
          <w:lang w:eastAsia="ja-JP"/>
        </w:rPr>
        <w:t xml:space="preserve"> in T1, where G0 and </w:t>
      </w:r>
      <w:r w:rsidR="00882ABF" w:rsidRPr="00882ABF">
        <w:rPr>
          <w:sz w:val="24"/>
          <w:lang w:eastAsia="ja-JP"/>
        </w:rPr>
        <w:lastRenderedPageBreak/>
        <w:t xml:space="preserve">G1 are present for all 16 periods each </w:t>
      </w:r>
      <w:r w:rsidR="00D57DDE">
        <w:rPr>
          <w:sz w:val="24"/>
          <w:lang w:eastAsia="ja-JP"/>
        </w:rPr>
        <w:t>security</w:t>
      </w:r>
      <w:r w:rsidR="00882ABF" w:rsidRPr="00882ABF">
        <w:rPr>
          <w:sz w:val="24"/>
          <w:lang w:eastAsia="ja-JP"/>
        </w:rPr>
        <w:t xml:space="preserve"> needs to be traded at least once (from a me</w:t>
      </w:r>
      <w:r w:rsidR="00882ABF" w:rsidRPr="00882ABF">
        <w:rPr>
          <w:sz w:val="24"/>
          <w:lang w:eastAsia="ja-JP"/>
        </w:rPr>
        <w:t>m</w:t>
      </w:r>
      <w:r w:rsidR="00882ABF" w:rsidRPr="00882ABF">
        <w:rPr>
          <w:sz w:val="24"/>
          <w:lang w:eastAsia="ja-JP"/>
        </w:rPr>
        <w:t>ber of G0 to a member of G1) to realize its dividend.</w:t>
      </w:r>
    </w:p>
    <w:p w14:paraId="09C7F40E" w14:textId="77777777" w:rsidR="00882ABF" w:rsidRDefault="00882ABF" w:rsidP="00882ABF">
      <w:pPr>
        <w:spacing w:line="480" w:lineRule="auto"/>
        <w:jc w:val="center"/>
        <w:rPr>
          <w:i/>
          <w:sz w:val="24"/>
          <w:lang w:eastAsia="ja-JP"/>
        </w:rPr>
      </w:pPr>
      <w:r>
        <w:rPr>
          <w:rFonts w:hint="eastAsia"/>
          <w:i/>
          <w:sz w:val="24"/>
          <w:lang w:eastAsia="ja-JP"/>
        </w:rPr>
        <w:t>(</w:t>
      </w:r>
      <w:r>
        <w:rPr>
          <w:i/>
          <w:sz w:val="24"/>
          <w:lang w:eastAsia="ja-JP"/>
        </w:rPr>
        <w:t>Table 2 about here</w:t>
      </w:r>
      <w:r>
        <w:rPr>
          <w:rFonts w:hint="eastAsia"/>
          <w:i/>
          <w:sz w:val="24"/>
          <w:lang w:eastAsia="ja-JP"/>
        </w:rPr>
        <w:t>)</w:t>
      </w:r>
    </w:p>
    <w:p w14:paraId="56EA7D26" w14:textId="77777777" w:rsidR="00EE6BF9" w:rsidRDefault="00EC0DF6" w:rsidP="007B2FEF">
      <w:pPr>
        <w:spacing w:afterLines="50" w:after="120" w:line="480" w:lineRule="auto"/>
        <w:ind w:firstLine="709"/>
        <w:jc w:val="both"/>
        <w:rPr>
          <w:sz w:val="24"/>
          <w:lang w:eastAsia="ja-JP"/>
        </w:rPr>
      </w:pPr>
      <w:r>
        <w:rPr>
          <w:sz w:val="24"/>
          <w:lang w:eastAsia="ja-JP"/>
        </w:rPr>
        <w:t xml:space="preserve">To equalize the per period trading ‘workload’ across treatments, </w:t>
      </w:r>
      <w:r>
        <w:rPr>
          <w:rFonts w:hint="eastAsia"/>
          <w:sz w:val="24"/>
          <w:lang w:eastAsia="ja-JP"/>
        </w:rPr>
        <w:t>security</w:t>
      </w:r>
      <w:r>
        <w:rPr>
          <w:sz w:val="24"/>
          <w:lang w:eastAsia="ja-JP"/>
        </w:rPr>
        <w:t xml:space="preserve"> and cash e</w:t>
      </w:r>
      <w:r>
        <w:rPr>
          <w:sz w:val="24"/>
          <w:lang w:eastAsia="ja-JP"/>
        </w:rPr>
        <w:t>n</w:t>
      </w:r>
      <w:r>
        <w:rPr>
          <w:sz w:val="24"/>
          <w:lang w:eastAsia="ja-JP"/>
        </w:rPr>
        <w:t xml:space="preserve">dowments are varied so as to keep the expected number of transactions for the entire 16-period session fixed at 160, independent of the number of generations (see Table 2 for details on parameter selection in each treatment). To ensure that the total number of </w:t>
      </w:r>
      <w:r>
        <w:rPr>
          <w:rFonts w:hint="eastAsia"/>
          <w:sz w:val="24"/>
          <w:lang w:eastAsia="ja-JP"/>
        </w:rPr>
        <w:t>se</w:t>
      </w:r>
      <w:r>
        <w:rPr>
          <w:sz w:val="24"/>
          <w:lang w:eastAsia="ja-JP"/>
        </w:rPr>
        <w:t>c</w:t>
      </w:r>
      <w:r>
        <w:rPr>
          <w:rFonts w:hint="eastAsia"/>
          <w:sz w:val="24"/>
          <w:lang w:eastAsia="ja-JP"/>
        </w:rPr>
        <w:t>urities</w:t>
      </w:r>
      <w:r>
        <w:rPr>
          <w:sz w:val="24"/>
          <w:lang w:eastAsia="ja-JP"/>
        </w:rPr>
        <w:t xml:space="preserve"> in the experimental </w:t>
      </w:r>
      <w:r>
        <w:rPr>
          <w:rFonts w:hint="eastAsia"/>
          <w:sz w:val="24"/>
          <w:lang w:eastAsia="ja-JP"/>
        </w:rPr>
        <w:t>market</w:t>
      </w:r>
      <w:r>
        <w:rPr>
          <w:sz w:val="24"/>
          <w:lang w:eastAsia="ja-JP"/>
        </w:rPr>
        <w:t xml:space="preserve"> stays constant throughout the session, any </w:t>
      </w:r>
      <w:r>
        <w:rPr>
          <w:rFonts w:hint="eastAsia"/>
          <w:sz w:val="24"/>
          <w:lang w:eastAsia="ja-JP"/>
        </w:rPr>
        <w:t>securities</w:t>
      </w:r>
      <w:r>
        <w:rPr>
          <w:sz w:val="24"/>
          <w:lang w:eastAsia="ja-JP"/>
        </w:rPr>
        <w:t xml:space="preserve"> in the hands of exi</w:t>
      </w:r>
      <w:r>
        <w:rPr>
          <w:sz w:val="24"/>
          <w:lang w:eastAsia="ja-JP"/>
        </w:rPr>
        <w:t>t</w:t>
      </w:r>
      <w:r>
        <w:rPr>
          <w:sz w:val="24"/>
          <w:lang w:eastAsia="ja-JP"/>
        </w:rPr>
        <w:t xml:space="preserve">ing investors are </w:t>
      </w:r>
      <w:r w:rsidRPr="00261181">
        <w:rPr>
          <w:sz w:val="24"/>
          <w:lang w:eastAsia="ja-JP"/>
        </w:rPr>
        <w:t xml:space="preserve">distributed at zero </w:t>
      </w:r>
      <w:r>
        <w:rPr>
          <w:sz w:val="24"/>
          <w:lang w:eastAsia="ja-JP"/>
        </w:rPr>
        <w:t>cost</w:t>
      </w:r>
      <w:r w:rsidRPr="00261181">
        <w:rPr>
          <w:sz w:val="24"/>
          <w:lang w:eastAsia="ja-JP"/>
        </w:rPr>
        <w:t xml:space="preserve"> to randomly chosen members of the </w:t>
      </w:r>
      <w:r>
        <w:rPr>
          <w:sz w:val="24"/>
          <w:lang w:eastAsia="ja-JP"/>
        </w:rPr>
        <w:t xml:space="preserve">entering </w:t>
      </w:r>
      <w:r w:rsidRPr="00261181">
        <w:rPr>
          <w:sz w:val="24"/>
          <w:lang w:eastAsia="ja-JP"/>
        </w:rPr>
        <w:t>gener</w:t>
      </w:r>
      <w:r w:rsidRPr="00261181">
        <w:rPr>
          <w:sz w:val="24"/>
          <w:lang w:eastAsia="ja-JP"/>
        </w:rPr>
        <w:t>a</w:t>
      </w:r>
      <w:r w:rsidRPr="00261181">
        <w:rPr>
          <w:sz w:val="24"/>
          <w:lang w:eastAsia="ja-JP"/>
        </w:rPr>
        <w:t xml:space="preserve">tion. This arrangement ensures that no buyer is forced to buy a </w:t>
      </w:r>
      <w:r>
        <w:rPr>
          <w:rFonts w:hint="eastAsia"/>
          <w:sz w:val="24"/>
          <w:lang w:eastAsia="ja-JP"/>
        </w:rPr>
        <w:t>security</w:t>
      </w:r>
      <w:r w:rsidRPr="00261181">
        <w:rPr>
          <w:sz w:val="24"/>
          <w:lang w:eastAsia="ja-JP"/>
        </w:rPr>
        <w:t xml:space="preserve"> at a price unaccept</w:t>
      </w:r>
      <w:r w:rsidRPr="00261181">
        <w:rPr>
          <w:sz w:val="24"/>
          <w:lang w:eastAsia="ja-JP"/>
        </w:rPr>
        <w:t>a</w:t>
      </w:r>
      <w:r w:rsidRPr="00261181">
        <w:rPr>
          <w:sz w:val="24"/>
          <w:lang w:eastAsia="ja-JP"/>
        </w:rPr>
        <w:t xml:space="preserve">ble to him/her, and the sellers have </w:t>
      </w:r>
      <w:r>
        <w:rPr>
          <w:sz w:val="24"/>
          <w:lang w:eastAsia="ja-JP"/>
        </w:rPr>
        <w:t>an</w:t>
      </w:r>
      <w:r w:rsidRPr="00261181">
        <w:rPr>
          <w:sz w:val="24"/>
          <w:lang w:eastAsia="ja-JP"/>
        </w:rPr>
        <w:t xml:space="preserve"> incentive to </w:t>
      </w:r>
      <w:r>
        <w:rPr>
          <w:sz w:val="24"/>
          <w:lang w:eastAsia="ja-JP"/>
        </w:rPr>
        <w:t>sell</w:t>
      </w:r>
      <w:r w:rsidRPr="00261181">
        <w:rPr>
          <w:sz w:val="24"/>
          <w:lang w:eastAsia="ja-JP"/>
        </w:rPr>
        <w:t xml:space="preserve"> their </w:t>
      </w:r>
      <w:r>
        <w:rPr>
          <w:rFonts w:hint="eastAsia"/>
          <w:sz w:val="24"/>
          <w:lang w:eastAsia="ja-JP"/>
        </w:rPr>
        <w:t>securities</w:t>
      </w:r>
      <w:r w:rsidRPr="00261181">
        <w:rPr>
          <w:sz w:val="24"/>
          <w:lang w:eastAsia="ja-JP"/>
        </w:rPr>
        <w:t xml:space="preserve"> before exiting the ma</w:t>
      </w:r>
      <w:r w:rsidRPr="00261181">
        <w:rPr>
          <w:sz w:val="24"/>
          <w:lang w:eastAsia="ja-JP"/>
        </w:rPr>
        <w:t>r</w:t>
      </w:r>
      <w:r w:rsidRPr="00261181">
        <w:rPr>
          <w:sz w:val="24"/>
          <w:lang w:eastAsia="ja-JP"/>
        </w:rPr>
        <w:t>ket.</w:t>
      </w:r>
      <w:r>
        <w:rPr>
          <w:rStyle w:val="Funotenzeichen"/>
          <w:sz w:val="24"/>
          <w:lang w:eastAsia="ja-JP"/>
        </w:rPr>
        <w:footnoteReference w:id="16"/>
      </w:r>
    </w:p>
    <w:p w14:paraId="7CD00041" w14:textId="77777777" w:rsidR="00780409" w:rsidRDefault="009B3013">
      <w:pPr>
        <w:spacing w:line="480" w:lineRule="auto"/>
        <w:jc w:val="both"/>
        <w:rPr>
          <w:sz w:val="24"/>
          <w:lang w:eastAsia="ja-JP"/>
        </w:rPr>
      </w:pPr>
      <w:r w:rsidRPr="00FF0BBF">
        <w:rPr>
          <w:i/>
          <w:sz w:val="24"/>
          <w:lang w:eastAsia="ja-JP"/>
        </w:rPr>
        <w:t>Trading mechanism</w:t>
      </w:r>
    </w:p>
    <w:p w14:paraId="52A6BB91" w14:textId="782D307F" w:rsidR="00780409" w:rsidRDefault="002F48B6" w:rsidP="007B2FEF">
      <w:pPr>
        <w:spacing w:afterLines="50" w:after="120" w:line="480" w:lineRule="auto"/>
        <w:ind w:firstLine="720"/>
        <w:jc w:val="both"/>
        <w:rPr>
          <w:sz w:val="24"/>
          <w:lang w:eastAsia="ja-JP"/>
        </w:rPr>
      </w:pPr>
      <w:r>
        <w:rPr>
          <w:sz w:val="24"/>
          <w:lang w:eastAsia="ja-JP"/>
        </w:rPr>
        <w:t xml:space="preserve">The trading mechanism used is a </w:t>
      </w:r>
      <w:r w:rsidR="00515014">
        <w:rPr>
          <w:sz w:val="24"/>
          <w:lang w:eastAsia="ja-JP"/>
        </w:rPr>
        <w:t xml:space="preserve">continuous </w:t>
      </w:r>
      <w:r>
        <w:rPr>
          <w:sz w:val="24"/>
          <w:lang w:eastAsia="ja-JP"/>
        </w:rPr>
        <w:t xml:space="preserve">double auction with </w:t>
      </w:r>
      <w:r w:rsidR="00515014">
        <w:rPr>
          <w:sz w:val="24"/>
          <w:lang w:eastAsia="ja-JP"/>
        </w:rPr>
        <w:t>open order</w:t>
      </w:r>
      <w:r w:rsidR="0087580A">
        <w:rPr>
          <w:sz w:val="24"/>
          <w:lang w:eastAsia="ja-JP"/>
        </w:rPr>
        <w:t xml:space="preserve"> </w:t>
      </w:r>
      <w:r>
        <w:rPr>
          <w:sz w:val="24"/>
          <w:lang w:eastAsia="ja-JP"/>
        </w:rPr>
        <w:t>book</w:t>
      </w:r>
      <w:r w:rsidR="008C4C46">
        <w:rPr>
          <w:sz w:val="24"/>
          <w:lang w:eastAsia="ja-JP"/>
        </w:rPr>
        <w:t xml:space="preserve">, </w:t>
      </w:r>
      <w:r w:rsidR="00821739">
        <w:rPr>
          <w:sz w:val="24"/>
          <w:lang w:eastAsia="ja-JP"/>
        </w:rPr>
        <w:t xml:space="preserve">opportunity </w:t>
      </w:r>
      <w:r>
        <w:rPr>
          <w:sz w:val="24"/>
          <w:lang w:eastAsia="ja-JP"/>
        </w:rPr>
        <w:t>to cancel a bid or ask before it is accepted</w:t>
      </w:r>
      <w:r w:rsidR="00E71CF7">
        <w:rPr>
          <w:sz w:val="24"/>
          <w:lang w:eastAsia="ja-JP"/>
        </w:rPr>
        <w:t>, single-unit trades, and short</w:t>
      </w:r>
      <w:r w:rsidR="00EB259D">
        <w:rPr>
          <w:sz w:val="24"/>
          <w:lang w:eastAsia="ja-JP"/>
        </w:rPr>
        <w:t>ing</w:t>
      </w:r>
      <w:r>
        <w:rPr>
          <w:sz w:val="24"/>
          <w:lang w:eastAsia="ja-JP"/>
        </w:rPr>
        <w:t xml:space="preserve"> co</w:t>
      </w:r>
      <w:r>
        <w:rPr>
          <w:sz w:val="24"/>
          <w:lang w:eastAsia="ja-JP"/>
        </w:rPr>
        <w:t>n</w:t>
      </w:r>
      <w:r>
        <w:rPr>
          <w:sz w:val="24"/>
          <w:lang w:eastAsia="ja-JP"/>
        </w:rPr>
        <w:t xml:space="preserve">straint (no negative holdings of cash or </w:t>
      </w:r>
      <w:r w:rsidR="006D14DF">
        <w:rPr>
          <w:sz w:val="24"/>
          <w:lang w:eastAsia="ja-JP"/>
        </w:rPr>
        <w:t>securities</w:t>
      </w:r>
      <w:r>
        <w:rPr>
          <w:sz w:val="24"/>
          <w:lang w:eastAsia="ja-JP"/>
        </w:rPr>
        <w:t xml:space="preserve"> </w:t>
      </w:r>
      <w:r w:rsidR="007032B5">
        <w:rPr>
          <w:sz w:val="24"/>
          <w:lang w:eastAsia="ja-JP"/>
        </w:rPr>
        <w:t xml:space="preserve">allowed </w:t>
      </w:r>
      <w:r>
        <w:rPr>
          <w:sz w:val="24"/>
          <w:lang w:eastAsia="ja-JP"/>
        </w:rPr>
        <w:t xml:space="preserve">at any time). </w:t>
      </w:r>
      <w:r w:rsidR="0093258A">
        <w:rPr>
          <w:sz w:val="24"/>
          <w:lang w:eastAsia="ja-JP"/>
        </w:rPr>
        <w:t xml:space="preserve">The single unit </w:t>
      </w:r>
      <w:r w:rsidR="00821739">
        <w:rPr>
          <w:sz w:val="24"/>
          <w:lang w:eastAsia="ja-JP"/>
        </w:rPr>
        <w:t>trades help homogenize the</w:t>
      </w:r>
      <w:r w:rsidR="0093258A">
        <w:rPr>
          <w:sz w:val="24"/>
          <w:lang w:eastAsia="ja-JP"/>
        </w:rPr>
        <w:t xml:space="preserve"> amount of</w:t>
      </w:r>
      <w:r w:rsidR="00FB0738">
        <w:rPr>
          <w:sz w:val="24"/>
          <w:lang w:eastAsia="ja-JP"/>
        </w:rPr>
        <w:t xml:space="preserve"> trading</w:t>
      </w:r>
      <w:r w:rsidR="0093258A">
        <w:rPr>
          <w:sz w:val="24"/>
          <w:lang w:eastAsia="ja-JP"/>
        </w:rPr>
        <w:t xml:space="preserve"> “work</w:t>
      </w:r>
      <w:r w:rsidR="00A54F0A">
        <w:rPr>
          <w:sz w:val="24"/>
          <w:lang w:eastAsia="ja-JP"/>
        </w:rPr>
        <w:t>load</w:t>
      </w:r>
      <w:r w:rsidR="0093258A">
        <w:rPr>
          <w:sz w:val="24"/>
          <w:lang w:eastAsia="ja-JP"/>
        </w:rPr>
        <w:t xml:space="preserve">” per period across treatments. </w:t>
      </w:r>
      <w:r w:rsidR="0087580A">
        <w:rPr>
          <w:sz w:val="24"/>
          <w:lang w:eastAsia="ja-JP"/>
        </w:rPr>
        <w:t xml:space="preserve">All cash and </w:t>
      </w:r>
      <w:r w:rsidR="00B62ED0">
        <w:rPr>
          <w:rFonts w:hint="eastAsia"/>
          <w:sz w:val="24"/>
          <w:lang w:eastAsia="ja-JP"/>
        </w:rPr>
        <w:t>security</w:t>
      </w:r>
      <w:r w:rsidR="0087580A">
        <w:rPr>
          <w:sz w:val="24"/>
          <w:lang w:eastAsia="ja-JP"/>
        </w:rPr>
        <w:t xml:space="preserve"> balances are carried over to the following period until the </w:t>
      </w:r>
      <w:r w:rsidR="00440147">
        <w:rPr>
          <w:sz w:val="24"/>
          <w:lang w:eastAsia="ja-JP"/>
        </w:rPr>
        <w:t>investor</w:t>
      </w:r>
      <w:r w:rsidR="0087580A">
        <w:rPr>
          <w:sz w:val="24"/>
          <w:lang w:eastAsia="ja-JP"/>
        </w:rPr>
        <w:t xml:space="preserve"> exits. </w:t>
      </w:r>
      <w:r w:rsidR="005C5ABB" w:rsidRPr="005C5ABB">
        <w:rPr>
          <w:sz w:val="24"/>
          <w:lang w:eastAsia="ja-JP"/>
        </w:rPr>
        <w:t>Inve</w:t>
      </w:r>
      <w:r w:rsidR="005C5ABB" w:rsidRPr="005C5ABB">
        <w:rPr>
          <w:sz w:val="24"/>
          <w:lang w:eastAsia="ja-JP"/>
        </w:rPr>
        <w:t>s</w:t>
      </w:r>
      <w:r w:rsidR="005C5ABB" w:rsidRPr="005C5ABB">
        <w:rPr>
          <w:sz w:val="24"/>
          <w:lang w:eastAsia="ja-JP"/>
        </w:rPr>
        <w:t xml:space="preserve">tors can buy and sell securities freely as long as neither their cash nor the security holdings become negative. </w:t>
      </w:r>
      <w:r w:rsidR="00060300">
        <w:rPr>
          <w:sz w:val="24"/>
          <w:lang w:eastAsia="ja-JP"/>
        </w:rPr>
        <w:t xml:space="preserve">Each trading period lasts for </w:t>
      </w:r>
      <w:r w:rsidR="00F31311" w:rsidRPr="00EB259D">
        <w:rPr>
          <w:sz w:val="24"/>
          <w:lang w:eastAsia="ja-JP"/>
        </w:rPr>
        <w:t>12</w:t>
      </w:r>
      <w:r w:rsidR="00060300" w:rsidRPr="00EB259D">
        <w:rPr>
          <w:sz w:val="24"/>
          <w:lang w:eastAsia="ja-JP"/>
        </w:rPr>
        <w:t>0</w:t>
      </w:r>
      <w:r w:rsidR="00060300">
        <w:rPr>
          <w:sz w:val="24"/>
          <w:lang w:eastAsia="ja-JP"/>
        </w:rPr>
        <w:t xml:space="preserve"> seconds with a digital wind-down clock on the trading screen.</w:t>
      </w:r>
      <w:r w:rsidR="00D52B79" w:rsidRPr="00D52B79">
        <w:rPr>
          <w:sz w:val="24"/>
          <w:lang w:eastAsia="ja-JP"/>
        </w:rPr>
        <w:t xml:space="preserve"> </w:t>
      </w:r>
      <w:r w:rsidR="00D52B79">
        <w:rPr>
          <w:sz w:val="24"/>
          <w:lang w:eastAsia="ja-JP"/>
        </w:rPr>
        <w:t>Earnings accounts are shown on a history screen at the end of each p</w:t>
      </w:r>
      <w:r w:rsidR="00D52B79">
        <w:rPr>
          <w:sz w:val="24"/>
          <w:lang w:eastAsia="ja-JP"/>
        </w:rPr>
        <w:t>e</w:t>
      </w:r>
      <w:r w:rsidR="00D52B79">
        <w:rPr>
          <w:sz w:val="24"/>
          <w:lang w:eastAsia="ja-JP"/>
        </w:rPr>
        <w:t xml:space="preserve">riod (see Appendix </w:t>
      </w:r>
      <w:r w:rsidR="000C50F0">
        <w:rPr>
          <w:sz w:val="24"/>
          <w:lang w:eastAsia="ja-JP"/>
        </w:rPr>
        <w:t xml:space="preserve">A </w:t>
      </w:r>
      <w:r w:rsidR="00D52B79">
        <w:rPr>
          <w:sz w:val="24"/>
          <w:lang w:eastAsia="ja-JP"/>
        </w:rPr>
        <w:t>for details).</w:t>
      </w:r>
    </w:p>
    <w:p w14:paraId="6176908D" w14:textId="77777777" w:rsidR="00780409" w:rsidRDefault="00440147">
      <w:pPr>
        <w:spacing w:line="480" w:lineRule="auto"/>
        <w:jc w:val="both"/>
        <w:rPr>
          <w:sz w:val="24"/>
          <w:lang w:eastAsia="ja-JP"/>
        </w:rPr>
      </w:pPr>
      <w:r>
        <w:rPr>
          <w:i/>
          <w:sz w:val="24"/>
          <w:lang w:eastAsia="ja-JP"/>
        </w:rPr>
        <w:t>Investor</w:t>
      </w:r>
      <w:r w:rsidR="00A56554" w:rsidRPr="00FF0BBF">
        <w:rPr>
          <w:i/>
          <w:sz w:val="24"/>
          <w:lang w:eastAsia="ja-JP"/>
        </w:rPr>
        <w:t xml:space="preserve"> payoff</w:t>
      </w:r>
    </w:p>
    <w:p w14:paraId="1C945A20" w14:textId="77777777" w:rsidR="00780409" w:rsidRDefault="000214AB" w:rsidP="007B2FEF">
      <w:pPr>
        <w:spacing w:afterLines="50" w:after="120" w:line="480" w:lineRule="auto"/>
        <w:ind w:firstLine="709"/>
        <w:jc w:val="both"/>
        <w:rPr>
          <w:sz w:val="24"/>
          <w:lang w:eastAsia="ja-JP"/>
        </w:rPr>
      </w:pPr>
      <w:r>
        <w:rPr>
          <w:rFonts w:hint="eastAsia"/>
          <w:sz w:val="24"/>
          <w:lang w:eastAsia="ja-JP"/>
        </w:rPr>
        <w:lastRenderedPageBreak/>
        <w:t xml:space="preserve">The </w:t>
      </w:r>
      <w:r w:rsidR="00D52B79">
        <w:rPr>
          <w:rFonts w:hint="eastAsia"/>
          <w:sz w:val="24"/>
          <w:lang w:eastAsia="ja-JP"/>
        </w:rPr>
        <w:t xml:space="preserve">final earnings </w:t>
      </w:r>
      <w:r>
        <w:rPr>
          <w:rFonts w:hint="eastAsia"/>
          <w:sz w:val="24"/>
          <w:lang w:eastAsia="ja-JP"/>
        </w:rPr>
        <w:t xml:space="preserve">of </w:t>
      </w:r>
      <w:r w:rsidR="00DD0678">
        <w:rPr>
          <w:sz w:val="24"/>
          <w:lang w:eastAsia="ja-JP"/>
        </w:rPr>
        <w:t xml:space="preserve">each member of </w:t>
      </w:r>
      <w:r>
        <w:rPr>
          <w:rFonts w:hint="eastAsia"/>
          <w:sz w:val="24"/>
          <w:lang w:eastAsia="ja-JP"/>
        </w:rPr>
        <w:t xml:space="preserve">the last generation of </w:t>
      </w:r>
      <w:r w:rsidR="00440147">
        <w:rPr>
          <w:rFonts w:hint="eastAsia"/>
          <w:sz w:val="24"/>
          <w:lang w:eastAsia="ja-JP"/>
        </w:rPr>
        <w:t>investor</w:t>
      </w:r>
      <w:r>
        <w:rPr>
          <w:rFonts w:hint="eastAsia"/>
          <w:sz w:val="24"/>
          <w:lang w:eastAsia="ja-JP"/>
        </w:rPr>
        <w:t xml:space="preserve">s are calculated </w:t>
      </w:r>
      <w:r w:rsidR="008D2370">
        <w:rPr>
          <w:sz w:val="24"/>
          <w:lang w:eastAsia="ja-JP"/>
        </w:rPr>
        <w:t>as</w:t>
      </w:r>
      <w:r w:rsidR="008D2370">
        <w:rPr>
          <w:rFonts w:hint="eastAsia"/>
          <w:sz w:val="24"/>
          <w:lang w:eastAsia="ja-JP"/>
        </w:rPr>
        <w:t xml:space="preserve"> </w:t>
      </w:r>
      <w:r>
        <w:rPr>
          <w:rFonts w:hint="eastAsia"/>
          <w:sz w:val="24"/>
          <w:lang w:eastAsia="ja-JP"/>
        </w:rPr>
        <w:t xml:space="preserve">[number of </w:t>
      </w:r>
      <w:r>
        <w:rPr>
          <w:sz w:val="24"/>
          <w:lang w:eastAsia="ja-JP"/>
        </w:rPr>
        <w:t>securities</w:t>
      </w:r>
      <w:r>
        <w:rPr>
          <w:rFonts w:hint="eastAsia"/>
          <w:sz w:val="24"/>
          <w:lang w:eastAsia="ja-JP"/>
        </w:rPr>
        <w:t xml:space="preserve"> in their hands at the end of Period 16</w:t>
      </w:r>
      <w:proofErr w:type="gramStart"/>
      <w:r>
        <w:rPr>
          <w:rFonts w:hint="eastAsia"/>
          <w:sz w:val="24"/>
          <w:lang w:eastAsia="ja-JP"/>
        </w:rPr>
        <w:t>]</w:t>
      </w:r>
      <w:r>
        <w:rPr>
          <w:rFonts w:ascii="MS Mincho" w:hAnsi="MS Mincho" w:hint="eastAsia"/>
          <w:sz w:val="24"/>
          <w:lang w:eastAsia="ja-JP"/>
        </w:rPr>
        <w:t>×</w:t>
      </w:r>
      <w:proofErr w:type="gramEnd"/>
      <w:r>
        <w:rPr>
          <w:rFonts w:hint="eastAsia"/>
          <w:sz w:val="24"/>
          <w:lang w:eastAsia="ja-JP"/>
        </w:rPr>
        <w:t xml:space="preserve">[terminal dividend </w:t>
      </w:r>
      <w:r w:rsidR="00BC277F">
        <w:rPr>
          <w:sz w:val="24"/>
          <w:lang w:eastAsia="ja-JP"/>
        </w:rPr>
        <w:t xml:space="preserve">of </w:t>
      </w:r>
      <w:r>
        <w:rPr>
          <w:rFonts w:hint="eastAsia"/>
          <w:sz w:val="24"/>
          <w:lang w:eastAsia="ja-JP"/>
        </w:rPr>
        <w:t xml:space="preserve">50] + [cash holdings at the end of Period 16]. The </w:t>
      </w:r>
      <w:r w:rsidR="00D52B79">
        <w:rPr>
          <w:rFonts w:hint="eastAsia"/>
          <w:sz w:val="24"/>
          <w:lang w:eastAsia="ja-JP"/>
        </w:rPr>
        <w:t xml:space="preserve">final earnings </w:t>
      </w:r>
      <w:r>
        <w:rPr>
          <w:rFonts w:hint="eastAsia"/>
          <w:sz w:val="24"/>
          <w:lang w:eastAsia="ja-JP"/>
        </w:rPr>
        <w:t xml:space="preserve">of all other generations of </w:t>
      </w:r>
      <w:r w:rsidR="00440147">
        <w:rPr>
          <w:rFonts w:hint="eastAsia"/>
          <w:sz w:val="24"/>
          <w:lang w:eastAsia="ja-JP"/>
        </w:rPr>
        <w:t>inve</w:t>
      </w:r>
      <w:r w:rsidR="00440147">
        <w:rPr>
          <w:rFonts w:hint="eastAsia"/>
          <w:sz w:val="24"/>
          <w:lang w:eastAsia="ja-JP"/>
        </w:rPr>
        <w:t>s</w:t>
      </w:r>
      <w:r w:rsidR="00440147">
        <w:rPr>
          <w:rFonts w:hint="eastAsia"/>
          <w:sz w:val="24"/>
          <w:lang w:eastAsia="ja-JP"/>
        </w:rPr>
        <w:t>tor</w:t>
      </w:r>
      <w:r>
        <w:rPr>
          <w:rFonts w:hint="eastAsia"/>
          <w:sz w:val="24"/>
          <w:lang w:eastAsia="ja-JP"/>
        </w:rPr>
        <w:t xml:space="preserve">s are </w:t>
      </w:r>
      <w:r w:rsidR="00B62ED0">
        <w:rPr>
          <w:rFonts w:hint="eastAsia"/>
          <w:sz w:val="24"/>
          <w:lang w:eastAsia="ja-JP"/>
        </w:rPr>
        <w:t xml:space="preserve">equal to </w:t>
      </w:r>
      <w:r w:rsidR="00FF6701">
        <w:rPr>
          <w:sz w:val="24"/>
          <w:lang w:eastAsia="ja-JP"/>
        </w:rPr>
        <w:t xml:space="preserve">their </w:t>
      </w:r>
      <w:r>
        <w:rPr>
          <w:rFonts w:hint="eastAsia"/>
          <w:sz w:val="24"/>
          <w:lang w:eastAsia="ja-JP"/>
        </w:rPr>
        <w:t>[cash holdings at time of exit]</w:t>
      </w:r>
      <w:r w:rsidR="00DD0678">
        <w:rPr>
          <w:sz w:val="24"/>
          <w:lang w:eastAsia="ja-JP"/>
        </w:rPr>
        <w:t>. A</w:t>
      </w:r>
      <w:r>
        <w:rPr>
          <w:sz w:val="24"/>
          <w:lang w:eastAsia="ja-JP"/>
        </w:rPr>
        <w:t xml:space="preserve">ny unsold </w:t>
      </w:r>
      <w:r>
        <w:rPr>
          <w:rFonts w:hint="eastAsia"/>
          <w:sz w:val="24"/>
          <w:lang w:eastAsia="ja-JP"/>
        </w:rPr>
        <w:t>securities</w:t>
      </w:r>
      <w:r>
        <w:rPr>
          <w:sz w:val="24"/>
          <w:lang w:eastAsia="ja-JP"/>
        </w:rPr>
        <w:t xml:space="preserve"> in the hands of these </w:t>
      </w:r>
      <w:r w:rsidR="00440147">
        <w:rPr>
          <w:sz w:val="24"/>
          <w:lang w:eastAsia="ja-JP"/>
        </w:rPr>
        <w:t>investor</w:t>
      </w:r>
      <w:r>
        <w:rPr>
          <w:sz w:val="24"/>
          <w:lang w:eastAsia="ja-JP"/>
        </w:rPr>
        <w:t xml:space="preserve">s are forfeited, and randomly distributed </w:t>
      </w:r>
      <w:r w:rsidR="00DD0678">
        <w:rPr>
          <w:sz w:val="24"/>
          <w:lang w:eastAsia="ja-JP"/>
        </w:rPr>
        <w:t xml:space="preserve">in integer units </w:t>
      </w:r>
      <w:r>
        <w:rPr>
          <w:sz w:val="24"/>
          <w:lang w:eastAsia="ja-JP"/>
        </w:rPr>
        <w:t>among the members of the incoming generation at zero cost</w:t>
      </w:r>
      <w:r w:rsidR="00A54F0A">
        <w:rPr>
          <w:sz w:val="24"/>
          <w:lang w:eastAsia="ja-JP"/>
        </w:rPr>
        <w:t>.</w:t>
      </w:r>
      <w:r w:rsidR="00DD0678">
        <w:rPr>
          <w:rStyle w:val="Funotenzeichen"/>
          <w:sz w:val="24"/>
          <w:lang w:eastAsia="ja-JP"/>
        </w:rPr>
        <w:footnoteReference w:id="17"/>
      </w:r>
      <w:r w:rsidR="00D52B79">
        <w:rPr>
          <w:rFonts w:hint="eastAsia"/>
          <w:sz w:val="24"/>
          <w:lang w:eastAsia="ja-JP"/>
        </w:rPr>
        <w:t xml:space="preserve"> The final earnings of </w:t>
      </w:r>
      <w:r w:rsidR="00440147">
        <w:rPr>
          <w:rFonts w:hint="eastAsia"/>
          <w:sz w:val="24"/>
          <w:lang w:eastAsia="ja-JP"/>
        </w:rPr>
        <w:t>investor</w:t>
      </w:r>
      <w:r w:rsidR="00D52B79">
        <w:rPr>
          <w:rFonts w:hint="eastAsia"/>
          <w:sz w:val="24"/>
          <w:lang w:eastAsia="ja-JP"/>
        </w:rPr>
        <w:t xml:space="preserve">s </w:t>
      </w:r>
      <w:r w:rsidR="008414E4">
        <w:rPr>
          <w:sz w:val="24"/>
          <w:lang w:eastAsia="ja-JP"/>
        </w:rPr>
        <w:t xml:space="preserve">are converted to </w:t>
      </w:r>
      <w:r w:rsidR="00FF1946">
        <w:rPr>
          <w:sz w:val="24"/>
          <w:lang w:eastAsia="ja-JP"/>
        </w:rPr>
        <w:t>euros</w:t>
      </w:r>
      <w:r w:rsidR="008414E4">
        <w:rPr>
          <w:sz w:val="24"/>
          <w:lang w:eastAsia="ja-JP"/>
        </w:rPr>
        <w:t xml:space="preserve"> at a pre-announced rate and paid out</w:t>
      </w:r>
      <w:r w:rsidR="00FF1946">
        <w:rPr>
          <w:sz w:val="24"/>
          <w:lang w:eastAsia="ja-JP"/>
        </w:rPr>
        <w:t>.</w:t>
      </w:r>
      <w:r w:rsidR="00FF1946" w:rsidRPr="005C0D20">
        <w:rPr>
          <w:rStyle w:val="Funotenzeichen"/>
          <w:sz w:val="24"/>
          <w:lang w:eastAsia="ja-JP"/>
        </w:rPr>
        <w:footnoteReference w:id="18"/>
      </w:r>
      <w:r w:rsidR="00FF1946">
        <w:rPr>
          <w:sz w:val="24"/>
          <w:lang w:eastAsia="ja-JP"/>
        </w:rPr>
        <w:t xml:space="preserve"> </w:t>
      </w:r>
    </w:p>
    <w:p w14:paraId="02523C7E" w14:textId="77777777" w:rsidR="00780409" w:rsidRPr="00EC0DF6" w:rsidRDefault="00EE6BF9">
      <w:pPr>
        <w:spacing w:line="480" w:lineRule="auto"/>
        <w:jc w:val="both"/>
        <w:rPr>
          <w:i/>
          <w:sz w:val="24"/>
          <w:lang w:eastAsia="ja-JP"/>
        </w:rPr>
      </w:pPr>
      <w:r w:rsidRPr="00EC0DF6">
        <w:rPr>
          <w:i/>
          <w:sz w:val="24"/>
          <w:lang w:eastAsia="ja-JP"/>
        </w:rPr>
        <w:t>Predictors’</w:t>
      </w:r>
      <w:r w:rsidR="007E3372" w:rsidRPr="00EC0DF6">
        <w:rPr>
          <w:i/>
          <w:sz w:val="24"/>
          <w:lang w:eastAsia="ja-JP"/>
        </w:rPr>
        <w:t xml:space="preserve"> task</w:t>
      </w:r>
      <w:r w:rsidR="00D56C4B" w:rsidRPr="00EC0DF6">
        <w:rPr>
          <w:i/>
          <w:sz w:val="24"/>
          <w:lang w:eastAsia="ja-JP"/>
        </w:rPr>
        <w:t xml:space="preserve"> </w:t>
      </w:r>
      <w:r w:rsidR="00EC0DF6" w:rsidRPr="00EC0DF6">
        <w:rPr>
          <w:i/>
          <w:sz w:val="24"/>
          <w:lang w:eastAsia="ja-JP"/>
        </w:rPr>
        <w:t>and payoff</w:t>
      </w:r>
    </w:p>
    <w:p w14:paraId="27E77076" w14:textId="77777777" w:rsidR="00A54F0A" w:rsidRDefault="00D56C4B" w:rsidP="007B2FEF">
      <w:pPr>
        <w:spacing w:afterLines="50" w:after="120" w:line="480" w:lineRule="auto"/>
        <w:ind w:firstLine="709"/>
        <w:jc w:val="both"/>
        <w:rPr>
          <w:i/>
          <w:sz w:val="24"/>
          <w:lang w:eastAsia="ja-JP"/>
        </w:rPr>
      </w:pPr>
      <w:r>
        <w:rPr>
          <w:sz w:val="24"/>
          <w:lang w:eastAsia="ja-JP"/>
        </w:rPr>
        <w:t xml:space="preserve">Of the </w:t>
      </w:r>
      <w:r w:rsidR="00956F14">
        <w:rPr>
          <w:rFonts w:hint="eastAsia"/>
          <w:sz w:val="24"/>
          <w:lang w:eastAsia="ja-JP"/>
        </w:rPr>
        <w:t>18</w:t>
      </w:r>
      <w:r w:rsidR="007E3372" w:rsidRPr="007E3372">
        <w:rPr>
          <w:sz w:val="24"/>
          <w:lang w:eastAsia="ja-JP"/>
        </w:rPr>
        <w:t xml:space="preserve"> subjects</w:t>
      </w:r>
      <w:r w:rsidR="00D52B79">
        <w:rPr>
          <w:rFonts w:hint="eastAsia"/>
          <w:sz w:val="24"/>
          <w:lang w:eastAsia="ja-JP"/>
        </w:rPr>
        <w:t xml:space="preserve"> (15 subjects in T1)</w:t>
      </w:r>
      <w:r w:rsidR="007E3372" w:rsidRPr="007E3372">
        <w:rPr>
          <w:sz w:val="24"/>
          <w:lang w:eastAsia="ja-JP"/>
        </w:rPr>
        <w:t xml:space="preserve">, </w:t>
      </w:r>
      <w:r w:rsidR="00956F14">
        <w:rPr>
          <w:rFonts w:hint="eastAsia"/>
          <w:sz w:val="24"/>
          <w:lang w:eastAsia="ja-JP"/>
        </w:rPr>
        <w:t>eight</w:t>
      </w:r>
      <w:r w:rsidR="007E3372" w:rsidRPr="007E3372">
        <w:rPr>
          <w:sz w:val="24"/>
          <w:lang w:eastAsia="ja-JP"/>
        </w:rPr>
        <w:t xml:space="preserve"> </w:t>
      </w:r>
      <w:r w:rsidR="00D52B79">
        <w:rPr>
          <w:rFonts w:hint="eastAsia"/>
          <w:sz w:val="24"/>
          <w:lang w:eastAsia="ja-JP"/>
        </w:rPr>
        <w:t xml:space="preserve">(five in T1) </w:t>
      </w:r>
      <w:r w:rsidR="004A2C0B">
        <w:rPr>
          <w:sz w:val="24"/>
          <w:lang w:eastAsia="ja-JP"/>
        </w:rPr>
        <w:t>act</w:t>
      </w:r>
      <w:r w:rsidR="00FF1946">
        <w:rPr>
          <w:sz w:val="24"/>
          <w:lang w:eastAsia="ja-JP"/>
        </w:rPr>
        <w:t xml:space="preserve"> as </w:t>
      </w:r>
      <w:r w:rsidR="00662BD4">
        <w:rPr>
          <w:sz w:val="24"/>
          <w:lang w:eastAsia="ja-JP"/>
        </w:rPr>
        <w:t>predictors in each per</w:t>
      </w:r>
      <w:r w:rsidR="00662BD4">
        <w:rPr>
          <w:sz w:val="24"/>
          <w:lang w:eastAsia="ja-JP"/>
        </w:rPr>
        <w:t>i</w:t>
      </w:r>
      <w:r w:rsidR="00662BD4">
        <w:rPr>
          <w:sz w:val="24"/>
          <w:lang w:eastAsia="ja-JP"/>
        </w:rPr>
        <w:t xml:space="preserve">od. </w:t>
      </w:r>
      <w:r w:rsidR="00D52B79">
        <w:rPr>
          <w:rFonts w:hint="eastAsia"/>
          <w:sz w:val="24"/>
          <w:lang w:eastAsia="ja-JP"/>
        </w:rPr>
        <w:t xml:space="preserve">At the </w:t>
      </w:r>
      <w:r w:rsidR="00101FDC">
        <w:rPr>
          <w:sz w:val="24"/>
          <w:lang w:eastAsia="ja-JP"/>
        </w:rPr>
        <w:t>beginning</w:t>
      </w:r>
      <w:r w:rsidR="00101FDC">
        <w:rPr>
          <w:rFonts w:hint="eastAsia"/>
          <w:sz w:val="24"/>
          <w:lang w:eastAsia="ja-JP"/>
        </w:rPr>
        <w:t xml:space="preserve"> </w:t>
      </w:r>
      <w:r w:rsidR="00D52B79">
        <w:rPr>
          <w:rFonts w:hint="eastAsia"/>
          <w:sz w:val="24"/>
          <w:lang w:eastAsia="ja-JP"/>
        </w:rPr>
        <w:t>of each period, t</w:t>
      </w:r>
      <w:r>
        <w:rPr>
          <w:sz w:val="24"/>
          <w:lang w:eastAsia="ja-JP"/>
        </w:rPr>
        <w:t>he</w:t>
      </w:r>
      <w:r w:rsidR="00662BD4">
        <w:rPr>
          <w:sz w:val="24"/>
          <w:lang w:eastAsia="ja-JP"/>
        </w:rPr>
        <w:t xml:space="preserve">y </w:t>
      </w:r>
      <w:r w:rsidR="007E3372" w:rsidRPr="007E3372">
        <w:rPr>
          <w:sz w:val="24"/>
          <w:lang w:eastAsia="ja-JP"/>
        </w:rPr>
        <w:t xml:space="preserve">are required to submit </w:t>
      </w:r>
      <w:r w:rsidR="00FF1946">
        <w:rPr>
          <w:sz w:val="24"/>
          <w:lang w:eastAsia="ja-JP"/>
        </w:rPr>
        <w:t>a</w:t>
      </w:r>
      <w:r w:rsidR="007E3372" w:rsidRPr="007E3372">
        <w:rPr>
          <w:sz w:val="24"/>
          <w:lang w:eastAsia="ja-JP"/>
        </w:rPr>
        <w:t xml:space="preserve"> prediction of the average transaction price of th</w:t>
      </w:r>
      <w:r w:rsidR="00101FDC">
        <w:rPr>
          <w:sz w:val="24"/>
          <w:lang w:eastAsia="ja-JP"/>
        </w:rPr>
        <w:t>at</w:t>
      </w:r>
      <w:r w:rsidR="00956F14">
        <w:rPr>
          <w:rFonts w:hint="eastAsia"/>
          <w:sz w:val="24"/>
          <w:lang w:eastAsia="ja-JP"/>
        </w:rPr>
        <w:t xml:space="preserve"> </w:t>
      </w:r>
      <w:r w:rsidR="007E3372" w:rsidRPr="007E3372">
        <w:rPr>
          <w:sz w:val="24"/>
          <w:lang w:eastAsia="ja-JP"/>
        </w:rPr>
        <w:t xml:space="preserve">period. </w:t>
      </w:r>
      <w:r w:rsidR="008E7EAF">
        <w:rPr>
          <w:sz w:val="24"/>
          <w:lang w:eastAsia="ja-JP"/>
        </w:rPr>
        <w:t xml:space="preserve">This price prediction is not disclosed to the market </w:t>
      </w:r>
      <w:r w:rsidR="006F4772">
        <w:rPr>
          <w:sz w:val="24"/>
          <w:lang w:eastAsia="ja-JP"/>
        </w:rPr>
        <w:t>until tra</w:t>
      </w:r>
      <w:r w:rsidR="006F4772">
        <w:rPr>
          <w:sz w:val="24"/>
          <w:lang w:eastAsia="ja-JP"/>
        </w:rPr>
        <w:t>d</w:t>
      </w:r>
      <w:r w:rsidR="006F4772">
        <w:rPr>
          <w:sz w:val="24"/>
          <w:lang w:eastAsia="ja-JP"/>
        </w:rPr>
        <w:t xml:space="preserve">ing is over at the end of the period </w:t>
      </w:r>
      <w:r w:rsidR="003F7B6C">
        <w:rPr>
          <w:sz w:val="24"/>
          <w:lang w:eastAsia="ja-JP"/>
        </w:rPr>
        <w:t xml:space="preserve">to prevent </w:t>
      </w:r>
      <w:r w:rsidR="006F4772">
        <w:rPr>
          <w:sz w:val="24"/>
          <w:lang w:eastAsia="ja-JP"/>
        </w:rPr>
        <w:t>influencing</w:t>
      </w:r>
      <w:r w:rsidR="008E7EAF">
        <w:rPr>
          <w:sz w:val="24"/>
          <w:lang w:eastAsia="ja-JP"/>
        </w:rPr>
        <w:t xml:space="preserve"> investors’ behavior.</w:t>
      </w:r>
      <w:r w:rsidR="008E7EAF">
        <w:rPr>
          <w:rStyle w:val="Funotenzeichen"/>
          <w:sz w:val="24"/>
          <w:lang w:eastAsia="ja-JP"/>
        </w:rPr>
        <w:footnoteReference w:id="19"/>
      </w:r>
      <w:r w:rsidR="008E7EAF">
        <w:rPr>
          <w:sz w:val="24"/>
          <w:lang w:eastAsia="ja-JP"/>
        </w:rPr>
        <w:t xml:space="preserve"> </w:t>
      </w:r>
      <w:r w:rsidR="00D52B79">
        <w:rPr>
          <w:rFonts w:hint="eastAsia"/>
          <w:sz w:val="24"/>
          <w:lang w:eastAsia="ja-JP"/>
        </w:rPr>
        <w:t>Predictor</w:t>
      </w:r>
      <w:r w:rsidR="000A13F1">
        <w:rPr>
          <w:sz w:val="24"/>
          <w:lang w:eastAsia="ja-JP"/>
        </w:rPr>
        <w:t xml:space="preserve">s’ </w:t>
      </w:r>
      <w:r w:rsidR="007E3372" w:rsidRPr="007E3372">
        <w:rPr>
          <w:sz w:val="24"/>
          <w:lang w:eastAsia="ja-JP"/>
        </w:rPr>
        <w:t xml:space="preserve">earnings depend on the precision of </w:t>
      </w:r>
      <w:r w:rsidR="006703D4">
        <w:rPr>
          <w:sz w:val="24"/>
          <w:lang w:eastAsia="ja-JP"/>
        </w:rPr>
        <w:t xml:space="preserve">their </w:t>
      </w:r>
      <w:r w:rsidR="007E3372" w:rsidRPr="007E3372">
        <w:rPr>
          <w:sz w:val="24"/>
          <w:lang w:eastAsia="ja-JP"/>
        </w:rPr>
        <w:t>forecast</w:t>
      </w:r>
      <w:r w:rsidR="003D7505">
        <w:rPr>
          <w:sz w:val="24"/>
          <w:lang w:eastAsia="ja-JP"/>
        </w:rPr>
        <w:t>. They earn</w:t>
      </w:r>
      <w:r w:rsidR="006703D4">
        <w:rPr>
          <w:sz w:val="24"/>
          <w:lang w:eastAsia="ja-JP"/>
        </w:rPr>
        <w:t xml:space="preserve"> 140 units of cash for a</w:t>
      </w:r>
      <w:r w:rsidR="007E3372" w:rsidRPr="007E3372">
        <w:rPr>
          <w:sz w:val="24"/>
          <w:lang w:eastAsia="ja-JP"/>
        </w:rPr>
        <w:t xml:space="preserve"> perfect forecas</w:t>
      </w:r>
      <w:r w:rsidR="000A13F1">
        <w:rPr>
          <w:sz w:val="24"/>
          <w:lang w:eastAsia="ja-JP"/>
        </w:rPr>
        <w:t>t</w:t>
      </w:r>
      <w:r w:rsidR="00A54F0A">
        <w:rPr>
          <w:sz w:val="24"/>
          <w:lang w:eastAsia="ja-JP"/>
        </w:rPr>
        <w:t xml:space="preserve"> with</w:t>
      </w:r>
      <w:r w:rsidR="007E3372" w:rsidRPr="007E3372">
        <w:rPr>
          <w:sz w:val="24"/>
          <w:lang w:eastAsia="ja-JP"/>
        </w:rPr>
        <w:t xml:space="preserve"> </w:t>
      </w:r>
      <w:r w:rsidR="000A13F1">
        <w:rPr>
          <w:sz w:val="24"/>
          <w:lang w:eastAsia="ja-JP"/>
        </w:rPr>
        <w:t xml:space="preserve">one </w:t>
      </w:r>
      <w:r w:rsidR="00B0416D">
        <w:rPr>
          <w:sz w:val="24"/>
          <w:lang w:eastAsia="ja-JP"/>
        </w:rPr>
        <w:t>unit</w:t>
      </w:r>
      <w:r w:rsidR="007E3372" w:rsidRPr="007E3372">
        <w:rPr>
          <w:sz w:val="24"/>
          <w:lang w:eastAsia="ja-JP"/>
        </w:rPr>
        <w:t xml:space="preserve"> </w:t>
      </w:r>
      <w:r w:rsidR="00A54F0A">
        <w:rPr>
          <w:sz w:val="24"/>
          <w:lang w:eastAsia="ja-JP"/>
        </w:rPr>
        <w:t>deduction</w:t>
      </w:r>
      <w:r w:rsidR="006703D4">
        <w:rPr>
          <w:sz w:val="24"/>
          <w:lang w:eastAsia="ja-JP"/>
        </w:rPr>
        <w:t xml:space="preserve"> for </w:t>
      </w:r>
      <w:r w:rsidR="007E3372" w:rsidRPr="007E3372">
        <w:rPr>
          <w:sz w:val="24"/>
          <w:lang w:eastAsia="ja-JP"/>
        </w:rPr>
        <w:t xml:space="preserve">each unit </w:t>
      </w:r>
      <w:r w:rsidR="006703D4">
        <w:rPr>
          <w:sz w:val="24"/>
          <w:lang w:eastAsia="ja-JP"/>
        </w:rPr>
        <w:t>of error (subject to zero minimum).</w:t>
      </w:r>
      <w:r w:rsidR="007E3372" w:rsidRPr="007E3372">
        <w:rPr>
          <w:sz w:val="24"/>
          <w:lang w:eastAsia="ja-JP"/>
        </w:rPr>
        <w:t xml:space="preserve"> </w:t>
      </w:r>
      <w:r w:rsidR="00DF1F4F" w:rsidRPr="00DF1F4F">
        <w:rPr>
          <w:sz w:val="24"/>
          <w:lang w:eastAsia="ja-JP"/>
        </w:rPr>
        <w:t>The amount earned was later exchanged to Euros at a rate of 133:1. Hence, roughly one euro could be earned per prediction round.</w:t>
      </w:r>
    </w:p>
    <w:p w14:paraId="74D22BAB" w14:textId="77777777" w:rsidR="00780409" w:rsidRDefault="00B8285F">
      <w:pPr>
        <w:spacing w:line="480" w:lineRule="auto"/>
        <w:jc w:val="both"/>
        <w:rPr>
          <w:sz w:val="24"/>
          <w:lang w:eastAsia="ja-JP"/>
        </w:rPr>
      </w:pPr>
      <w:r w:rsidRPr="00FF0BBF">
        <w:rPr>
          <w:i/>
          <w:sz w:val="24"/>
          <w:lang w:eastAsia="ja-JP"/>
        </w:rPr>
        <w:t>Implementation</w:t>
      </w:r>
    </w:p>
    <w:p w14:paraId="3DE236EF" w14:textId="787FA1C0" w:rsidR="005C5ABB" w:rsidRDefault="00B8285F" w:rsidP="00B60A8C">
      <w:pPr>
        <w:spacing w:line="480" w:lineRule="auto"/>
        <w:ind w:firstLine="709"/>
        <w:jc w:val="both"/>
        <w:rPr>
          <w:sz w:val="24"/>
          <w:lang w:eastAsia="ja-JP"/>
        </w:rPr>
      </w:pPr>
      <w:r>
        <w:rPr>
          <w:sz w:val="24"/>
          <w:lang w:eastAsia="ja-JP"/>
        </w:rPr>
        <w:lastRenderedPageBreak/>
        <w:t xml:space="preserve">The experiment </w:t>
      </w:r>
      <w:r w:rsidR="00210A0C">
        <w:rPr>
          <w:sz w:val="24"/>
          <w:lang w:eastAsia="ja-JP"/>
        </w:rPr>
        <w:t>was</w:t>
      </w:r>
      <w:r>
        <w:rPr>
          <w:sz w:val="24"/>
          <w:lang w:eastAsia="ja-JP"/>
        </w:rPr>
        <w:t xml:space="preserve"> </w:t>
      </w:r>
      <w:r w:rsidR="00D61F3A">
        <w:rPr>
          <w:sz w:val="24"/>
          <w:lang w:eastAsia="ja-JP"/>
        </w:rPr>
        <w:t xml:space="preserve">conducted </w:t>
      </w:r>
      <w:r w:rsidR="006E2133">
        <w:rPr>
          <w:sz w:val="24"/>
          <w:lang w:eastAsia="ja-JP"/>
        </w:rPr>
        <w:t>at t</w:t>
      </w:r>
      <w:r w:rsidR="006E2133" w:rsidRPr="006E2133">
        <w:rPr>
          <w:sz w:val="24"/>
          <w:lang w:eastAsia="ja-JP"/>
        </w:rPr>
        <w:t>he Innsbruck-</w:t>
      </w:r>
      <w:proofErr w:type="spellStart"/>
      <w:r w:rsidR="006E2133" w:rsidRPr="006E2133">
        <w:rPr>
          <w:sz w:val="24"/>
          <w:lang w:eastAsia="ja-JP"/>
        </w:rPr>
        <w:t>EconLab</w:t>
      </w:r>
      <w:proofErr w:type="spellEnd"/>
      <w:r w:rsidR="006E2133">
        <w:rPr>
          <w:sz w:val="24"/>
          <w:lang w:eastAsia="ja-JP"/>
        </w:rPr>
        <w:t xml:space="preserve"> </w:t>
      </w:r>
      <w:r w:rsidR="00226174">
        <w:rPr>
          <w:sz w:val="24"/>
          <w:lang w:eastAsia="ja-JP"/>
        </w:rPr>
        <w:t>u</w:t>
      </w:r>
      <w:r>
        <w:rPr>
          <w:sz w:val="24"/>
          <w:lang w:eastAsia="ja-JP"/>
        </w:rPr>
        <w:t>sing z-tree (</w:t>
      </w:r>
      <w:proofErr w:type="spellStart"/>
      <w:r>
        <w:rPr>
          <w:sz w:val="24"/>
          <w:lang w:eastAsia="ja-JP"/>
        </w:rPr>
        <w:t>Fischbacher</w:t>
      </w:r>
      <w:proofErr w:type="spellEnd"/>
      <w:r w:rsidR="004A2C0B">
        <w:rPr>
          <w:sz w:val="24"/>
          <w:lang w:eastAsia="ja-JP"/>
        </w:rPr>
        <w:t>,</w:t>
      </w:r>
      <w:r>
        <w:rPr>
          <w:sz w:val="24"/>
          <w:lang w:eastAsia="ja-JP"/>
        </w:rPr>
        <w:t xml:space="preserve"> 2007)</w:t>
      </w:r>
      <w:r w:rsidRPr="00B8285F">
        <w:rPr>
          <w:sz w:val="24"/>
          <w:lang w:eastAsia="ja-JP"/>
        </w:rPr>
        <w:t xml:space="preserve"> in </w:t>
      </w:r>
      <w:r w:rsidR="00417689">
        <w:rPr>
          <w:sz w:val="24"/>
          <w:lang w:eastAsia="ja-JP"/>
        </w:rPr>
        <w:t>autumn</w:t>
      </w:r>
      <w:r w:rsidRPr="00B8285F">
        <w:rPr>
          <w:sz w:val="24"/>
          <w:lang w:eastAsia="ja-JP"/>
        </w:rPr>
        <w:t xml:space="preserve"> 2013 with a total of </w:t>
      </w:r>
      <w:r w:rsidR="003C7130">
        <w:rPr>
          <w:sz w:val="24"/>
          <w:lang w:eastAsia="ja-JP"/>
        </w:rPr>
        <w:t>828</w:t>
      </w:r>
      <w:r w:rsidRPr="00B8285F">
        <w:rPr>
          <w:sz w:val="24"/>
          <w:lang w:eastAsia="ja-JP"/>
        </w:rPr>
        <w:t xml:space="preserve"> </w:t>
      </w:r>
      <w:r w:rsidR="00D61F3A">
        <w:rPr>
          <w:sz w:val="24"/>
          <w:lang w:eastAsia="ja-JP"/>
        </w:rPr>
        <w:t xml:space="preserve">University of </w:t>
      </w:r>
      <w:r w:rsidR="006E2133">
        <w:rPr>
          <w:sz w:val="24"/>
          <w:lang w:eastAsia="ja-JP"/>
        </w:rPr>
        <w:t>Innsbruck</w:t>
      </w:r>
      <w:r w:rsidR="00D61F3A">
        <w:rPr>
          <w:sz w:val="24"/>
          <w:lang w:eastAsia="ja-JP"/>
        </w:rPr>
        <w:t xml:space="preserve"> </w:t>
      </w:r>
      <w:r w:rsidRPr="00B8285F">
        <w:rPr>
          <w:sz w:val="24"/>
          <w:lang w:eastAsia="ja-JP"/>
        </w:rPr>
        <w:t>students (bachelor and master students from different fields).</w:t>
      </w:r>
      <w:r>
        <w:rPr>
          <w:sz w:val="24"/>
          <w:lang w:eastAsia="ja-JP"/>
        </w:rPr>
        <w:t xml:space="preserve"> </w:t>
      </w:r>
      <w:r w:rsidR="005C3632">
        <w:rPr>
          <w:rFonts w:hint="eastAsia"/>
          <w:sz w:val="24"/>
          <w:lang w:eastAsia="ja-JP"/>
        </w:rPr>
        <w:t xml:space="preserve">We </w:t>
      </w:r>
      <w:r w:rsidR="00417689">
        <w:rPr>
          <w:sz w:val="24"/>
          <w:lang w:eastAsia="ja-JP"/>
        </w:rPr>
        <w:t>ran</w:t>
      </w:r>
      <w:r w:rsidR="005C3632">
        <w:rPr>
          <w:rFonts w:hint="eastAsia"/>
          <w:sz w:val="24"/>
          <w:lang w:eastAsia="ja-JP"/>
        </w:rPr>
        <w:t xml:space="preserve"> 48 sessions in total (</w:t>
      </w:r>
      <w:r w:rsidR="00397A69">
        <w:rPr>
          <w:rFonts w:hint="eastAsia"/>
          <w:sz w:val="24"/>
          <w:lang w:eastAsia="ja-JP"/>
        </w:rPr>
        <w:t xml:space="preserve">eight treatments of six </w:t>
      </w:r>
      <w:r w:rsidR="00391BDD">
        <w:rPr>
          <w:sz w:val="24"/>
          <w:lang w:eastAsia="ja-JP"/>
        </w:rPr>
        <w:t xml:space="preserve">sessions </w:t>
      </w:r>
      <w:r w:rsidR="00397A69">
        <w:rPr>
          <w:rFonts w:hint="eastAsia"/>
          <w:sz w:val="24"/>
          <w:lang w:eastAsia="ja-JP"/>
        </w:rPr>
        <w:t xml:space="preserve">each). </w:t>
      </w:r>
      <w:r w:rsidRPr="00B8285F">
        <w:rPr>
          <w:sz w:val="24"/>
          <w:lang w:eastAsia="ja-JP"/>
        </w:rPr>
        <w:t xml:space="preserve">Most subjects </w:t>
      </w:r>
      <w:r w:rsidR="00D61F3A">
        <w:rPr>
          <w:sz w:val="24"/>
          <w:lang w:eastAsia="ja-JP"/>
        </w:rPr>
        <w:t xml:space="preserve">had participated </w:t>
      </w:r>
      <w:r w:rsidRPr="00B8285F">
        <w:rPr>
          <w:sz w:val="24"/>
          <w:lang w:eastAsia="ja-JP"/>
        </w:rPr>
        <w:t xml:space="preserve">in other </w:t>
      </w:r>
      <w:r w:rsidR="00D61F3A">
        <w:rPr>
          <w:sz w:val="24"/>
          <w:lang w:eastAsia="ja-JP"/>
        </w:rPr>
        <w:t xml:space="preserve">economics </w:t>
      </w:r>
      <w:r w:rsidRPr="00B8285F">
        <w:rPr>
          <w:sz w:val="24"/>
          <w:lang w:eastAsia="ja-JP"/>
        </w:rPr>
        <w:t>experiments</w:t>
      </w:r>
      <w:r w:rsidR="00D61F3A">
        <w:rPr>
          <w:sz w:val="24"/>
          <w:lang w:eastAsia="ja-JP"/>
        </w:rPr>
        <w:t xml:space="preserve"> earlier, but none</w:t>
      </w:r>
      <w:r w:rsidRPr="00B8285F">
        <w:rPr>
          <w:sz w:val="24"/>
          <w:lang w:eastAsia="ja-JP"/>
        </w:rPr>
        <w:t xml:space="preserve"> participated in </w:t>
      </w:r>
      <w:r w:rsidR="00D61F3A">
        <w:rPr>
          <w:sz w:val="24"/>
          <w:lang w:eastAsia="ja-JP"/>
        </w:rPr>
        <w:t xml:space="preserve">more than </w:t>
      </w:r>
      <w:r w:rsidRPr="00B8285F">
        <w:rPr>
          <w:sz w:val="24"/>
          <w:lang w:eastAsia="ja-JP"/>
        </w:rPr>
        <w:t xml:space="preserve">one session of </w:t>
      </w:r>
      <w:r w:rsidR="00D61F3A" w:rsidRPr="00B8285F">
        <w:rPr>
          <w:sz w:val="24"/>
          <w:lang w:eastAsia="ja-JP"/>
        </w:rPr>
        <w:t>th</w:t>
      </w:r>
      <w:r w:rsidR="00D61F3A">
        <w:rPr>
          <w:sz w:val="24"/>
          <w:lang w:eastAsia="ja-JP"/>
        </w:rPr>
        <w:t>e present</w:t>
      </w:r>
      <w:r w:rsidR="00D61F3A" w:rsidRPr="00B8285F">
        <w:rPr>
          <w:sz w:val="24"/>
          <w:lang w:eastAsia="ja-JP"/>
        </w:rPr>
        <w:t xml:space="preserve"> </w:t>
      </w:r>
      <w:r w:rsidRPr="00B8285F">
        <w:rPr>
          <w:sz w:val="24"/>
          <w:lang w:eastAsia="ja-JP"/>
        </w:rPr>
        <w:t>study.</w:t>
      </w:r>
      <w:r>
        <w:rPr>
          <w:sz w:val="24"/>
          <w:lang w:eastAsia="ja-JP"/>
        </w:rPr>
        <w:t xml:space="preserve"> S</w:t>
      </w:r>
      <w:r w:rsidRPr="00B8285F">
        <w:rPr>
          <w:sz w:val="24"/>
          <w:lang w:eastAsia="ja-JP"/>
        </w:rPr>
        <w:t>ubjects were recruited using ORSEE by Greiner</w:t>
      </w:r>
      <w:r>
        <w:rPr>
          <w:sz w:val="24"/>
          <w:lang w:eastAsia="ja-JP"/>
        </w:rPr>
        <w:t xml:space="preserve"> (</w:t>
      </w:r>
      <w:r w:rsidRPr="00B8285F">
        <w:rPr>
          <w:sz w:val="24"/>
          <w:lang w:eastAsia="ja-JP"/>
        </w:rPr>
        <w:t>2004</w:t>
      </w:r>
      <w:r>
        <w:rPr>
          <w:sz w:val="24"/>
          <w:lang w:eastAsia="ja-JP"/>
        </w:rPr>
        <w:t>)</w:t>
      </w:r>
      <w:r w:rsidRPr="00B8285F">
        <w:rPr>
          <w:sz w:val="24"/>
          <w:lang w:eastAsia="ja-JP"/>
        </w:rPr>
        <w:t>.</w:t>
      </w:r>
      <w:r w:rsidR="003C7130">
        <w:rPr>
          <w:sz w:val="24"/>
          <w:lang w:eastAsia="ja-JP"/>
        </w:rPr>
        <w:t xml:space="preserve"> </w:t>
      </w:r>
    </w:p>
    <w:p w14:paraId="145A1829" w14:textId="78AA77E3" w:rsidR="00EE6BF9" w:rsidRDefault="005C5ABB" w:rsidP="0003586F">
      <w:pPr>
        <w:spacing w:line="480" w:lineRule="auto"/>
        <w:ind w:firstLine="709"/>
        <w:jc w:val="both"/>
        <w:rPr>
          <w:sz w:val="24"/>
          <w:lang w:eastAsia="ja-JP"/>
        </w:rPr>
      </w:pPr>
      <w:r w:rsidRPr="00324652">
        <w:rPr>
          <w:sz w:val="24"/>
          <w:lang w:eastAsia="ja-JP"/>
        </w:rPr>
        <w:t xml:space="preserve">At the beginning of each session subjects had 15 minutes to read </w:t>
      </w:r>
      <w:r>
        <w:rPr>
          <w:sz w:val="24"/>
          <w:lang w:eastAsia="ja-JP"/>
        </w:rPr>
        <w:t xml:space="preserve">the common knowledge instructions (with their understanding tested through a written questionnaire, see Appendix B for details). </w:t>
      </w:r>
      <w:r w:rsidRPr="00324652">
        <w:rPr>
          <w:sz w:val="24"/>
          <w:lang w:eastAsia="ja-JP"/>
        </w:rPr>
        <w:t>This was done to</w:t>
      </w:r>
      <w:r>
        <w:rPr>
          <w:sz w:val="24"/>
          <w:lang w:eastAsia="ja-JP"/>
        </w:rPr>
        <w:t xml:space="preserve"> minimize</w:t>
      </w:r>
      <w:r w:rsidRPr="00324652">
        <w:rPr>
          <w:sz w:val="24"/>
          <w:lang w:eastAsia="ja-JP"/>
        </w:rPr>
        <w:t xml:space="preserve"> </w:t>
      </w:r>
      <w:r w:rsidR="0003586F">
        <w:rPr>
          <w:sz w:val="24"/>
          <w:lang w:eastAsia="ja-JP"/>
        </w:rPr>
        <w:t>the possibility of</w:t>
      </w:r>
      <w:r w:rsidRPr="00324652">
        <w:rPr>
          <w:sz w:val="24"/>
          <w:lang w:eastAsia="ja-JP"/>
        </w:rPr>
        <w:t xml:space="preserve"> experimenter bias.</w:t>
      </w:r>
      <w:r>
        <w:rPr>
          <w:sz w:val="24"/>
          <w:lang w:eastAsia="ja-JP"/>
        </w:rPr>
        <w:t xml:space="preserve"> Any questions occurring in this phase </w:t>
      </w:r>
      <w:r w:rsidRPr="00324652">
        <w:rPr>
          <w:sz w:val="24"/>
          <w:lang w:eastAsia="ja-JP"/>
        </w:rPr>
        <w:t>were answered privately. Afterwards the trading</w:t>
      </w:r>
      <w:r>
        <w:rPr>
          <w:sz w:val="24"/>
          <w:lang w:eastAsia="ja-JP"/>
        </w:rPr>
        <w:t xml:space="preserve"> </w:t>
      </w:r>
      <w:r w:rsidRPr="00324652">
        <w:rPr>
          <w:sz w:val="24"/>
          <w:lang w:eastAsia="ja-JP"/>
        </w:rPr>
        <w:t xml:space="preserve">screen was explained in detail, followed by </w:t>
      </w:r>
      <w:r>
        <w:rPr>
          <w:sz w:val="24"/>
          <w:lang w:eastAsia="ja-JP"/>
        </w:rPr>
        <w:t xml:space="preserve">a questionnaire and </w:t>
      </w:r>
      <w:r w:rsidRPr="00324652">
        <w:rPr>
          <w:sz w:val="24"/>
          <w:lang w:eastAsia="ja-JP"/>
        </w:rPr>
        <w:t>two trial periods to</w:t>
      </w:r>
      <w:r>
        <w:rPr>
          <w:sz w:val="24"/>
          <w:lang w:eastAsia="ja-JP"/>
        </w:rPr>
        <w:t xml:space="preserve"> </w:t>
      </w:r>
      <w:r w:rsidRPr="00324652">
        <w:rPr>
          <w:sz w:val="24"/>
          <w:lang w:eastAsia="ja-JP"/>
        </w:rPr>
        <w:t>allow subjects to b</w:t>
      </w:r>
      <w:r w:rsidRPr="00324652">
        <w:rPr>
          <w:sz w:val="24"/>
          <w:lang w:eastAsia="ja-JP"/>
        </w:rPr>
        <w:t>e</w:t>
      </w:r>
      <w:r w:rsidRPr="00324652">
        <w:rPr>
          <w:sz w:val="24"/>
          <w:lang w:eastAsia="ja-JP"/>
        </w:rPr>
        <w:t xml:space="preserve">come familiar with the </w:t>
      </w:r>
      <w:r>
        <w:rPr>
          <w:sz w:val="24"/>
          <w:lang w:eastAsia="ja-JP"/>
        </w:rPr>
        <w:t>environment, investor and prediction tasks, and mapping from expe</w:t>
      </w:r>
      <w:r>
        <w:rPr>
          <w:sz w:val="24"/>
          <w:lang w:eastAsia="ja-JP"/>
        </w:rPr>
        <w:t>r</w:t>
      </w:r>
      <w:r>
        <w:rPr>
          <w:sz w:val="24"/>
          <w:lang w:eastAsia="ja-JP"/>
        </w:rPr>
        <w:t>imental actions and events to their payoffs, and to test their comprehension</w:t>
      </w:r>
      <w:r w:rsidRPr="00324652">
        <w:rPr>
          <w:sz w:val="24"/>
          <w:lang w:eastAsia="ja-JP"/>
        </w:rPr>
        <w:t>.</w:t>
      </w:r>
      <w:r>
        <w:rPr>
          <w:rStyle w:val="Funotenzeichen"/>
          <w:sz w:val="24"/>
          <w:lang w:eastAsia="ja-JP"/>
        </w:rPr>
        <w:footnoteReference w:id="20"/>
      </w:r>
      <w:r>
        <w:rPr>
          <w:sz w:val="24"/>
          <w:lang w:eastAsia="ja-JP"/>
        </w:rPr>
        <w:t xml:space="preserve"> In both trial periods all subjects played dual roles of investor and predictor. As an example, instructions for treatment T2L, along with screen shots, are provided in Appendix A. Each session lasted </w:t>
      </w:r>
      <w:r w:rsidRPr="005C5ABB">
        <w:rPr>
          <w:sz w:val="24"/>
          <w:lang w:eastAsia="ja-JP"/>
        </w:rPr>
        <w:t>approximately 90 minutes</w:t>
      </w:r>
      <w:r w:rsidR="00DF1F4F">
        <w:rPr>
          <w:sz w:val="24"/>
          <w:lang w:eastAsia="ja-JP"/>
        </w:rPr>
        <w:t xml:space="preserve">. </w:t>
      </w:r>
      <w:r w:rsidR="00DF1F4F" w:rsidRPr="00D56C4B">
        <w:rPr>
          <w:sz w:val="24"/>
          <w:lang w:eastAsia="ja-JP"/>
        </w:rPr>
        <w:t>Calculation</w:t>
      </w:r>
      <w:r w:rsidR="00DF1F4F">
        <w:rPr>
          <w:sz w:val="24"/>
          <w:lang w:eastAsia="ja-JP"/>
        </w:rPr>
        <w:t>s</w:t>
      </w:r>
      <w:r w:rsidR="00DF1F4F" w:rsidRPr="00D56C4B">
        <w:rPr>
          <w:sz w:val="24"/>
          <w:lang w:eastAsia="ja-JP"/>
        </w:rPr>
        <w:t xml:space="preserve"> of </w:t>
      </w:r>
      <w:r w:rsidR="00DF1F4F">
        <w:rPr>
          <w:sz w:val="24"/>
          <w:lang w:eastAsia="ja-JP"/>
        </w:rPr>
        <w:t xml:space="preserve">period as well as cumulative earnings </w:t>
      </w:r>
      <w:r w:rsidR="00DF1F4F" w:rsidRPr="007E3372">
        <w:rPr>
          <w:sz w:val="24"/>
          <w:lang w:eastAsia="ja-JP"/>
        </w:rPr>
        <w:t xml:space="preserve">are shown </w:t>
      </w:r>
      <w:r w:rsidR="00591845">
        <w:rPr>
          <w:sz w:val="24"/>
          <w:lang w:eastAsia="ja-JP"/>
        </w:rPr>
        <w:t xml:space="preserve">to subjects </w:t>
      </w:r>
      <w:r w:rsidR="00DF1F4F" w:rsidRPr="007E3372">
        <w:rPr>
          <w:sz w:val="24"/>
          <w:lang w:eastAsia="ja-JP"/>
        </w:rPr>
        <w:t xml:space="preserve">on </w:t>
      </w:r>
      <w:r w:rsidR="00DF1F4F">
        <w:rPr>
          <w:sz w:val="24"/>
          <w:lang w:eastAsia="ja-JP"/>
        </w:rPr>
        <w:t>the history</w:t>
      </w:r>
      <w:r w:rsidR="00DF1F4F" w:rsidRPr="007E3372">
        <w:rPr>
          <w:sz w:val="24"/>
          <w:lang w:eastAsia="ja-JP"/>
        </w:rPr>
        <w:t xml:space="preserve"> screen at the end of each period (</w:t>
      </w:r>
      <w:r w:rsidR="00DF1F4F">
        <w:rPr>
          <w:sz w:val="24"/>
          <w:lang w:eastAsia="ja-JP"/>
        </w:rPr>
        <w:t>see Appendix A for details</w:t>
      </w:r>
      <w:r w:rsidR="00DF1F4F" w:rsidRPr="007E3372">
        <w:rPr>
          <w:sz w:val="24"/>
          <w:lang w:eastAsia="ja-JP"/>
        </w:rPr>
        <w:t>).</w:t>
      </w:r>
      <w:r w:rsidR="00DF1F4F">
        <w:rPr>
          <w:sz w:val="24"/>
          <w:lang w:eastAsia="ja-JP"/>
        </w:rPr>
        <w:t xml:space="preserve"> A</w:t>
      </w:r>
      <w:r w:rsidRPr="005C5ABB">
        <w:rPr>
          <w:sz w:val="24"/>
          <w:lang w:eastAsia="ja-JP"/>
        </w:rPr>
        <w:t xml:space="preserve">t the end of a session earnings of each subject are calculated </w:t>
      </w:r>
      <w:r>
        <w:rPr>
          <w:sz w:val="24"/>
          <w:lang w:eastAsia="ja-JP"/>
        </w:rPr>
        <w:t>as described above, converted into euros, and paid to the subjects in private.</w:t>
      </w:r>
      <w:r>
        <w:rPr>
          <w:rStyle w:val="Funotenzeichen"/>
          <w:sz w:val="24"/>
          <w:lang w:eastAsia="ja-JP"/>
        </w:rPr>
        <w:footnoteReference w:id="21"/>
      </w:r>
    </w:p>
    <w:p w14:paraId="3E28A15C" w14:textId="77777777" w:rsidR="00AD153B" w:rsidRDefault="00AD153B" w:rsidP="0003586F">
      <w:pPr>
        <w:spacing w:line="480" w:lineRule="auto"/>
        <w:ind w:firstLine="709"/>
        <w:jc w:val="both"/>
        <w:rPr>
          <w:sz w:val="24"/>
          <w:lang w:eastAsia="ja-JP"/>
        </w:rPr>
      </w:pPr>
    </w:p>
    <w:p w14:paraId="5F5DA367" w14:textId="373A15CA" w:rsidR="00C36C79" w:rsidRPr="00AB27F4" w:rsidRDefault="00593F4E" w:rsidP="0003586F">
      <w:pPr>
        <w:spacing w:line="480" w:lineRule="auto"/>
        <w:rPr>
          <w:szCs w:val="24"/>
        </w:rPr>
      </w:pPr>
      <w:r w:rsidRPr="0003586F">
        <w:rPr>
          <w:b/>
          <w:sz w:val="24"/>
          <w:szCs w:val="24"/>
        </w:rPr>
        <w:t>3</w:t>
      </w:r>
      <w:r w:rsidR="00C36C79" w:rsidRPr="0003586F">
        <w:rPr>
          <w:b/>
          <w:sz w:val="24"/>
          <w:szCs w:val="24"/>
        </w:rPr>
        <w:t xml:space="preserve">. </w:t>
      </w:r>
      <w:r w:rsidR="00777918" w:rsidRPr="0003586F">
        <w:rPr>
          <w:b/>
          <w:sz w:val="24"/>
          <w:szCs w:val="24"/>
        </w:rPr>
        <w:t xml:space="preserve">Theory and </w:t>
      </w:r>
      <w:r w:rsidR="00C36C79" w:rsidRPr="0003586F">
        <w:rPr>
          <w:b/>
          <w:sz w:val="24"/>
          <w:szCs w:val="24"/>
        </w:rPr>
        <w:t>Hypotheses</w:t>
      </w:r>
    </w:p>
    <w:p w14:paraId="05CDD63B" w14:textId="2041B1B8" w:rsidR="00CF19E6" w:rsidRDefault="009F54E2" w:rsidP="00777918">
      <w:pPr>
        <w:pStyle w:val="Textkrper"/>
        <w:spacing w:line="480" w:lineRule="auto"/>
      </w:pPr>
      <w:r>
        <w:t xml:space="preserve">In this section we present theoretical considerations examining </w:t>
      </w:r>
      <w:r>
        <w:rPr>
          <w:rFonts w:hint="eastAsia"/>
        </w:rPr>
        <w:t>whether or not speculati</w:t>
      </w:r>
      <w:r>
        <w:t>ng</w:t>
      </w:r>
      <w:r>
        <w:rPr>
          <w:rFonts w:hint="eastAsia"/>
        </w:rPr>
        <w:t xml:space="preserve"> </w:t>
      </w:r>
      <w:r>
        <w:t>investors</w:t>
      </w:r>
      <w:r>
        <w:rPr>
          <w:rFonts w:hint="eastAsia"/>
        </w:rPr>
        <w:t xml:space="preserve"> induce price indeterminacy</w:t>
      </w:r>
      <w:r>
        <w:t xml:space="preserve"> in our laboratory markets</w:t>
      </w:r>
      <w:r>
        <w:rPr>
          <w:rFonts w:hint="eastAsia"/>
        </w:rPr>
        <w:t>.</w:t>
      </w:r>
      <w:r>
        <w:t xml:space="preserve"> </w:t>
      </w:r>
      <w:r w:rsidR="005A7AFC">
        <w:t xml:space="preserve">In Section 3.1 we </w:t>
      </w:r>
      <w:r w:rsidR="003E7209">
        <w:t>show</w:t>
      </w:r>
      <w:r w:rsidR="005A7AFC">
        <w:t xml:space="preserve"> that prices are equal to the </w:t>
      </w:r>
      <w:r w:rsidR="00021F0D">
        <w:t>fundamental value (</w:t>
      </w:r>
      <w:r w:rsidR="005A7AFC">
        <w:t>terminal dividend</w:t>
      </w:r>
      <w:r w:rsidR="00021F0D">
        <w:t>)</w:t>
      </w:r>
      <w:r w:rsidR="00C03551" w:rsidRPr="00C03551">
        <w:t xml:space="preserve"> </w:t>
      </w:r>
      <w:r w:rsidR="00C03551">
        <w:t>in a market with dividend-</w:t>
      </w:r>
      <w:r w:rsidR="00C03551">
        <w:lastRenderedPageBreak/>
        <w:t>collecting investors</w:t>
      </w:r>
      <w:r w:rsidR="005A7AFC">
        <w:t xml:space="preserve">. </w:t>
      </w:r>
      <w:r>
        <w:t>In Section 3.</w:t>
      </w:r>
      <w:r w:rsidR="005A7AFC">
        <w:t>2</w:t>
      </w:r>
      <w:r>
        <w:t xml:space="preserve"> we </w:t>
      </w:r>
      <w:r w:rsidR="00EC3972">
        <w:t>arg</w:t>
      </w:r>
      <w:r w:rsidR="00833CD3">
        <w:t>ue that in a standard security</w:t>
      </w:r>
      <w:r w:rsidR="00EC3972">
        <w:t xml:space="preserve"> pricing model </w:t>
      </w:r>
      <w:r>
        <w:t xml:space="preserve">REE </w:t>
      </w:r>
      <w:r w:rsidR="00EC3972">
        <w:t xml:space="preserve">assures prices equals to the fundamental value even </w:t>
      </w:r>
      <w:r w:rsidR="005A7AFC">
        <w:t>in a market with only speculating inve</w:t>
      </w:r>
      <w:r w:rsidR="005A7AFC">
        <w:t>s</w:t>
      </w:r>
      <w:r w:rsidR="005A7AFC">
        <w:t>tors</w:t>
      </w:r>
      <w:r>
        <w:t>. In Section 3.</w:t>
      </w:r>
      <w:r w:rsidR="004C1485">
        <w:t>3</w:t>
      </w:r>
      <w:r>
        <w:t xml:space="preserve"> we (partly) relax </w:t>
      </w:r>
      <w:r w:rsidR="00EC3972">
        <w:t>REE</w:t>
      </w:r>
      <w:r>
        <w:t xml:space="preserve"> assumptions discussing the feasibility of the REE in our laboratory markets. In Section 3.</w:t>
      </w:r>
      <w:r w:rsidR="004C1485">
        <w:t>4</w:t>
      </w:r>
      <w:r>
        <w:t xml:space="preserve"> we derive a set of hypotheses to be evaluated with the data generated in the experiment.</w:t>
      </w:r>
    </w:p>
    <w:p w14:paraId="0DC50CD0" w14:textId="77777777" w:rsidR="009F54E2" w:rsidRDefault="009F54E2" w:rsidP="00777918">
      <w:pPr>
        <w:pStyle w:val="Textkrper"/>
        <w:spacing w:line="480" w:lineRule="auto"/>
      </w:pPr>
    </w:p>
    <w:p w14:paraId="538E5BC6" w14:textId="30C5DC5A" w:rsidR="004C1485" w:rsidRDefault="004C1485" w:rsidP="00777918">
      <w:pPr>
        <w:pStyle w:val="Textkrper"/>
        <w:spacing w:line="480" w:lineRule="auto"/>
      </w:pPr>
      <w:r>
        <w:rPr>
          <w:rFonts w:hint="eastAsia"/>
        </w:rPr>
        <w:t xml:space="preserve">3.1 </w:t>
      </w:r>
      <w:r w:rsidR="00C03551">
        <w:t>Pricing in a market with dividend-collecting investors</w:t>
      </w:r>
    </w:p>
    <w:p w14:paraId="55B03666" w14:textId="3185773B" w:rsidR="00156DE6" w:rsidRDefault="009F54E2" w:rsidP="00777918">
      <w:pPr>
        <w:pStyle w:val="Textkrper"/>
        <w:spacing w:line="480" w:lineRule="auto"/>
        <w:ind w:firstLine="720"/>
      </w:pPr>
      <w:r>
        <w:t>We start with</w:t>
      </w:r>
      <w:r>
        <w:rPr>
          <w:rFonts w:hint="eastAsia"/>
        </w:rPr>
        <w:t xml:space="preserve"> examining</w:t>
      </w:r>
      <w:r w:rsidR="00777918">
        <w:rPr>
          <w:rFonts w:hint="eastAsia"/>
        </w:rPr>
        <w:t xml:space="preserve"> </w:t>
      </w:r>
      <w:r w:rsidR="00C03551">
        <w:t>price formation in market</w:t>
      </w:r>
      <w:r w:rsidR="003E7209">
        <w:t>s</w:t>
      </w:r>
      <w:r w:rsidR="00C03551">
        <w:t xml:space="preserve"> with dividend-collecting investors in our laboratory sessions. </w:t>
      </w:r>
      <w:r w:rsidR="006D58A1">
        <w:t>For illustrative purposes, w</w:t>
      </w:r>
      <w:r w:rsidR="00777918">
        <w:t>e discuss investors’ behavior and sec</w:t>
      </w:r>
      <w:r w:rsidR="00777918">
        <w:t>u</w:t>
      </w:r>
      <w:r w:rsidR="00777918">
        <w:t xml:space="preserve">rity prices in a </w:t>
      </w:r>
      <w:r w:rsidR="00D04321">
        <w:t xml:space="preserve">T4 </w:t>
      </w:r>
      <w:r w:rsidR="00777918">
        <w:t xml:space="preserve">market (see Figure 1). </w:t>
      </w:r>
      <w:r w:rsidR="00156DE6">
        <w:t>The same argument applies to other treatments (T1, T2, and T8).</w:t>
      </w:r>
      <w:r w:rsidR="00083C78">
        <w:t xml:space="preserve"> </w:t>
      </w:r>
      <w:r w:rsidR="004C5C86">
        <w:t>To simplify</w:t>
      </w:r>
      <w:r w:rsidR="00156DE6">
        <w:rPr>
          <w:rFonts w:hint="eastAsia"/>
        </w:rPr>
        <w:t xml:space="preserve">, we divide </w:t>
      </w:r>
      <w:r w:rsidR="006D58A1">
        <w:t xml:space="preserve">the </w:t>
      </w:r>
      <w:r w:rsidR="00156DE6">
        <w:rPr>
          <w:rFonts w:hint="eastAsia"/>
        </w:rPr>
        <w:t xml:space="preserve">16 periods in T4 into four </w:t>
      </w:r>
      <w:r w:rsidR="00156DE6">
        <w:t xml:space="preserve">series of </w:t>
      </w:r>
      <w:r w:rsidR="00156DE6">
        <w:rPr>
          <w:rFonts w:hint="eastAsia"/>
        </w:rPr>
        <w:t xml:space="preserve">markets. </w:t>
      </w:r>
      <w:r w:rsidR="006D58A1">
        <w:t xml:space="preserve">In </w:t>
      </w:r>
      <w:r w:rsidR="00156DE6">
        <w:t>Ma</w:t>
      </w:r>
      <w:r w:rsidR="00156DE6">
        <w:t>r</w:t>
      </w:r>
      <w:r w:rsidR="00156DE6">
        <w:t xml:space="preserve">ket 1 </w:t>
      </w:r>
      <w:r w:rsidR="006D58A1">
        <w:t>traders of</w:t>
      </w:r>
      <w:r w:rsidR="00156DE6">
        <w:t xml:space="preserve"> G0 and G1 </w:t>
      </w:r>
      <w:r w:rsidR="006D58A1">
        <w:t>interact</w:t>
      </w:r>
      <w:r w:rsidR="00156DE6">
        <w:t xml:space="preserve"> (periods 1-4), </w:t>
      </w:r>
      <w:r w:rsidR="006D58A1">
        <w:t xml:space="preserve">in </w:t>
      </w:r>
      <w:r w:rsidR="00156DE6">
        <w:t xml:space="preserve">Market 2 </w:t>
      </w:r>
      <w:r w:rsidR="006D58A1">
        <w:t>traders of</w:t>
      </w:r>
      <w:r w:rsidR="00156DE6">
        <w:t xml:space="preserve"> G1 and G2 </w:t>
      </w:r>
      <w:r w:rsidR="006D58A1">
        <w:t>interact</w:t>
      </w:r>
      <w:r w:rsidR="00156DE6">
        <w:t xml:space="preserve"> (periods 5-8), </w:t>
      </w:r>
      <w:r w:rsidR="006D58A1">
        <w:t xml:space="preserve">in </w:t>
      </w:r>
      <w:r w:rsidR="00156DE6">
        <w:t xml:space="preserve">Market 3 </w:t>
      </w:r>
      <w:r w:rsidR="006D58A1">
        <w:t>traders of</w:t>
      </w:r>
      <w:r w:rsidR="00156DE6">
        <w:t xml:space="preserve"> G2 and G3 </w:t>
      </w:r>
      <w:r w:rsidR="006D58A1">
        <w:t>interact</w:t>
      </w:r>
      <w:r w:rsidR="00156DE6">
        <w:t xml:space="preserve"> (periods 9-12), and </w:t>
      </w:r>
      <w:r w:rsidR="006D58A1">
        <w:t xml:space="preserve">in </w:t>
      </w:r>
      <w:r w:rsidR="00156DE6">
        <w:t xml:space="preserve">Market 4 </w:t>
      </w:r>
      <w:r w:rsidR="006D58A1">
        <w:t>tra</w:t>
      </w:r>
      <w:r w:rsidR="006D58A1">
        <w:t>d</w:t>
      </w:r>
      <w:r w:rsidR="006D58A1">
        <w:t>ers of</w:t>
      </w:r>
      <w:r w:rsidR="00156DE6">
        <w:t xml:space="preserve"> G3 and G4 </w:t>
      </w:r>
      <w:r w:rsidR="006D58A1">
        <w:t>interact</w:t>
      </w:r>
      <w:r w:rsidR="001F752C">
        <w:t xml:space="preserve"> (periods 13-16)</w:t>
      </w:r>
      <w:r w:rsidR="00156DE6">
        <w:t xml:space="preserve">. </w:t>
      </w:r>
      <w:r w:rsidR="00691039">
        <w:t xml:space="preserve">Only </w:t>
      </w:r>
      <w:r w:rsidR="006D58A1">
        <w:t xml:space="preserve">traders belonging to </w:t>
      </w:r>
      <w:r w:rsidR="00691039">
        <w:t>G4 are dividend-collecting investors</w:t>
      </w:r>
      <w:r w:rsidR="004C5C86">
        <w:t>, while</w:t>
      </w:r>
      <w:r w:rsidR="00691039">
        <w:t xml:space="preserve"> </w:t>
      </w:r>
      <w:r w:rsidR="006D58A1">
        <w:t xml:space="preserve">traders of G0 to </w:t>
      </w:r>
      <w:r w:rsidR="00691039">
        <w:t xml:space="preserve">G3 are speculating investors who exit the market before the security pays its dividend </w:t>
      </w:r>
      <w:r w:rsidR="00691039" w:rsidRPr="00691039">
        <w:rPr>
          <w:i/>
        </w:rPr>
        <w:t>D</w:t>
      </w:r>
      <w:r w:rsidR="00691039">
        <w:t xml:space="preserve">. </w:t>
      </w:r>
    </w:p>
    <w:p w14:paraId="7F95598B" w14:textId="3BFFF1F6" w:rsidR="009F29B5" w:rsidRDefault="009F29B5" w:rsidP="009F29B5">
      <w:pPr>
        <w:spacing w:line="480" w:lineRule="auto"/>
        <w:ind w:firstLine="720"/>
        <w:jc w:val="both"/>
        <w:rPr>
          <w:sz w:val="24"/>
          <w:lang w:eastAsia="ja-JP"/>
        </w:rPr>
      </w:pPr>
      <w:r w:rsidRPr="009F29B5">
        <w:rPr>
          <w:rFonts w:hint="eastAsia"/>
          <w:sz w:val="24"/>
          <w:szCs w:val="24"/>
        </w:rPr>
        <w:t xml:space="preserve">In Market 4 where dividend-collecting investors (G4) are present, the </w:t>
      </w:r>
      <w:r w:rsidR="002863B0">
        <w:rPr>
          <w:sz w:val="24"/>
          <w:szCs w:val="24"/>
        </w:rPr>
        <w:t xml:space="preserve">equilibrium </w:t>
      </w:r>
      <w:r w:rsidRPr="009F29B5">
        <w:rPr>
          <w:rFonts w:hint="eastAsia"/>
          <w:sz w:val="24"/>
          <w:szCs w:val="24"/>
        </w:rPr>
        <w:t xml:space="preserve">price </w:t>
      </w:r>
      <w:r w:rsidR="002863B0" w:rsidRPr="002863B0">
        <w:rPr>
          <w:rFonts w:hint="eastAsia"/>
          <w:i/>
          <w:iCs/>
          <w:sz w:val="24"/>
          <w:szCs w:val="24"/>
          <w:lang w:eastAsia="ja-JP"/>
        </w:rPr>
        <w:t>P</w:t>
      </w:r>
      <w:r w:rsidR="002863B0" w:rsidRPr="002F4977">
        <w:rPr>
          <w:i/>
          <w:iCs/>
          <w:sz w:val="24"/>
          <w:szCs w:val="24"/>
          <w:vertAlign w:val="subscript"/>
          <w:lang w:eastAsia="ja-JP"/>
        </w:rPr>
        <w:t>4</w:t>
      </w:r>
      <w:r w:rsidR="002863B0">
        <w:rPr>
          <w:i/>
          <w:iCs/>
          <w:sz w:val="24"/>
          <w:szCs w:val="24"/>
          <w:lang w:eastAsia="ja-JP"/>
        </w:rPr>
        <w:t xml:space="preserve"> </w:t>
      </w:r>
      <w:r w:rsidRPr="002863B0">
        <w:rPr>
          <w:rFonts w:hint="eastAsia"/>
          <w:sz w:val="24"/>
          <w:szCs w:val="24"/>
        </w:rPr>
        <w:t>of</w:t>
      </w:r>
      <w:r w:rsidRPr="009F29B5">
        <w:rPr>
          <w:rFonts w:hint="eastAsia"/>
          <w:sz w:val="24"/>
          <w:szCs w:val="24"/>
        </w:rPr>
        <w:t xml:space="preserve"> the security </w:t>
      </w:r>
      <w:r w:rsidRPr="009F29B5">
        <w:rPr>
          <w:rFonts w:hint="eastAsia"/>
          <w:sz w:val="24"/>
          <w:szCs w:val="24"/>
          <w:lang w:eastAsia="ja-JP"/>
        </w:rPr>
        <w:t>is</w:t>
      </w:r>
      <w:r w:rsidRPr="009F29B5">
        <w:rPr>
          <w:sz w:val="24"/>
          <w:szCs w:val="24"/>
          <w:lang w:eastAsia="ja-JP"/>
        </w:rPr>
        <w:t xml:space="preserve"> equal to </w:t>
      </w:r>
      <w:r w:rsidR="001F752C">
        <w:rPr>
          <w:sz w:val="24"/>
          <w:szCs w:val="24"/>
          <w:lang w:eastAsia="ja-JP"/>
        </w:rPr>
        <w:t xml:space="preserve">the </w:t>
      </w:r>
      <w:r w:rsidR="00777918" w:rsidRPr="009F29B5">
        <w:rPr>
          <w:rFonts w:hint="eastAsia"/>
          <w:sz w:val="24"/>
          <w:szCs w:val="24"/>
        </w:rPr>
        <w:t xml:space="preserve">terminal dividend </w:t>
      </w:r>
      <w:r w:rsidR="00777918" w:rsidRPr="009F29B5">
        <w:rPr>
          <w:rFonts w:hint="eastAsia"/>
          <w:i/>
          <w:iCs/>
          <w:sz w:val="24"/>
          <w:szCs w:val="24"/>
        </w:rPr>
        <w:t>D</w:t>
      </w:r>
      <w:r w:rsidR="00777918" w:rsidRPr="009F29B5">
        <w:rPr>
          <w:rFonts w:hint="eastAsia"/>
          <w:sz w:val="24"/>
          <w:szCs w:val="24"/>
        </w:rPr>
        <w:t xml:space="preserve"> </w:t>
      </w:r>
      <w:r>
        <w:rPr>
          <w:sz w:val="24"/>
          <w:szCs w:val="24"/>
        </w:rPr>
        <w:t>due to the G4’s arbitrage transa</w:t>
      </w:r>
      <w:r>
        <w:rPr>
          <w:sz w:val="24"/>
          <w:szCs w:val="24"/>
        </w:rPr>
        <w:t>c</w:t>
      </w:r>
      <w:r>
        <w:rPr>
          <w:sz w:val="24"/>
          <w:szCs w:val="24"/>
        </w:rPr>
        <w:t>tion</w:t>
      </w:r>
      <w:r w:rsidR="004C5C86">
        <w:rPr>
          <w:sz w:val="24"/>
          <w:szCs w:val="24"/>
        </w:rPr>
        <w:t>s</w:t>
      </w:r>
      <w:r w:rsidR="002863B0">
        <w:rPr>
          <w:sz w:val="24"/>
          <w:szCs w:val="24"/>
        </w:rPr>
        <w:t xml:space="preserve"> (assuming perfect competition)</w:t>
      </w:r>
      <w:r>
        <w:rPr>
          <w:sz w:val="24"/>
          <w:szCs w:val="24"/>
        </w:rPr>
        <w:t>:</w:t>
      </w:r>
    </w:p>
    <w:p w14:paraId="45000D02" w14:textId="0847C649" w:rsidR="00777918" w:rsidRDefault="00777918" w:rsidP="001B1A1B">
      <w:pPr>
        <w:tabs>
          <w:tab w:val="right" w:pos="8931"/>
        </w:tabs>
        <w:spacing w:line="480" w:lineRule="auto"/>
        <w:ind w:firstLine="720"/>
        <w:jc w:val="both"/>
        <w:rPr>
          <w:sz w:val="24"/>
          <w:lang w:eastAsia="ja-JP"/>
        </w:rPr>
      </w:pPr>
      <w:r>
        <w:rPr>
          <w:rFonts w:hint="eastAsia"/>
          <w:i/>
          <w:sz w:val="24"/>
          <w:szCs w:val="24"/>
          <w:lang w:eastAsia="ja-JP"/>
        </w:rPr>
        <w:t>P</w:t>
      </w:r>
      <w:r w:rsidR="009F29B5">
        <w:rPr>
          <w:i/>
          <w:sz w:val="24"/>
          <w:szCs w:val="24"/>
          <w:vertAlign w:val="subscript"/>
        </w:rPr>
        <w:t>4</w:t>
      </w:r>
      <w:r w:rsidRPr="006D58A1">
        <w:rPr>
          <w:rFonts w:hint="eastAsia"/>
          <w:sz w:val="24"/>
          <w:szCs w:val="24"/>
        </w:rPr>
        <w:t xml:space="preserve"> </w:t>
      </w:r>
      <w:r w:rsidRPr="00C84160">
        <w:rPr>
          <w:rFonts w:hint="eastAsia"/>
          <w:sz w:val="24"/>
          <w:szCs w:val="24"/>
        </w:rPr>
        <w:t>=</w:t>
      </w:r>
      <w:r>
        <w:rPr>
          <w:rFonts w:hint="eastAsia"/>
          <w:sz w:val="24"/>
          <w:szCs w:val="24"/>
          <w:lang w:eastAsia="ja-JP"/>
        </w:rPr>
        <w:t xml:space="preserve"> </w:t>
      </w:r>
      <w:r w:rsidRPr="00C84160">
        <w:rPr>
          <w:rFonts w:hint="eastAsia"/>
          <w:i/>
          <w:sz w:val="24"/>
          <w:szCs w:val="24"/>
        </w:rPr>
        <w:t>D</w:t>
      </w:r>
      <w:r w:rsidR="009F29B5">
        <w:rPr>
          <w:i/>
          <w:sz w:val="24"/>
          <w:szCs w:val="24"/>
        </w:rPr>
        <w:t xml:space="preserve"> </w:t>
      </w:r>
      <w:r w:rsidR="009F29B5" w:rsidRPr="009F29B5">
        <w:rPr>
          <w:sz w:val="24"/>
          <w:szCs w:val="24"/>
        </w:rPr>
        <w:t>= 50</w:t>
      </w:r>
      <w:r w:rsidR="00A57B66">
        <w:rPr>
          <w:sz w:val="24"/>
          <w:szCs w:val="24"/>
        </w:rPr>
        <w:t>.</w:t>
      </w:r>
      <w:r>
        <w:rPr>
          <w:rFonts w:hint="eastAsia"/>
          <w:i/>
          <w:sz w:val="24"/>
          <w:szCs w:val="24"/>
          <w:lang w:eastAsia="ja-JP"/>
        </w:rPr>
        <w:t xml:space="preserve"> </w:t>
      </w:r>
      <w:r>
        <w:tab/>
      </w:r>
      <w:r>
        <w:rPr>
          <w:rFonts w:hint="eastAsia"/>
          <w:sz w:val="24"/>
          <w:lang w:eastAsia="ja-JP"/>
        </w:rPr>
        <w:t>(</w:t>
      </w:r>
      <w:r w:rsidR="009F29B5">
        <w:rPr>
          <w:sz w:val="24"/>
          <w:lang w:eastAsia="ja-JP"/>
        </w:rPr>
        <w:t>1</w:t>
      </w:r>
      <w:r>
        <w:rPr>
          <w:rFonts w:hint="eastAsia"/>
          <w:sz w:val="24"/>
          <w:lang w:eastAsia="ja-JP"/>
        </w:rPr>
        <w:t>)</w:t>
      </w:r>
    </w:p>
    <w:p w14:paraId="2DFFD514" w14:textId="64F2451A" w:rsidR="00777918" w:rsidRDefault="003E7209" w:rsidP="00691039">
      <w:pPr>
        <w:spacing w:line="480" w:lineRule="auto"/>
        <w:jc w:val="both"/>
        <w:rPr>
          <w:sz w:val="24"/>
          <w:lang w:eastAsia="ja-JP"/>
        </w:rPr>
      </w:pPr>
      <w:r>
        <w:rPr>
          <w:sz w:val="24"/>
          <w:lang w:eastAsia="ja-JP"/>
        </w:rPr>
        <w:t>The</w:t>
      </w:r>
      <w:r w:rsidR="00691039">
        <w:rPr>
          <w:rFonts w:hint="eastAsia"/>
          <w:sz w:val="24"/>
          <w:lang w:eastAsia="ja-JP"/>
        </w:rPr>
        <w:t xml:space="preserve"> </w:t>
      </w:r>
      <w:r w:rsidR="001B1A1B">
        <w:rPr>
          <w:sz w:val="24"/>
          <w:lang w:eastAsia="ja-JP"/>
        </w:rPr>
        <w:t>prediction</w:t>
      </w:r>
      <w:r w:rsidR="00691039">
        <w:rPr>
          <w:rFonts w:hint="eastAsia"/>
          <w:sz w:val="24"/>
          <w:lang w:eastAsia="ja-JP"/>
        </w:rPr>
        <w:t xml:space="preserve"> that </w:t>
      </w:r>
      <w:r w:rsidR="00691039">
        <w:rPr>
          <w:sz w:val="24"/>
          <w:lang w:eastAsia="ja-JP"/>
        </w:rPr>
        <w:t>price</w:t>
      </w:r>
      <w:r w:rsidR="002863B0">
        <w:rPr>
          <w:sz w:val="24"/>
          <w:lang w:eastAsia="ja-JP"/>
        </w:rPr>
        <w:t xml:space="preserve"> i</w:t>
      </w:r>
      <w:r w:rsidR="006D58A1">
        <w:rPr>
          <w:sz w:val="24"/>
          <w:lang w:eastAsia="ja-JP"/>
        </w:rPr>
        <w:t>s</w:t>
      </w:r>
      <w:r w:rsidR="00691039">
        <w:rPr>
          <w:sz w:val="24"/>
          <w:lang w:eastAsia="ja-JP"/>
        </w:rPr>
        <w:t xml:space="preserve"> equal </w:t>
      </w:r>
      <w:r w:rsidR="001B1A1B">
        <w:rPr>
          <w:sz w:val="24"/>
          <w:lang w:eastAsia="ja-JP"/>
        </w:rPr>
        <w:t xml:space="preserve">to </w:t>
      </w:r>
      <w:r w:rsidR="00691039">
        <w:rPr>
          <w:sz w:val="24"/>
          <w:lang w:eastAsia="ja-JP"/>
        </w:rPr>
        <w:t xml:space="preserve">the </w:t>
      </w:r>
      <w:r w:rsidR="001B1A1B">
        <w:rPr>
          <w:sz w:val="24"/>
          <w:lang w:eastAsia="ja-JP"/>
        </w:rPr>
        <w:t xml:space="preserve">security’s </w:t>
      </w:r>
      <w:r w:rsidR="00691039">
        <w:rPr>
          <w:sz w:val="24"/>
          <w:lang w:eastAsia="ja-JP"/>
        </w:rPr>
        <w:t xml:space="preserve">fundamental value also holds </w:t>
      </w:r>
      <w:r w:rsidR="001B1A1B">
        <w:rPr>
          <w:sz w:val="24"/>
          <w:lang w:eastAsia="ja-JP"/>
        </w:rPr>
        <w:t xml:space="preserve">for </w:t>
      </w:r>
      <w:r w:rsidR="00691039">
        <w:rPr>
          <w:sz w:val="24"/>
          <w:lang w:eastAsia="ja-JP"/>
        </w:rPr>
        <w:t>market</w:t>
      </w:r>
      <w:r w:rsidR="001B1A1B">
        <w:rPr>
          <w:sz w:val="24"/>
          <w:lang w:eastAsia="ja-JP"/>
        </w:rPr>
        <w:t>s</w:t>
      </w:r>
      <w:r w:rsidR="00691039">
        <w:rPr>
          <w:sz w:val="24"/>
          <w:lang w:eastAsia="ja-JP"/>
        </w:rPr>
        <w:t xml:space="preserve"> </w:t>
      </w:r>
      <w:r w:rsidR="001B1A1B">
        <w:rPr>
          <w:sz w:val="24"/>
          <w:lang w:eastAsia="ja-JP"/>
        </w:rPr>
        <w:t xml:space="preserve">in other treatments </w:t>
      </w:r>
      <w:r>
        <w:rPr>
          <w:sz w:val="24"/>
          <w:lang w:eastAsia="ja-JP"/>
        </w:rPr>
        <w:t>when</w:t>
      </w:r>
      <w:r w:rsidR="00691039">
        <w:rPr>
          <w:sz w:val="24"/>
          <w:lang w:eastAsia="ja-JP"/>
        </w:rPr>
        <w:t xml:space="preserve"> dividend-collecting investors are present (periods 1-16 in T1, period 9-16 in T2, and periods 15-16 in T8).</w:t>
      </w:r>
      <w:r w:rsidR="00FA7410" w:rsidRPr="00FA7410">
        <w:rPr>
          <w:rStyle w:val="Funotenzeichen"/>
          <w:sz w:val="24"/>
          <w:lang w:eastAsia="ja-JP"/>
        </w:rPr>
        <w:t xml:space="preserve"> </w:t>
      </w:r>
      <w:r w:rsidR="00FA7410">
        <w:rPr>
          <w:rStyle w:val="Funotenzeichen"/>
          <w:sz w:val="24"/>
          <w:lang w:eastAsia="ja-JP"/>
        </w:rPr>
        <w:footnoteReference w:id="22"/>
      </w:r>
    </w:p>
    <w:p w14:paraId="6CB451AE" w14:textId="77777777" w:rsidR="00C03551" w:rsidRDefault="00C03551" w:rsidP="00691039">
      <w:pPr>
        <w:spacing w:line="480" w:lineRule="auto"/>
        <w:jc w:val="both"/>
        <w:rPr>
          <w:sz w:val="24"/>
          <w:lang w:eastAsia="ja-JP"/>
        </w:rPr>
      </w:pPr>
    </w:p>
    <w:p w14:paraId="1AEA81BE" w14:textId="354974AE" w:rsidR="00C03551" w:rsidRDefault="00C03551" w:rsidP="00C03551">
      <w:pPr>
        <w:pStyle w:val="Textkrper"/>
        <w:spacing w:line="480" w:lineRule="auto"/>
      </w:pPr>
      <w:r>
        <w:rPr>
          <w:rFonts w:hint="eastAsia"/>
        </w:rPr>
        <w:t>3.</w:t>
      </w:r>
      <w:r>
        <w:t>2</w:t>
      </w:r>
      <w:r>
        <w:rPr>
          <w:rFonts w:hint="eastAsia"/>
        </w:rPr>
        <w:t xml:space="preserve"> </w:t>
      </w:r>
      <w:r>
        <w:t>Rational Expectation Equilibrium (REE) in a market with only speculating investors</w:t>
      </w:r>
    </w:p>
    <w:p w14:paraId="6934C591" w14:textId="202E1202" w:rsidR="00691039" w:rsidRDefault="00C03551" w:rsidP="006D58A1">
      <w:pPr>
        <w:spacing w:line="480" w:lineRule="auto"/>
        <w:ind w:firstLine="567"/>
        <w:jc w:val="both"/>
        <w:rPr>
          <w:sz w:val="24"/>
          <w:szCs w:val="24"/>
        </w:rPr>
      </w:pPr>
      <w:r>
        <w:rPr>
          <w:sz w:val="24"/>
          <w:lang w:eastAsia="ja-JP"/>
        </w:rPr>
        <w:t xml:space="preserve">Next, we </w:t>
      </w:r>
      <w:r w:rsidRPr="001D1FDF">
        <w:rPr>
          <w:sz w:val="24"/>
          <w:szCs w:val="24"/>
        </w:rPr>
        <w:t>examin</w:t>
      </w:r>
      <w:r>
        <w:rPr>
          <w:sz w:val="24"/>
          <w:szCs w:val="24"/>
        </w:rPr>
        <w:t>e</w:t>
      </w:r>
      <w:r w:rsidRPr="001D1FDF">
        <w:rPr>
          <w:sz w:val="24"/>
          <w:szCs w:val="24"/>
        </w:rPr>
        <w:t xml:space="preserve"> </w:t>
      </w:r>
      <w:r>
        <w:rPr>
          <w:sz w:val="24"/>
          <w:szCs w:val="24"/>
        </w:rPr>
        <w:t xml:space="preserve">price formation in a market with only speculating investors. The </w:t>
      </w:r>
      <w:r w:rsidRPr="001D1FDF">
        <w:rPr>
          <w:sz w:val="24"/>
          <w:szCs w:val="24"/>
        </w:rPr>
        <w:t>standard security pricing model</w:t>
      </w:r>
      <w:r>
        <w:rPr>
          <w:sz w:val="24"/>
          <w:szCs w:val="24"/>
        </w:rPr>
        <w:t xml:space="preserve"> </w:t>
      </w:r>
      <w:r w:rsidRPr="001D1FDF">
        <w:rPr>
          <w:sz w:val="24"/>
          <w:szCs w:val="24"/>
        </w:rPr>
        <w:t>argues that REE assures prices to be equal to the fundamental value</w:t>
      </w:r>
      <w:r w:rsidR="003E7209">
        <w:rPr>
          <w:sz w:val="24"/>
          <w:szCs w:val="24"/>
        </w:rPr>
        <w:t xml:space="preserve">. To see this, we consider </w:t>
      </w:r>
      <w:r w:rsidR="009717E5">
        <w:rPr>
          <w:sz w:val="24"/>
          <w:szCs w:val="24"/>
        </w:rPr>
        <w:t>M</w:t>
      </w:r>
      <w:r w:rsidR="00691039">
        <w:rPr>
          <w:sz w:val="24"/>
          <w:lang w:eastAsia="ja-JP"/>
        </w:rPr>
        <w:t>arket 3 (periods 9-12) where G2 and G</w:t>
      </w:r>
      <w:r w:rsidR="001D75EA">
        <w:rPr>
          <w:sz w:val="24"/>
          <w:lang w:eastAsia="ja-JP"/>
        </w:rPr>
        <w:t>3 are present</w:t>
      </w:r>
      <w:r w:rsidR="00815D76">
        <w:rPr>
          <w:sz w:val="24"/>
          <w:lang w:eastAsia="ja-JP"/>
        </w:rPr>
        <w:t>. For this situation</w:t>
      </w:r>
      <w:r w:rsidR="001D75EA">
        <w:rPr>
          <w:sz w:val="24"/>
          <w:lang w:eastAsia="ja-JP"/>
        </w:rPr>
        <w:t xml:space="preserve"> the price of the security, </w:t>
      </w:r>
      <w:r w:rsidR="0009443A" w:rsidRPr="009F29B5">
        <w:rPr>
          <w:rFonts w:hint="eastAsia"/>
          <w:i/>
          <w:iCs/>
          <w:sz w:val="24"/>
          <w:szCs w:val="24"/>
          <w:lang w:eastAsia="ja-JP"/>
        </w:rPr>
        <w:t>P</w:t>
      </w:r>
      <w:r w:rsidR="0009443A">
        <w:rPr>
          <w:i/>
          <w:iCs/>
          <w:sz w:val="24"/>
          <w:szCs w:val="24"/>
          <w:vertAlign w:val="subscript"/>
          <w:lang w:eastAsia="ja-JP"/>
        </w:rPr>
        <w:t>3</w:t>
      </w:r>
      <w:r w:rsidR="001B1A1B" w:rsidRPr="001B1A1B">
        <w:rPr>
          <w:iCs/>
          <w:sz w:val="24"/>
          <w:szCs w:val="24"/>
          <w:lang w:eastAsia="ja-JP"/>
        </w:rPr>
        <w:t>,</w:t>
      </w:r>
      <w:r w:rsidR="0009443A" w:rsidRPr="001B1A1B">
        <w:rPr>
          <w:rFonts w:hint="eastAsia"/>
          <w:sz w:val="24"/>
          <w:szCs w:val="24"/>
          <w:lang w:eastAsia="ja-JP"/>
        </w:rPr>
        <w:t xml:space="preserve"> </w:t>
      </w:r>
      <w:r w:rsidR="001D75EA">
        <w:rPr>
          <w:sz w:val="24"/>
          <w:lang w:eastAsia="ja-JP"/>
        </w:rPr>
        <w:t xml:space="preserve">depends on G3’s expectation of the price </w:t>
      </w:r>
      <w:r w:rsidR="001B1A1B">
        <w:rPr>
          <w:sz w:val="24"/>
          <w:lang w:eastAsia="ja-JP"/>
        </w:rPr>
        <w:t>in</w:t>
      </w:r>
      <w:r w:rsidR="001D75EA">
        <w:rPr>
          <w:sz w:val="24"/>
          <w:lang w:eastAsia="ja-JP"/>
        </w:rPr>
        <w:t xml:space="preserve"> Market </w:t>
      </w:r>
      <w:r w:rsidR="0009443A">
        <w:rPr>
          <w:sz w:val="24"/>
          <w:lang w:eastAsia="ja-JP"/>
        </w:rPr>
        <w:t>4</w:t>
      </w:r>
      <w:r w:rsidR="00DC6A58">
        <w:rPr>
          <w:sz w:val="24"/>
          <w:lang w:eastAsia="ja-JP"/>
        </w:rPr>
        <w:t xml:space="preserve">: </w:t>
      </w:r>
    </w:p>
    <w:p w14:paraId="07697BB0" w14:textId="1020FCB9" w:rsidR="0009443A" w:rsidRPr="001305D8" w:rsidRDefault="0009443A" w:rsidP="0009443A">
      <w:pPr>
        <w:pStyle w:val="Textkrper2"/>
        <w:tabs>
          <w:tab w:val="right" w:pos="9072"/>
        </w:tabs>
        <w:spacing w:line="480" w:lineRule="auto"/>
        <w:ind w:firstLine="720"/>
        <w:jc w:val="both"/>
      </w:pPr>
      <w:r w:rsidRPr="001305D8">
        <w:rPr>
          <w:rFonts w:hint="eastAsia"/>
          <w:i/>
          <w:szCs w:val="24"/>
        </w:rPr>
        <w:t>P</w:t>
      </w:r>
      <w:r>
        <w:rPr>
          <w:szCs w:val="24"/>
          <w:vertAlign w:val="subscript"/>
        </w:rPr>
        <w:t>3</w:t>
      </w:r>
      <w:r w:rsidR="00FA7410" w:rsidRPr="001B1A1B">
        <w:rPr>
          <w:szCs w:val="24"/>
        </w:rPr>
        <w:t xml:space="preserve"> </w:t>
      </w:r>
      <w:r w:rsidRPr="001305D8">
        <w:rPr>
          <w:rFonts w:hint="eastAsia"/>
          <w:szCs w:val="24"/>
        </w:rPr>
        <w:t xml:space="preserve">= </w:t>
      </w:r>
      <w:r w:rsidRPr="001305D8">
        <w:rPr>
          <w:rFonts w:hint="eastAsia"/>
          <w:i/>
          <w:szCs w:val="24"/>
        </w:rPr>
        <w:t>E</w:t>
      </w:r>
      <w:r>
        <w:rPr>
          <w:i/>
          <w:szCs w:val="24"/>
          <w:vertAlign w:val="subscript"/>
        </w:rPr>
        <w:t>3</w:t>
      </w:r>
      <w:r w:rsidRPr="001B1A1B">
        <w:rPr>
          <w:i/>
          <w:szCs w:val="24"/>
        </w:rPr>
        <w:t xml:space="preserve"> </w:t>
      </w:r>
      <w:r w:rsidRPr="001305D8">
        <w:rPr>
          <w:rFonts w:hint="eastAsia"/>
          <w:szCs w:val="24"/>
        </w:rPr>
        <w:t>(</w:t>
      </w:r>
      <w:r w:rsidRPr="001305D8">
        <w:rPr>
          <w:rFonts w:hint="eastAsia"/>
          <w:i/>
          <w:szCs w:val="24"/>
        </w:rPr>
        <w:t>P</w:t>
      </w:r>
      <w:r>
        <w:rPr>
          <w:i/>
          <w:szCs w:val="24"/>
          <w:vertAlign w:val="subscript"/>
        </w:rPr>
        <w:t>4</w:t>
      </w:r>
      <w:r w:rsidRPr="001305D8">
        <w:rPr>
          <w:rFonts w:hint="eastAsia"/>
          <w:szCs w:val="24"/>
        </w:rPr>
        <w:t>)</w:t>
      </w:r>
      <w:r w:rsidR="00A57B66">
        <w:rPr>
          <w:szCs w:val="24"/>
        </w:rPr>
        <w:t>.</w:t>
      </w:r>
      <w:r w:rsidRPr="001305D8">
        <w:rPr>
          <w:rFonts w:hint="eastAsia"/>
          <w:szCs w:val="24"/>
        </w:rPr>
        <w:t xml:space="preserve"> </w:t>
      </w:r>
      <w:r>
        <w:rPr>
          <w:szCs w:val="24"/>
        </w:rPr>
        <w:tab/>
      </w:r>
      <w:r w:rsidRPr="001305D8">
        <w:rPr>
          <w:rFonts w:hint="eastAsia"/>
          <w:szCs w:val="24"/>
        </w:rPr>
        <w:t>(</w:t>
      </w:r>
      <w:r>
        <w:rPr>
          <w:szCs w:val="24"/>
        </w:rPr>
        <w:t>2</w:t>
      </w:r>
      <w:r w:rsidRPr="001305D8">
        <w:rPr>
          <w:rFonts w:hint="eastAsia"/>
          <w:szCs w:val="24"/>
        </w:rPr>
        <w:t>)</w:t>
      </w:r>
    </w:p>
    <w:p w14:paraId="2BF5935F" w14:textId="098B1AD1" w:rsidR="00A57B66" w:rsidRDefault="001B1A1B" w:rsidP="00A57B66">
      <w:pPr>
        <w:spacing w:line="480" w:lineRule="auto"/>
        <w:jc w:val="both"/>
        <w:rPr>
          <w:iCs/>
          <w:sz w:val="24"/>
          <w:szCs w:val="24"/>
          <w:lang w:eastAsia="ja-JP"/>
        </w:rPr>
      </w:pPr>
      <w:r>
        <w:rPr>
          <w:iCs/>
          <w:sz w:val="24"/>
          <w:szCs w:val="24"/>
        </w:rPr>
        <w:t>S</w:t>
      </w:r>
      <w:r w:rsidR="00777918" w:rsidRPr="00377B05">
        <w:rPr>
          <w:iCs/>
          <w:sz w:val="24"/>
          <w:szCs w:val="24"/>
        </w:rPr>
        <w:t xml:space="preserve">tandard </w:t>
      </w:r>
      <w:r w:rsidR="00777918">
        <w:rPr>
          <w:iCs/>
          <w:sz w:val="24"/>
          <w:szCs w:val="24"/>
        </w:rPr>
        <w:t>security</w:t>
      </w:r>
      <w:r w:rsidR="00777918" w:rsidRPr="00377B05">
        <w:rPr>
          <w:iCs/>
          <w:sz w:val="24"/>
          <w:szCs w:val="24"/>
        </w:rPr>
        <w:t xml:space="preserve"> pricing models</w:t>
      </w:r>
      <w:r w:rsidR="00777918" w:rsidRPr="00AC2AD5">
        <w:rPr>
          <w:iCs/>
          <w:sz w:val="24"/>
          <w:szCs w:val="24"/>
          <w:lang w:eastAsia="ja-JP"/>
        </w:rPr>
        <w:t xml:space="preserve"> </w:t>
      </w:r>
      <w:r w:rsidR="00A57B66">
        <w:rPr>
          <w:iCs/>
          <w:sz w:val="24"/>
          <w:szCs w:val="24"/>
          <w:lang w:eastAsia="ja-JP"/>
        </w:rPr>
        <w:t>claim</w:t>
      </w:r>
      <w:r w:rsidR="00777918">
        <w:rPr>
          <w:iCs/>
          <w:sz w:val="24"/>
          <w:szCs w:val="24"/>
          <w:lang w:eastAsia="ja-JP"/>
        </w:rPr>
        <w:t xml:space="preserve"> that </w:t>
      </w:r>
      <w:r w:rsidR="00777918">
        <w:rPr>
          <w:rFonts w:hint="eastAsia"/>
          <w:iCs/>
          <w:sz w:val="24"/>
          <w:szCs w:val="24"/>
          <w:lang w:eastAsia="ja-JP"/>
        </w:rPr>
        <w:t>speculating investors</w:t>
      </w:r>
      <w:r w:rsidR="00777918">
        <w:rPr>
          <w:iCs/>
          <w:sz w:val="24"/>
          <w:szCs w:val="24"/>
          <w:lang w:eastAsia="ja-JP"/>
        </w:rPr>
        <w:t xml:space="preserve"> form </w:t>
      </w:r>
      <w:r w:rsidR="00777918">
        <w:rPr>
          <w:rFonts w:hint="eastAsia"/>
          <w:iCs/>
          <w:sz w:val="24"/>
          <w:szCs w:val="24"/>
          <w:lang w:eastAsia="ja-JP"/>
        </w:rPr>
        <w:t>rational</w:t>
      </w:r>
      <w:r w:rsidR="00777918">
        <w:rPr>
          <w:iCs/>
          <w:sz w:val="24"/>
          <w:szCs w:val="24"/>
          <w:lang w:eastAsia="ja-JP"/>
        </w:rPr>
        <w:t xml:space="preserve"> expectations of future prices </w:t>
      </w:r>
      <w:r w:rsidR="00777918">
        <w:rPr>
          <w:rFonts w:hint="eastAsia"/>
          <w:iCs/>
          <w:sz w:val="24"/>
          <w:szCs w:val="24"/>
          <w:lang w:eastAsia="ja-JP"/>
        </w:rPr>
        <w:t xml:space="preserve">through </w:t>
      </w:r>
      <w:r w:rsidR="00A57B66">
        <w:rPr>
          <w:iCs/>
          <w:sz w:val="24"/>
          <w:szCs w:val="24"/>
          <w:lang w:eastAsia="ja-JP"/>
        </w:rPr>
        <w:t xml:space="preserve">backward induction: G3 rationally expect </w:t>
      </w:r>
      <w:r w:rsidR="00A57B66" w:rsidRPr="00A57B66">
        <w:rPr>
          <w:rFonts w:hint="eastAsia"/>
          <w:i/>
          <w:sz w:val="24"/>
          <w:szCs w:val="24"/>
        </w:rPr>
        <w:t>P</w:t>
      </w:r>
      <w:r w:rsidR="00A57B66" w:rsidRPr="00A57B66">
        <w:rPr>
          <w:i/>
          <w:sz w:val="24"/>
          <w:szCs w:val="24"/>
          <w:vertAlign w:val="subscript"/>
        </w:rPr>
        <w:t>4</w:t>
      </w:r>
      <w:r w:rsidR="00A57B66">
        <w:rPr>
          <w:iCs/>
          <w:sz w:val="24"/>
          <w:szCs w:val="24"/>
          <w:lang w:eastAsia="ja-JP"/>
        </w:rPr>
        <w:t xml:space="preserve"> </w:t>
      </w:r>
      <w:r w:rsidR="00DC6A58">
        <w:rPr>
          <w:iCs/>
          <w:sz w:val="24"/>
          <w:szCs w:val="24"/>
          <w:lang w:eastAsia="ja-JP"/>
        </w:rPr>
        <w:t xml:space="preserve">to be given by </w:t>
      </w:r>
      <w:r w:rsidR="00A57B66">
        <w:rPr>
          <w:iCs/>
          <w:sz w:val="24"/>
          <w:szCs w:val="24"/>
          <w:lang w:eastAsia="ja-JP"/>
        </w:rPr>
        <w:t>(1)</w:t>
      </w:r>
      <w:r w:rsidR="00DC6A58">
        <w:rPr>
          <w:iCs/>
          <w:sz w:val="24"/>
          <w:szCs w:val="24"/>
          <w:lang w:eastAsia="ja-JP"/>
        </w:rPr>
        <w:t>:</w:t>
      </w:r>
      <w:r w:rsidR="00F502B2">
        <w:rPr>
          <w:iCs/>
          <w:sz w:val="24"/>
          <w:szCs w:val="24"/>
          <w:lang w:eastAsia="ja-JP"/>
        </w:rPr>
        <w:t xml:space="preserve"> </w:t>
      </w:r>
    </w:p>
    <w:p w14:paraId="73C6E2D1" w14:textId="7CF7497F" w:rsidR="00A57B66" w:rsidRPr="00A57B66" w:rsidRDefault="00A57B66" w:rsidP="001B1A1B">
      <w:pPr>
        <w:tabs>
          <w:tab w:val="right" w:pos="8931"/>
        </w:tabs>
        <w:spacing w:line="480" w:lineRule="auto"/>
        <w:ind w:firstLine="720"/>
        <w:jc w:val="both"/>
        <w:rPr>
          <w:iCs/>
          <w:sz w:val="24"/>
          <w:szCs w:val="24"/>
          <w:lang w:eastAsia="ja-JP"/>
        </w:rPr>
      </w:pPr>
      <w:r w:rsidRPr="00A57B66">
        <w:rPr>
          <w:rFonts w:hint="eastAsia"/>
          <w:i/>
          <w:sz w:val="24"/>
          <w:szCs w:val="24"/>
        </w:rPr>
        <w:t>E</w:t>
      </w:r>
      <w:r w:rsidRPr="00A57B66">
        <w:rPr>
          <w:i/>
          <w:sz w:val="24"/>
          <w:szCs w:val="24"/>
          <w:vertAlign w:val="subscript"/>
        </w:rPr>
        <w:t xml:space="preserve">3 </w:t>
      </w:r>
      <w:r w:rsidRPr="00A57B66">
        <w:rPr>
          <w:rFonts w:hint="eastAsia"/>
          <w:sz w:val="24"/>
          <w:szCs w:val="24"/>
        </w:rPr>
        <w:t>(</w:t>
      </w:r>
      <w:r w:rsidRPr="00A57B66">
        <w:rPr>
          <w:rFonts w:hint="eastAsia"/>
          <w:i/>
          <w:sz w:val="24"/>
          <w:szCs w:val="24"/>
        </w:rPr>
        <w:t>P</w:t>
      </w:r>
      <w:r w:rsidRPr="00A57B66">
        <w:rPr>
          <w:i/>
          <w:sz w:val="24"/>
          <w:szCs w:val="24"/>
          <w:vertAlign w:val="subscript"/>
        </w:rPr>
        <w:t>4</w:t>
      </w:r>
      <w:r w:rsidRPr="00A57B66">
        <w:rPr>
          <w:rFonts w:hint="eastAsia"/>
          <w:sz w:val="24"/>
          <w:szCs w:val="24"/>
        </w:rPr>
        <w:t>)</w:t>
      </w:r>
      <w:r>
        <w:rPr>
          <w:sz w:val="24"/>
          <w:szCs w:val="24"/>
        </w:rPr>
        <w:t xml:space="preserve"> = 50.</w:t>
      </w:r>
      <w:r w:rsidR="001B1A1B">
        <w:rPr>
          <w:sz w:val="24"/>
          <w:szCs w:val="24"/>
        </w:rPr>
        <w:tab/>
      </w:r>
      <w:r>
        <w:rPr>
          <w:sz w:val="24"/>
          <w:szCs w:val="24"/>
        </w:rPr>
        <w:t xml:space="preserve">(3) </w:t>
      </w:r>
    </w:p>
    <w:p w14:paraId="3C6AF4B8" w14:textId="77777777" w:rsidR="00A57B66" w:rsidRDefault="00A57B66" w:rsidP="00A57B66">
      <w:pPr>
        <w:spacing w:line="480" w:lineRule="auto"/>
        <w:jc w:val="both"/>
        <w:rPr>
          <w:iCs/>
          <w:sz w:val="24"/>
          <w:szCs w:val="24"/>
          <w:lang w:eastAsia="ja-JP"/>
        </w:rPr>
      </w:pPr>
      <w:r>
        <w:rPr>
          <w:iCs/>
          <w:sz w:val="24"/>
          <w:szCs w:val="24"/>
          <w:lang w:eastAsia="ja-JP"/>
        </w:rPr>
        <w:t xml:space="preserve">Therefore, </w:t>
      </w:r>
    </w:p>
    <w:p w14:paraId="674FE589" w14:textId="5B704625" w:rsidR="00A57B66" w:rsidRPr="00A57B66" w:rsidRDefault="00A57B66" w:rsidP="001B1A1B">
      <w:pPr>
        <w:tabs>
          <w:tab w:val="right" w:pos="8931"/>
        </w:tabs>
        <w:spacing w:line="480" w:lineRule="auto"/>
        <w:ind w:firstLine="720"/>
        <w:jc w:val="both"/>
        <w:rPr>
          <w:iCs/>
          <w:sz w:val="24"/>
          <w:szCs w:val="24"/>
          <w:lang w:eastAsia="ja-JP"/>
        </w:rPr>
      </w:pPr>
      <w:r w:rsidRPr="00A57B66">
        <w:rPr>
          <w:rFonts w:hint="eastAsia"/>
          <w:i/>
          <w:sz w:val="24"/>
          <w:szCs w:val="24"/>
        </w:rPr>
        <w:t>P</w:t>
      </w:r>
      <w:r w:rsidRPr="00A57B66">
        <w:rPr>
          <w:sz w:val="24"/>
          <w:szCs w:val="24"/>
          <w:vertAlign w:val="subscript"/>
        </w:rPr>
        <w:t>3</w:t>
      </w:r>
      <w:r w:rsidR="001B1A1B" w:rsidRPr="001B1A1B">
        <w:rPr>
          <w:sz w:val="24"/>
          <w:szCs w:val="24"/>
        </w:rPr>
        <w:t xml:space="preserve"> </w:t>
      </w:r>
      <w:r w:rsidRPr="00A57B66">
        <w:rPr>
          <w:rFonts w:hint="eastAsia"/>
          <w:sz w:val="24"/>
          <w:szCs w:val="24"/>
        </w:rPr>
        <w:t>=</w:t>
      </w:r>
      <w:r w:rsidR="001B1A1B">
        <w:rPr>
          <w:sz w:val="24"/>
          <w:szCs w:val="24"/>
        </w:rPr>
        <w:t xml:space="preserve"> </w:t>
      </w:r>
      <w:r>
        <w:rPr>
          <w:sz w:val="24"/>
          <w:szCs w:val="24"/>
        </w:rPr>
        <w:t>50</w:t>
      </w:r>
      <w:r w:rsidRPr="00A57B66">
        <w:rPr>
          <w:sz w:val="24"/>
          <w:szCs w:val="24"/>
        </w:rPr>
        <w:t>.</w:t>
      </w:r>
      <w:r>
        <w:rPr>
          <w:sz w:val="24"/>
          <w:szCs w:val="24"/>
        </w:rPr>
        <w:t xml:space="preserve"> </w:t>
      </w:r>
      <w:r w:rsidR="001B1A1B">
        <w:rPr>
          <w:sz w:val="24"/>
          <w:szCs w:val="24"/>
        </w:rPr>
        <w:tab/>
      </w:r>
      <w:r>
        <w:rPr>
          <w:sz w:val="24"/>
          <w:szCs w:val="24"/>
        </w:rPr>
        <w:t>(4)</w:t>
      </w:r>
    </w:p>
    <w:p w14:paraId="43036893" w14:textId="2275A780" w:rsidR="00A57B66" w:rsidRDefault="00A57B66" w:rsidP="001B1A1B">
      <w:pPr>
        <w:spacing w:line="480" w:lineRule="auto"/>
        <w:ind w:firstLine="567"/>
        <w:jc w:val="both"/>
        <w:rPr>
          <w:sz w:val="24"/>
          <w:szCs w:val="24"/>
        </w:rPr>
      </w:pPr>
      <w:r>
        <w:rPr>
          <w:sz w:val="24"/>
          <w:lang w:eastAsia="ja-JP"/>
        </w:rPr>
        <w:t xml:space="preserve">In Market 2 (periods 5-8) where G1 and G2 are present, the price of the security, </w:t>
      </w:r>
      <w:r w:rsidRPr="009F29B5">
        <w:rPr>
          <w:rFonts w:hint="eastAsia"/>
          <w:i/>
          <w:iCs/>
          <w:sz w:val="24"/>
          <w:szCs w:val="24"/>
          <w:lang w:eastAsia="ja-JP"/>
        </w:rPr>
        <w:t>P</w:t>
      </w:r>
      <w:r>
        <w:rPr>
          <w:i/>
          <w:iCs/>
          <w:sz w:val="24"/>
          <w:szCs w:val="24"/>
          <w:vertAlign w:val="subscript"/>
          <w:lang w:eastAsia="ja-JP"/>
        </w:rPr>
        <w:t>2</w:t>
      </w:r>
      <w:r w:rsidRPr="001B1A1B">
        <w:rPr>
          <w:sz w:val="24"/>
          <w:szCs w:val="24"/>
          <w:lang w:eastAsia="ja-JP"/>
        </w:rPr>
        <w:t>,</w:t>
      </w:r>
      <w:r w:rsidR="001B1A1B">
        <w:rPr>
          <w:sz w:val="24"/>
          <w:szCs w:val="24"/>
          <w:vertAlign w:val="subscript"/>
          <w:lang w:eastAsia="ja-JP"/>
        </w:rPr>
        <w:t xml:space="preserve"> </w:t>
      </w:r>
      <w:r>
        <w:rPr>
          <w:sz w:val="24"/>
          <w:lang w:eastAsia="ja-JP"/>
        </w:rPr>
        <w:t xml:space="preserve">depends on G2’s expectation of the price </w:t>
      </w:r>
      <w:r w:rsidR="001B1A1B">
        <w:rPr>
          <w:sz w:val="24"/>
          <w:lang w:eastAsia="ja-JP"/>
        </w:rPr>
        <w:t>in</w:t>
      </w:r>
      <w:r>
        <w:rPr>
          <w:sz w:val="24"/>
          <w:lang w:eastAsia="ja-JP"/>
        </w:rPr>
        <w:t xml:space="preserve"> Market 3</w:t>
      </w:r>
      <w:r>
        <w:rPr>
          <w:sz w:val="24"/>
          <w:szCs w:val="24"/>
        </w:rPr>
        <w:t>.</w:t>
      </w:r>
    </w:p>
    <w:p w14:paraId="74CFAA83" w14:textId="061A3DCA" w:rsidR="00A57B66" w:rsidRPr="001305D8" w:rsidRDefault="00A57B66" w:rsidP="001B1A1B">
      <w:pPr>
        <w:pStyle w:val="Textkrper2"/>
        <w:tabs>
          <w:tab w:val="right" w:pos="8931"/>
          <w:tab w:val="right" w:pos="9072"/>
        </w:tabs>
        <w:spacing w:line="480" w:lineRule="auto"/>
        <w:ind w:firstLine="720"/>
        <w:jc w:val="both"/>
      </w:pPr>
      <w:r w:rsidRPr="001305D8">
        <w:rPr>
          <w:rFonts w:hint="eastAsia"/>
          <w:i/>
          <w:szCs w:val="24"/>
        </w:rPr>
        <w:t>P</w:t>
      </w:r>
      <w:r>
        <w:rPr>
          <w:szCs w:val="24"/>
          <w:vertAlign w:val="subscript"/>
        </w:rPr>
        <w:t>2</w:t>
      </w:r>
      <w:r w:rsidR="00FA7410" w:rsidRPr="001B1A1B">
        <w:rPr>
          <w:szCs w:val="24"/>
        </w:rPr>
        <w:t xml:space="preserve"> </w:t>
      </w:r>
      <w:r w:rsidRPr="001305D8">
        <w:rPr>
          <w:rFonts w:hint="eastAsia"/>
          <w:szCs w:val="24"/>
        </w:rPr>
        <w:t xml:space="preserve">= </w:t>
      </w:r>
      <w:r w:rsidRPr="001305D8">
        <w:rPr>
          <w:rFonts w:hint="eastAsia"/>
          <w:i/>
          <w:szCs w:val="24"/>
        </w:rPr>
        <w:t>E</w:t>
      </w:r>
      <w:r>
        <w:rPr>
          <w:i/>
          <w:szCs w:val="24"/>
          <w:vertAlign w:val="subscript"/>
        </w:rPr>
        <w:t>2</w:t>
      </w:r>
      <w:r w:rsidRPr="001B1A1B">
        <w:rPr>
          <w:i/>
          <w:szCs w:val="24"/>
        </w:rPr>
        <w:t xml:space="preserve"> </w:t>
      </w:r>
      <w:r w:rsidRPr="001305D8">
        <w:rPr>
          <w:rFonts w:hint="eastAsia"/>
          <w:szCs w:val="24"/>
        </w:rPr>
        <w:t>(</w:t>
      </w:r>
      <w:r w:rsidRPr="001305D8">
        <w:rPr>
          <w:rFonts w:hint="eastAsia"/>
          <w:i/>
          <w:szCs w:val="24"/>
        </w:rPr>
        <w:t>P</w:t>
      </w:r>
      <w:r>
        <w:rPr>
          <w:i/>
          <w:szCs w:val="24"/>
          <w:vertAlign w:val="subscript"/>
        </w:rPr>
        <w:t>3</w:t>
      </w:r>
      <w:r w:rsidRPr="001305D8">
        <w:rPr>
          <w:rFonts w:hint="eastAsia"/>
          <w:szCs w:val="24"/>
        </w:rPr>
        <w:t>)</w:t>
      </w:r>
      <w:r>
        <w:rPr>
          <w:szCs w:val="24"/>
        </w:rPr>
        <w:t>.</w:t>
      </w:r>
      <w:r w:rsidRPr="001305D8">
        <w:rPr>
          <w:rFonts w:hint="eastAsia"/>
          <w:szCs w:val="24"/>
        </w:rPr>
        <w:t xml:space="preserve"> </w:t>
      </w:r>
      <w:r>
        <w:rPr>
          <w:szCs w:val="24"/>
        </w:rPr>
        <w:tab/>
      </w:r>
      <w:r w:rsidRPr="001305D8">
        <w:rPr>
          <w:rFonts w:hint="eastAsia"/>
          <w:szCs w:val="24"/>
        </w:rPr>
        <w:t>(</w:t>
      </w:r>
      <w:r>
        <w:rPr>
          <w:szCs w:val="24"/>
        </w:rPr>
        <w:t>5</w:t>
      </w:r>
      <w:r w:rsidRPr="001305D8">
        <w:rPr>
          <w:rFonts w:hint="eastAsia"/>
          <w:szCs w:val="24"/>
        </w:rPr>
        <w:t>)</w:t>
      </w:r>
    </w:p>
    <w:p w14:paraId="5DCD5EFF" w14:textId="3E8228C8" w:rsidR="00A57B66" w:rsidRDefault="00A57B66" w:rsidP="00A57B66">
      <w:pPr>
        <w:spacing w:line="480" w:lineRule="auto"/>
        <w:jc w:val="both"/>
        <w:rPr>
          <w:iCs/>
          <w:sz w:val="24"/>
          <w:szCs w:val="24"/>
          <w:lang w:eastAsia="ja-JP"/>
        </w:rPr>
      </w:pPr>
      <w:r>
        <w:rPr>
          <w:iCs/>
          <w:sz w:val="24"/>
          <w:szCs w:val="24"/>
          <w:lang w:eastAsia="ja-JP"/>
        </w:rPr>
        <w:t xml:space="preserve">G2 rationally expect </w:t>
      </w:r>
      <w:r w:rsidRPr="00A57B66">
        <w:rPr>
          <w:rFonts w:hint="eastAsia"/>
          <w:i/>
          <w:sz w:val="24"/>
          <w:szCs w:val="24"/>
        </w:rPr>
        <w:t>P</w:t>
      </w:r>
      <w:r>
        <w:rPr>
          <w:i/>
          <w:sz w:val="24"/>
          <w:szCs w:val="24"/>
          <w:vertAlign w:val="subscript"/>
        </w:rPr>
        <w:t>3</w:t>
      </w:r>
      <w:r w:rsidR="00FA7410">
        <w:rPr>
          <w:iCs/>
          <w:sz w:val="24"/>
          <w:szCs w:val="24"/>
          <w:lang w:eastAsia="ja-JP"/>
        </w:rPr>
        <w:t xml:space="preserve"> using (4),</w:t>
      </w:r>
      <w:r>
        <w:rPr>
          <w:iCs/>
          <w:sz w:val="24"/>
          <w:szCs w:val="24"/>
          <w:lang w:eastAsia="ja-JP"/>
        </w:rPr>
        <w:t xml:space="preserve"> </w:t>
      </w:r>
    </w:p>
    <w:p w14:paraId="2AC23CC5" w14:textId="14FDDE4E" w:rsidR="00A57B66" w:rsidRPr="00A57B66" w:rsidRDefault="00A57B66" w:rsidP="001B1A1B">
      <w:pPr>
        <w:tabs>
          <w:tab w:val="right" w:pos="8931"/>
        </w:tabs>
        <w:spacing w:line="480" w:lineRule="auto"/>
        <w:ind w:firstLine="720"/>
        <w:jc w:val="both"/>
        <w:rPr>
          <w:iCs/>
          <w:sz w:val="24"/>
          <w:szCs w:val="24"/>
          <w:lang w:eastAsia="ja-JP"/>
        </w:rPr>
      </w:pPr>
      <w:r w:rsidRPr="00A57B66">
        <w:rPr>
          <w:rFonts w:hint="eastAsia"/>
          <w:i/>
          <w:sz w:val="24"/>
          <w:szCs w:val="24"/>
        </w:rPr>
        <w:t>E</w:t>
      </w:r>
      <w:r>
        <w:rPr>
          <w:i/>
          <w:sz w:val="24"/>
          <w:szCs w:val="24"/>
          <w:vertAlign w:val="subscript"/>
        </w:rPr>
        <w:t>2</w:t>
      </w:r>
      <w:r w:rsidRPr="001B1A1B">
        <w:rPr>
          <w:i/>
          <w:sz w:val="24"/>
          <w:szCs w:val="24"/>
        </w:rPr>
        <w:t xml:space="preserve"> </w:t>
      </w:r>
      <w:r w:rsidRPr="00A57B66">
        <w:rPr>
          <w:rFonts w:hint="eastAsia"/>
          <w:sz w:val="24"/>
          <w:szCs w:val="24"/>
        </w:rPr>
        <w:t>(</w:t>
      </w:r>
      <w:r w:rsidRPr="00A57B66">
        <w:rPr>
          <w:rFonts w:hint="eastAsia"/>
          <w:i/>
          <w:sz w:val="24"/>
          <w:szCs w:val="24"/>
        </w:rPr>
        <w:t>P</w:t>
      </w:r>
      <w:r>
        <w:rPr>
          <w:i/>
          <w:sz w:val="24"/>
          <w:szCs w:val="24"/>
          <w:vertAlign w:val="subscript"/>
        </w:rPr>
        <w:t>3</w:t>
      </w:r>
      <w:r w:rsidRPr="00A57B66">
        <w:rPr>
          <w:rFonts w:hint="eastAsia"/>
          <w:sz w:val="24"/>
          <w:szCs w:val="24"/>
        </w:rPr>
        <w:t>)</w:t>
      </w:r>
      <w:r>
        <w:rPr>
          <w:sz w:val="24"/>
          <w:szCs w:val="24"/>
        </w:rPr>
        <w:t xml:space="preserve"> = 50. </w:t>
      </w:r>
      <w:r w:rsidR="001B1A1B">
        <w:rPr>
          <w:sz w:val="24"/>
          <w:szCs w:val="24"/>
        </w:rPr>
        <w:tab/>
      </w:r>
      <w:r>
        <w:rPr>
          <w:sz w:val="24"/>
          <w:szCs w:val="24"/>
        </w:rPr>
        <w:t xml:space="preserve">(6) </w:t>
      </w:r>
    </w:p>
    <w:p w14:paraId="199BB877" w14:textId="77777777" w:rsidR="0043538C" w:rsidRDefault="00A57B66" w:rsidP="00F4639D">
      <w:pPr>
        <w:spacing w:line="480" w:lineRule="auto"/>
        <w:jc w:val="both"/>
        <w:rPr>
          <w:sz w:val="24"/>
          <w:szCs w:val="24"/>
        </w:rPr>
      </w:pPr>
      <w:r>
        <w:rPr>
          <w:iCs/>
          <w:sz w:val="24"/>
          <w:szCs w:val="24"/>
          <w:lang w:eastAsia="ja-JP"/>
        </w:rPr>
        <w:t>Th</w:t>
      </w:r>
      <w:r w:rsidR="00747556">
        <w:rPr>
          <w:iCs/>
          <w:sz w:val="24"/>
          <w:szCs w:val="24"/>
          <w:lang w:eastAsia="ja-JP"/>
        </w:rPr>
        <w:t>us</w:t>
      </w:r>
      <w:r>
        <w:rPr>
          <w:iCs/>
          <w:sz w:val="24"/>
          <w:szCs w:val="24"/>
          <w:lang w:eastAsia="ja-JP"/>
        </w:rPr>
        <w:t xml:space="preserve">, </w:t>
      </w:r>
      <w:r w:rsidRPr="00A57B66">
        <w:rPr>
          <w:rFonts w:hint="eastAsia"/>
          <w:i/>
          <w:sz w:val="24"/>
          <w:szCs w:val="24"/>
        </w:rPr>
        <w:t>P</w:t>
      </w:r>
      <w:r w:rsidR="00747556">
        <w:rPr>
          <w:sz w:val="24"/>
          <w:szCs w:val="24"/>
          <w:vertAlign w:val="subscript"/>
        </w:rPr>
        <w:t>2</w:t>
      </w:r>
      <w:r w:rsidR="00FA7410" w:rsidRPr="001B1A1B">
        <w:rPr>
          <w:sz w:val="24"/>
          <w:szCs w:val="24"/>
        </w:rPr>
        <w:t xml:space="preserve"> </w:t>
      </w:r>
      <w:r w:rsidRPr="00A57B66">
        <w:rPr>
          <w:rFonts w:hint="eastAsia"/>
          <w:sz w:val="24"/>
          <w:szCs w:val="24"/>
        </w:rPr>
        <w:t xml:space="preserve">= </w:t>
      </w:r>
      <w:r>
        <w:rPr>
          <w:sz w:val="24"/>
          <w:szCs w:val="24"/>
        </w:rPr>
        <w:t>50</w:t>
      </w:r>
      <w:r w:rsidR="00747556">
        <w:rPr>
          <w:sz w:val="24"/>
          <w:szCs w:val="24"/>
        </w:rPr>
        <w:t xml:space="preserve"> holds</w:t>
      </w:r>
      <w:r w:rsidRPr="00A57B66">
        <w:rPr>
          <w:sz w:val="24"/>
          <w:szCs w:val="24"/>
        </w:rPr>
        <w:t>.</w:t>
      </w:r>
      <w:r>
        <w:rPr>
          <w:sz w:val="24"/>
          <w:szCs w:val="24"/>
        </w:rPr>
        <w:t xml:space="preserve"> </w:t>
      </w:r>
      <w:r w:rsidR="00747556">
        <w:rPr>
          <w:sz w:val="24"/>
          <w:szCs w:val="24"/>
        </w:rPr>
        <w:t xml:space="preserve">Repeating this process one more </w:t>
      </w:r>
      <w:r w:rsidR="00FA7410">
        <w:rPr>
          <w:sz w:val="24"/>
          <w:szCs w:val="24"/>
        </w:rPr>
        <w:t>stage</w:t>
      </w:r>
      <w:r w:rsidR="00747556">
        <w:rPr>
          <w:sz w:val="24"/>
          <w:szCs w:val="24"/>
        </w:rPr>
        <w:t xml:space="preserve">, we get </w:t>
      </w:r>
      <w:r w:rsidR="00747556" w:rsidRPr="00A57B66">
        <w:rPr>
          <w:rFonts w:hint="eastAsia"/>
          <w:i/>
          <w:sz w:val="24"/>
          <w:szCs w:val="24"/>
        </w:rPr>
        <w:t>P</w:t>
      </w:r>
      <w:r w:rsidR="00747556">
        <w:rPr>
          <w:sz w:val="24"/>
          <w:szCs w:val="24"/>
          <w:vertAlign w:val="subscript"/>
        </w:rPr>
        <w:t>1</w:t>
      </w:r>
      <w:r w:rsidR="001B1A1B" w:rsidRPr="001B1A1B">
        <w:rPr>
          <w:sz w:val="24"/>
          <w:szCs w:val="24"/>
        </w:rPr>
        <w:t xml:space="preserve"> </w:t>
      </w:r>
      <w:r w:rsidR="00747556" w:rsidRPr="00A57B66">
        <w:rPr>
          <w:rFonts w:hint="eastAsia"/>
          <w:sz w:val="24"/>
          <w:szCs w:val="24"/>
        </w:rPr>
        <w:t xml:space="preserve">= </w:t>
      </w:r>
      <w:r w:rsidR="00747556">
        <w:rPr>
          <w:sz w:val="24"/>
          <w:szCs w:val="24"/>
        </w:rPr>
        <w:t xml:space="preserve">50. </w:t>
      </w:r>
    </w:p>
    <w:p w14:paraId="194D2229" w14:textId="06006C06" w:rsidR="00777918" w:rsidRDefault="00777918" w:rsidP="00F175B9">
      <w:pPr>
        <w:spacing w:line="480" w:lineRule="auto"/>
        <w:ind w:firstLine="720"/>
        <w:jc w:val="both"/>
        <w:rPr>
          <w:sz w:val="24"/>
          <w:lang w:eastAsia="ja-JP"/>
        </w:rPr>
      </w:pPr>
      <w:r>
        <w:rPr>
          <w:sz w:val="24"/>
          <w:lang w:eastAsia="ja-JP"/>
        </w:rPr>
        <w:t xml:space="preserve">This </w:t>
      </w:r>
      <w:r w:rsidR="001B1A1B">
        <w:rPr>
          <w:sz w:val="24"/>
          <w:lang w:eastAsia="ja-JP"/>
        </w:rPr>
        <w:t xml:space="preserve">step </w:t>
      </w:r>
      <w:r>
        <w:rPr>
          <w:sz w:val="24"/>
          <w:lang w:eastAsia="ja-JP"/>
        </w:rPr>
        <w:t xml:space="preserve">completes the derivation of the </w:t>
      </w:r>
      <w:r>
        <w:rPr>
          <w:rFonts w:hint="eastAsia"/>
          <w:sz w:val="24"/>
          <w:lang w:eastAsia="ja-JP"/>
        </w:rPr>
        <w:t xml:space="preserve">REE </w:t>
      </w:r>
      <w:r w:rsidR="001B1A1B">
        <w:rPr>
          <w:sz w:val="24"/>
          <w:lang w:eastAsia="ja-JP"/>
        </w:rPr>
        <w:t>yielding</w:t>
      </w:r>
      <w:r>
        <w:rPr>
          <w:sz w:val="24"/>
          <w:lang w:eastAsia="ja-JP"/>
        </w:rPr>
        <w:t xml:space="preserve"> </w:t>
      </w:r>
      <w:r w:rsidR="00DA2DCA" w:rsidRPr="00A57B66">
        <w:rPr>
          <w:rFonts w:hint="eastAsia"/>
          <w:i/>
          <w:sz w:val="24"/>
          <w:szCs w:val="24"/>
        </w:rPr>
        <w:t>P</w:t>
      </w:r>
      <w:r w:rsidR="00DA2DCA">
        <w:rPr>
          <w:sz w:val="24"/>
          <w:szCs w:val="24"/>
          <w:vertAlign w:val="subscript"/>
        </w:rPr>
        <w:t>1</w:t>
      </w:r>
      <w:r w:rsidR="00DA2DCA" w:rsidRPr="001B1A1B">
        <w:rPr>
          <w:sz w:val="24"/>
          <w:szCs w:val="24"/>
        </w:rPr>
        <w:t xml:space="preserve"> </w:t>
      </w:r>
      <w:r w:rsidR="00DA2DCA" w:rsidRPr="00A57B66">
        <w:rPr>
          <w:rFonts w:hint="eastAsia"/>
          <w:sz w:val="24"/>
          <w:szCs w:val="24"/>
        </w:rPr>
        <w:t xml:space="preserve">= </w:t>
      </w:r>
      <w:r w:rsidR="00DA2DCA" w:rsidRPr="00A57B66">
        <w:rPr>
          <w:rFonts w:hint="eastAsia"/>
          <w:i/>
          <w:sz w:val="24"/>
          <w:szCs w:val="24"/>
        </w:rPr>
        <w:t>P</w:t>
      </w:r>
      <w:r w:rsidR="00DA2DCA">
        <w:rPr>
          <w:sz w:val="24"/>
          <w:szCs w:val="24"/>
          <w:vertAlign w:val="subscript"/>
        </w:rPr>
        <w:t>2</w:t>
      </w:r>
      <w:r w:rsidR="00DA2DCA" w:rsidRPr="001B1A1B">
        <w:rPr>
          <w:sz w:val="24"/>
          <w:szCs w:val="24"/>
        </w:rPr>
        <w:t xml:space="preserve"> </w:t>
      </w:r>
      <w:r w:rsidR="00DA2DCA" w:rsidRPr="00A57B66">
        <w:rPr>
          <w:rFonts w:hint="eastAsia"/>
          <w:sz w:val="24"/>
          <w:szCs w:val="24"/>
        </w:rPr>
        <w:t xml:space="preserve">= </w:t>
      </w:r>
      <w:r w:rsidR="00DA2DCA" w:rsidRPr="00A57B66">
        <w:rPr>
          <w:rFonts w:hint="eastAsia"/>
          <w:i/>
          <w:sz w:val="24"/>
          <w:szCs w:val="24"/>
        </w:rPr>
        <w:t>P</w:t>
      </w:r>
      <w:r w:rsidR="00DA2DCA">
        <w:rPr>
          <w:sz w:val="24"/>
          <w:szCs w:val="24"/>
          <w:vertAlign w:val="subscript"/>
        </w:rPr>
        <w:t>3</w:t>
      </w:r>
      <w:r w:rsidR="00DA2DCA" w:rsidRPr="001B1A1B">
        <w:rPr>
          <w:sz w:val="24"/>
          <w:szCs w:val="24"/>
        </w:rPr>
        <w:t xml:space="preserve"> </w:t>
      </w:r>
      <w:r w:rsidR="00815D76">
        <w:rPr>
          <w:sz w:val="24"/>
          <w:szCs w:val="24"/>
        </w:rPr>
        <w:t>=</w:t>
      </w:r>
      <w:r w:rsidR="00DA2DCA">
        <w:rPr>
          <w:sz w:val="24"/>
          <w:szCs w:val="24"/>
        </w:rPr>
        <w:t xml:space="preserve"> </w:t>
      </w:r>
      <w:r w:rsidR="00DA2DCA" w:rsidRPr="00A57B66">
        <w:rPr>
          <w:rFonts w:hint="eastAsia"/>
          <w:i/>
          <w:sz w:val="24"/>
          <w:szCs w:val="24"/>
        </w:rPr>
        <w:t>P</w:t>
      </w:r>
      <w:r w:rsidR="00DA2DCA">
        <w:rPr>
          <w:sz w:val="24"/>
          <w:szCs w:val="24"/>
          <w:vertAlign w:val="subscript"/>
        </w:rPr>
        <w:t>4</w:t>
      </w:r>
      <w:r w:rsidR="00DA2DCA" w:rsidRPr="001B1A1B">
        <w:rPr>
          <w:sz w:val="24"/>
          <w:szCs w:val="24"/>
        </w:rPr>
        <w:t xml:space="preserve"> </w:t>
      </w:r>
      <w:r w:rsidR="00DA2DCA" w:rsidRPr="00A57B66">
        <w:rPr>
          <w:rFonts w:hint="eastAsia"/>
          <w:sz w:val="24"/>
          <w:szCs w:val="24"/>
        </w:rPr>
        <w:t>=</w:t>
      </w:r>
      <w:r w:rsidR="003E5E35">
        <w:rPr>
          <w:sz w:val="24"/>
          <w:szCs w:val="24"/>
        </w:rPr>
        <w:t xml:space="preserve"> </w:t>
      </w:r>
      <w:r w:rsidR="00DA2DCA">
        <w:rPr>
          <w:sz w:val="24"/>
          <w:szCs w:val="24"/>
        </w:rPr>
        <w:t xml:space="preserve">50. </w:t>
      </w:r>
      <w:r w:rsidR="00502160">
        <w:rPr>
          <w:sz w:val="24"/>
          <w:szCs w:val="24"/>
        </w:rPr>
        <w:t>Prices in market</w:t>
      </w:r>
      <w:r w:rsidR="00021F0D">
        <w:rPr>
          <w:sz w:val="24"/>
          <w:szCs w:val="24"/>
        </w:rPr>
        <w:t>s</w:t>
      </w:r>
      <w:r w:rsidR="00502160">
        <w:rPr>
          <w:sz w:val="24"/>
          <w:szCs w:val="24"/>
        </w:rPr>
        <w:t xml:space="preserve"> with only speculating investors (</w:t>
      </w:r>
      <w:r w:rsidR="00502160" w:rsidRPr="00A57B66">
        <w:rPr>
          <w:rFonts w:hint="eastAsia"/>
          <w:i/>
          <w:sz w:val="24"/>
          <w:szCs w:val="24"/>
        </w:rPr>
        <w:t>P</w:t>
      </w:r>
      <w:r w:rsidR="00502160">
        <w:rPr>
          <w:sz w:val="24"/>
          <w:szCs w:val="24"/>
          <w:vertAlign w:val="subscript"/>
        </w:rPr>
        <w:t>1</w:t>
      </w:r>
      <w:r w:rsidR="00502160">
        <w:rPr>
          <w:sz w:val="24"/>
          <w:szCs w:val="24"/>
        </w:rPr>
        <w:t>,</w:t>
      </w:r>
      <w:r w:rsidR="00502160" w:rsidRPr="00A57B66">
        <w:rPr>
          <w:rFonts w:hint="eastAsia"/>
          <w:sz w:val="24"/>
          <w:szCs w:val="24"/>
        </w:rPr>
        <w:t xml:space="preserve"> </w:t>
      </w:r>
      <w:r w:rsidR="00502160" w:rsidRPr="00A57B66">
        <w:rPr>
          <w:rFonts w:hint="eastAsia"/>
          <w:i/>
          <w:sz w:val="24"/>
          <w:szCs w:val="24"/>
        </w:rPr>
        <w:t>P</w:t>
      </w:r>
      <w:r w:rsidR="00502160">
        <w:rPr>
          <w:sz w:val="24"/>
          <w:szCs w:val="24"/>
          <w:vertAlign w:val="subscript"/>
        </w:rPr>
        <w:t>2</w:t>
      </w:r>
      <w:r w:rsidR="00502160">
        <w:rPr>
          <w:sz w:val="24"/>
          <w:szCs w:val="24"/>
        </w:rPr>
        <w:t>,</w:t>
      </w:r>
      <w:r w:rsidR="00502160" w:rsidRPr="00A57B66">
        <w:rPr>
          <w:rFonts w:hint="eastAsia"/>
          <w:sz w:val="24"/>
          <w:szCs w:val="24"/>
        </w:rPr>
        <w:t xml:space="preserve"> </w:t>
      </w:r>
      <w:r w:rsidR="00502160">
        <w:rPr>
          <w:sz w:val="24"/>
          <w:szCs w:val="24"/>
        </w:rPr>
        <w:t xml:space="preserve">and </w:t>
      </w:r>
      <w:r w:rsidR="00502160" w:rsidRPr="00A57B66">
        <w:rPr>
          <w:rFonts w:hint="eastAsia"/>
          <w:i/>
          <w:sz w:val="24"/>
          <w:szCs w:val="24"/>
        </w:rPr>
        <w:t>P</w:t>
      </w:r>
      <w:r w:rsidR="00502160">
        <w:rPr>
          <w:sz w:val="24"/>
          <w:szCs w:val="24"/>
          <w:vertAlign w:val="subscript"/>
        </w:rPr>
        <w:t>3</w:t>
      </w:r>
      <w:r w:rsidR="00502160">
        <w:rPr>
          <w:sz w:val="24"/>
          <w:szCs w:val="24"/>
        </w:rPr>
        <w:t>) are equal to those in a market with dividend-collecting investors (</w:t>
      </w:r>
      <w:r w:rsidR="00502160" w:rsidRPr="00A57B66">
        <w:rPr>
          <w:rFonts w:hint="eastAsia"/>
          <w:i/>
          <w:sz w:val="24"/>
          <w:szCs w:val="24"/>
        </w:rPr>
        <w:t>P</w:t>
      </w:r>
      <w:r w:rsidR="00502160">
        <w:rPr>
          <w:sz w:val="24"/>
          <w:szCs w:val="24"/>
          <w:vertAlign w:val="subscript"/>
        </w:rPr>
        <w:t>4</w:t>
      </w:r>
      <w:r w:rsidR="00502160">
        <w:rPr>
          <w:sz w:val="24"/>
          <w:szCs w:val="24"/>
        </w:rPr>
        <w:t xml:space="preserve">). </w:t>
      </w:r>
      <w:r w:rsidR="000803DB">
        <w:rPr>
          <w:sz w:val="24"/>
          <w:szCs w:val="24"/>
        </w:rPr>
        <w:t xml:space="preserve">This </w:t>
      </w:r>
      <w:r w:rsidR="00DC6A58">
        <w:rPr>
          <w:sz w:val="24"/>
          <w:szCs w:val="24"/>
        </w:rPr>
        <w:t xml:space="preserve">argument </w:t>
      </w:r>
      <w:r w:rsidR="00FA7410">
        <w:rPr>
          <w:sz w:val="24"/>
          <w:szCs w:val="24"/>
        </w:rPr>
        <w:t xml:space="preserve">also </w:t>
      </w:r>
      <w:r w:rsidR="000803DB">
        <w:rPr>
          <w:sz w:val="24"/>
          <w:szCs w:val="24"/>
        </w:rPr>
        <w:t xml:space="preserve">applies to other treatments (T2 and T8), </w:t>
      </w:r>
      <w:r w:rsidR="001B1A1B">
        <w:rPr>
          <w:sz w:val="24"/>
          <w:szCs w:val="24"/>
        </w:rPr>
        <w:t>predicting</w:t>
      </w:r>
      <w:r w:rsidR="000803DB">
        <w:rPr>
          <w:sz w:val="24"/>
          <w:szCs w:val="24"/>
        </w:rPr>
        <w:t xml:space="preserve"> that</w:t>
      </w:r>
      <w:r w:rsidR="00FA7410">
        <w:rPr>
          <w:sz w:val="24"/>
          <w:szCs w:val="24"/>
        </w:rPr>
        <w:t xml:space="preserve"> price</w:t>
      </w:r>
      <w:r w:rsidR="00DC6A58">
        <w:rPr>
          <w:sz w:val="24"/>
          <w:szCs w:val="24"/>
        </w:rPr>
        <w:t xml:space="preserve"> is</w:t>
      </w:r>
      <w:r w:rsidR="00FA7410">
        <w:rPr>
          <w:sz w:val="24"/>
          <w:szCs w:val="24"/>
        </w:rPr>
        <w:t xml:space="preserve"> </w:t>
      </w:r>
      <w:r w:rsidR="000803DB">
        <w:rPr>
          <w:sz w:val="24"/>
          <w:szCs w:val="24"/>
        </w:rPr>
        <w:t>50</w:t>
      </w:r>
      <w:r w:rsidR="00502160">
        <w:rPr>
          <w:sz w:val="24"/>
          <w:szCs w:val="24"/>
        </w:rPr>
        <w:t xml:space="preserve">, irrespective of the </w:t>
      </w:r>
      <w:r w:rsidR="00850EEE">
        <w:rPr>
          <w:sz w:val="24"/>
          <w:szCs w:val="24"/>
        </w:rPr>
        <w:t xml:space="preserve">presence or absence of </w:t>
      </w:r>
      <w:r w:rsidR="00502160">
        <w:rPr>
          <w:sz w:val="24"/>
          <w:szCs w:val="24"/>
        </w:rPr>
        <w:t xml:space="preserve">speculating and </w:t>
      </w:r>
      <w:r w:rsidR="00502160">
        <w:rPr>
          <w:sz w:val="24"/>
          <w:szCs w:val="24"/>
        </w:rPr>
        <w:lastRenderedPageBreak/>
        <w:t>dividend-collecting investors</w:t>
      </w:r>
      <w:r w:rsidR="00850EEE">
        <w:rPr>
          <w:sz w:val="24"/>
          <w:szCs w:val="24"/>
        </w:rPr>
        <w:t xml:space="preserve"> in the market</w:t>
      </w:r>
      <w:r w:rsidR="00502160">
        <w:rPr>
          <w:sz w:val="24"/>
          <w:szCs w:val="24"/>
        </w:rPr>
        <w:t xml:space="preserve">. </w:t>
      </w:r>
      <w:r w:rsidR="001B1A1B">
        <w:rPr>
          <w:sz w:val="24"/>
          <w:lang w:eastAsia="ja-JP"/>
        </w:rPr>
        <w:t>Therefore,</w:t>
      </w:r>
      <w:r>
        <w:rPr>
          <w:sz w:val="24"/>
          <w:lang w:eastAsia="ja-JP"/>
        </w:rPr>
        <w:t xml:space="preserve"> the standard security pricing model</w:t>
      </w:r>
      <w:r w:rsidR="001B1A1B">
        <w:rPr>
          <w:sz w:val="24"/>
          <w:lang w:eastAsia="ja-JP"/>
        </w:rPr>
        <w:t xml:space="preserve"> predicts that</w:t>
      </w:r>
      <w:r>
        <w:rPr>
          <w:sz w:val="24"/>
          <w:lang w:eastAsia="ja-JP"/>
        </w:rPr>
        <w:t xml:space="preserve">, even in </w:t>
      </w:r>
      <w:r>
        <w:rPr>
          <w:rFonts w:hint="eastAsia"/>
          <w:sz w:val="24"/>
          <w:lang w:eastAsia="ja-JP"/>
        </w:rPr>
        <w:t xml:space="preserve">a market populated by speculating investors, </w:t>
      </w:r>
      <w:r>
        <w:rPr>
          <w:sz w:val="24"/>
          <w:lang w:eastAsia="ja-JP"/>
        </w:rPr>
        <w:t xml:space="preserve">the price of the security with fixed maturity is determined through </w:t>
      </w:r>
      <w:r>
        <w:rPr>
          <w:rFonts w:hint="eastAsia"/>
          <w:sz w:val="24"/>
          <w:lang w:eastAsia="ja-JP"/>
        </w:rPr>
        <w:t>investors</w:t>
      </w:r>
      <w:r>
        <w:rPr>
          <w:sz w:val="24"/>
          <w:lang w:eastAsia="ja-JP"/>
        </w:rPr>
        <w:t xml:space="preserve"> </w:t>
      </w:r>
      <w:r w:rsidR="00850EEE">
        <w:rPr>
          <w:sz w:val="24"/>
          <w:lang w:eastAsia="ja-JP"/>
        </w:rPr>
        <w:t xml:space="preserve">iteratively </w:t>
      </w:r>
      <w:r>
        <w:rPr>
          <w:sz w:val="24"/>
          <w:lang w:eastAsia="ja-JP"/>
        </w:rPr>
        <w:t xml:space="preserve">forming rational expectations </w:t>
      </w:r>
      <w:r w:rsidR="00850EEE">
        <w:rPr>
          <w:sz w:val="24"/>
          <w:lang w:eastAsia="ja-JP"/>
        </w:rPr>
        <w:t>through</w:t>
      </w:r>
      <w:r>
        <w:rPr>
          <w:rFonts w:hint="eastAsia"/>
          <w:sz w:val="24"/>
          <w:lang w:eastAsia="ja-JP"/>
        </w:rPr>
        <w:t xml:space="preserve"> backward induction, </w:t>
      </w:r>
      <w:r>
        <w:rPr>
          <w:sz w:val="24"/>
          <w:lang w:eastAsia="ja-JP"/>
        </w:rPr>
        <w:t xml:space="preserve">and </w:t>
      </w:r>
      <w:r>
        <w:rPr>
          <w:rFonts w:hint="eastAsia"/>
          <w:sz w:val="24"/>
          <w:lang w:eastAsia="ja-JP"/>
        </w:rPr>
        <w:t>price</w:t>
      </w:r>
      <w:r w:rsidR="00B91CA5">
        <w:rPr>
          <w:sz w:val="24"/>
          <w:lang w:eastAsia="ja-JP"/>
        </w:rPr>
        <w:t>s</w:t>
      </w:r>
      <w:r>
        <w:rPr>
          <w:rFonts w:hint="eastAsia"/>
          <w:sz w:val="24"/>
          <w:lang w:eastAsia="ja-JP"/>
        </w:rPr>
        <w:t xml:space="preserve"> </w:t>
      </w:r>
      <w:r w:rsidR="00B91CA5">
        <w:rPr>
          <w:sz w:val="24"/>
          <w:lang w:eastAsia="ja-JP"/>
        </w:rPr>
        <w:t>are</w:t>
      </w:r>
      <w:r>
        <w:rPr>
          <w:sz w:val="24"/>
          <w:lang w:eastAsia="ja-JP"/>
        </w:rPr>
        <w:t xml:space="preserve"> equal to </w:t>
      </w:r>
      <w:r w:rsidR="00B91CA5">
        <w:rPr>
          <w:sz w:val="24"/>
          <w:lang w:eastAsia="ja-JP"/>
        </w:rPr>
        <w:t xml:space="preserve">the </w:t>
      </w:r>
      <w:r w:rsidR="00B91CA5">
        <w:rPr>
          <w:sz w:val="24"/>
        </w:rPr>
        <w:t>security’s fundamental value</w:t>
      </w:r>
      <w:r>
        <w:rPr>
          <w:sz w:val="24"/>
          <w:lang w:eastAsia="ja-JP"/>
        </w:rPr>
        <w:t>.</w:t>
      </w:r>
      <w:r w:rsidR="00D82778" w:rsidRPr="00D82778">
        <w:rPr>
          <w:sz w:val="24"/>
          <w:szCs w:val="24"/>
        </w:rPr>
        <w:t xml:space="preserve"> </w:t>
      </w:r>
    </w:p>
    <w:p w14:paraId="3F244E05" w14:textId="77777777" w:rsidR="00777918" w:rsidRDefault="00777918" w:rsidP="00777918">
      <w:pPr>
        <w:spacing w:line="480" w:lineRule="auto"/>
        <w:jc w:val="both"/>
        <w:rPr>
          <w:sz w:val="24"/>
          <w:lang w:eastAsia="ja-JP"/>
        </w:rPr>
      </w:pPr>
    </w:p>
    <w:p w14:paraId="6ED1E876" w14:textId="78A83444" w:rsidR="00777918" w:rsidRDefault="00A75673" w:rsidP="00777918">
      <w:pPr>
        <w:spacing w:line="480" w:lineRule="auto"/>
        <w:jc w:val="both"/>
        <w:rPr>
          <w:sz w:val="24"/>
          <w:szCs w:val="24"/>
          <w:lang w:eastAsia="ja-JP"/>
        </w:rPr>
      </w:pPr>
      <w:r>
        <w:rPr>
          <w:sz w:val="24"/>
          <w:szCs w:val="24"/>
        </w:rPr>
        <w:t>3.</w:t>
      </w:r>
      <w:r w:rsidR="00502160">
        <w:rPr>
          <w:sz w:val="24"/>
          <w:szCs w:val="24"/>
        </w:rPr>
        <w:t>3</w:t>
      </w:r>
      <w:r w:rsidR="00777918" w:rsidRPr="00377B05">
        <w:rPr>
          <w:sz w:val="24"/>
          <w:szCs w:val="24"/>
        </w:rPr>
        <w:t xml:space="preserve"> </w:t>
      </w:r>
      <w:r w:rsidR="00777918">
        <w:rPr>
          <w:rFonts w:hint="eastAsia"/>
          <w:sz w:val="24"/>
          <w:szCs w:val="24"/>
          <w:lang w:eastAsia="ja-JP"/>
        </w:rPr>
        <w:t>F</w:t>
      </w:r>
      <w:r w:rsidR="00777918" w:rsidRPr="00377B05">
        <w:rPr>
          <w:sz w:val="24"/>
          <w:szCs w:val="24"/>
        </w:rPr>
        <w:t xml:space="preserve">easibility of </w:t>
      </w:r>
      <w:r w:rsidR="00DA2DCA">
        <w:rPr>
          <w:sz w:val="24"/>
          <w:szCs w:val="24"/>
        </w:rPr>
        <w:t>REE</w:t>
      </w:r>
    </w:p>
    <w:p w14:paraId="0BC02CE9" w14:textId="2E686C7F" w:rsidR="004709E3" w:rsidRDefault="00815D76" w:rsidP="0080141E">
      <w:pPr>
        <w:spacing w:line="480" w:lineRule="auto"/>
        <w:ind w:firstLine="720"/>
        <w:jc w:val="both"/>
        <w:rPr>
          <w:sz w:val="24"/>
          <w:lang w:eastAsia="ja-JP"/>
        </w:rPr>
      </w:pPr>
      <w:r>
        <w:rPr>
          <w:sz w:val="24"/>
          <w:lang w:eastAsia="ja-JP"/>
        </w:rPr>
        <w:t>T</w:t>
      </w:r>
      <w:r w:rsidR="00777918">
        <w:rPr>
          <w:rFonts w:hint="eastAsia"/>
          <w:sz w:val="24"/>
          <w:lang w:eastAsia="ja-JP"/>
        </w:rPr>
        <w:t xml:space="preserve">he </w:t>
      </w:r>
      <w:r w:rsidR="00B91CA5">
        <w:rPr>
          <w:sz w:val="24"/>
          <w:lang w:eastAsia="ja-JP"/>
        </w:rPr>
        <w:t xml:space="preserve">result of the </w:t>
      </w:r>
      <w:r w:rsidR="00777918">
        <w:rPr>
          <w:rFonts w:hint="eastAsia"/>
          <w:sz w:val="24"/>
          <w:lang w:eastAsia="ja-JP"/>
        </w:rPr>
        <w:t xml:space="preserve">standard security pricing model </w:t>
      </w:r>
      <w:r w:rsidR="00B91CA5">
        <w:rPr>
          <w:sz w:val="24"/>
          <w:lang w:eastAsia="ja-JP"/>
        </w:rPr>
        <w:t xml:space="preserve">presented above </w:t>
      </w:r>
      <w:r w:rsidR="00777918">
        <w:rPr>
          <w:rFonts w:hint="eastAsia"/>
          <w:sz w:val="24"/>
          <w:lang w:eastAsia="ja-JP"/>
        </w:rPr>
        <w:t>critically de</w:t>
      </w:r>
      <w:r w:rsidR="00B91CA5">
        <w:rPr>
          <w:rFonts w:hint="eastAsia"/>
          <w:sz w:val="24"/>
          <w:lang w:eastAsia="ja-JP"/>
        </w:rPr>
        <w:t>pend</w:t>
      </w:r>
      <w:r w:rsidR="00B91CA5">
        <w:rPr>
          <w:sz w:val="24"/>
          <w:lang w:eastAsia="ja-JP"/>
        </w:rPr>
        <w:t>s</w:t>
      </w:r>
      <w:r w:rsidR="00777918">
        <w:rPr>
          <w:rFonts w:hint="eastAsia"/>
          <w:sz w:val="24"/>
          <w:lang w:eastAsia="ja-JP"/>
        </w:rPr>
        <w:t xml:space="preserve"> on two </w:t>
      </w:r>
      <w:r w:rsidR="00777918">
        <w:rPr>
          <w:sz w:val="24"/>
          <w:lang w:eastAsia="ja-JP"/>
        </w:rPr>
        <w:t>a</w:t>
      </w:r>
      <w:r w:rsidR="00777918">
        <w:rPr>
          <w:rFonts w:hint="eastAsia"/>
          <w:sz w:val="24"/>
          <w:lang w:eastAsia="ja-JP"/>
        </w:rPr>
        <w:t>ssumptions</w:t>
      </w:r>
      <w:r w:rsidR="000803DB">
        <w:rPr>
          <w:sz w:val="24"/>
          <w:lang w:eastAsia="ja-JP"/>
        </w:rPr>
        <w:t xml:space="preserve">. </w:t>
      </w:r>
      <w:r w:rsidR="00450B29">
        <w:rPr>
          <w:sz w:val="24"/>
          <w:lang w:eastAsia="ja-JP"/>
        </w:rPr>
        <w:t xml:space="preserve">First, </w:t>
      </w:r>
      <w:r w:rsidR="000803DB">
        <w:rPr>
          <w:sz w:val="24"/>
          <w:lang w:eastAsia="ja-JP"/>
        </w:rPr>
        <w:t xml:space="preserve">speculating </w:t>
      </w:r>
      <w:r w:rsidR="004D362C">
        <w:rPr>
          <w:sz w:val="24"/>
          <w:lang w:eastAsia="ja-JP"/>
        </w:rPr>
        <w:t>i</w:t>
      </w:r>
      <w:r w:rsidR="00777918" w:rsidRPr="004D362C">
        <w:rPr>
          <w:rFonts w:hint="eastAsia"/>
          <w:sz w:val="24"/>
          <w:lang w:eastAsia="ja-JP"/>
        </w:rPr>
        <w:t xml:space="preserve">nvestors form rational </w:t>
      </w:r>
      <w:r w:rsidR="00777918" w:rsidRPr="004D362C">
        <w:rPr>
          <w:sz w:val="24"/>
          <w:lang w:eastAsia="ja-JP"/>
        </w:rPr>
        <w:t>expectations</w:t>
      </w:r>
      <w:r w:rsidR="00777918" w:rsidRPr="004D362C">
        <w:rPr>
          <w:rFonts w:hint="eastAsia"/>
          <w:sz w:val="24"/>
          <w:lang w:eastAsia="ja-JP"/>
        </w:rPr>
        <w:t xml:space="preserve"> of future </w:t>
      </w:r>
      <w:r w:rsidR="00F502B2">
        <w:rPr>
          <w:sz w:val="24"/>
          <w:lang w:eastAsia="ja-JP"/>
        </w:rPr>
        <w:t xml:space="preserve">sales </w:t>
      </w:r>
      <w:r w:rsidR="00777918" w:rsidRPr="004D362C">
        <w:rPr>
          <w:rFonts w:hint="eastAsia"/>
          <w:sz w:val="24"/>
          <w:lang w:eastAsia="ja-JP"/>
        </w:rPr>
        <w:t>prices</w:t>
      </w:r>
      <w:r w:rsidR="00777918" w:rsidRPr="004D362C">
        <w:rPr>
          <w:sz w:val="24"/>
          <w:lang w:eastAsia="ja-JP"/>
        </w:rPr>
        <w:t xml:space="preserve">, </w:t>
      </w:r>
      <w:r w:rsidR="00777918" w:rsidRPr="004D362C">
        <w:rPr>
          <w:rFonts w:hint="eastAsia"/>
          <w:sz w:val="24"/>
          <w:lang w:eastAsia="ja-JP"/>
        </w:rPr>
        <w:t xml:space="preserve">knowing </w:t>
      </w:r>
      <w:r w:rsidR="00777918" w:rsidRPr="004D362C">
        <w:rPr>
          <w:sz w:val="24"/>
          <w:lang w:eastAsia="ja-JP"/>
        </w:rPr>
        <w:t>that future</w:t>
      </w:r>
      <w:r w:rsidR="00777918" w:rsidRPr="004D362C">
        <w:rPr>
          <w:rFonts w:hint="eastAsia"/>
          <w:sz w:val="24"/>
          <w:lang w:eastAsia="ja-JP"/>
        </w:rPr>
        <w:t xml:space="preserve"> generation of investors </w:t>
      </w:r>
      <w:r w:rsidR="00777918" w:rsidRPr="004D362C">
        <w:rPr>
          <w:sz w:val="24"/>
          <w:lang w:eastAsia="ja-JP"/>
        </w:rPr>
        <w:t>exhaust arbitrage opportunities.</w:t>
      </w:r>
      <w:r w:rsidR="00777918" w:rsidRPr="004D362C">
        <w:rPr>
          <w:rFonts w:hint="eastAsia"/>
          <w:sz w:val="24"/>
          <w:lang w:eastAsia="ja-JP"/>
        </w:rPr>
        <w:t xml:space="preserve"> </w:t>
      </w:r>
      <w:r w:rsidR="00F502B2">
        <w:rPr>
          <w:sz w:val="24"/>
          <w:lang w:eastAsia="ja-JP"/>
        </w:rPr>
        <w:t>For e</w:t>
      </w:r>
      <w:r w:rsidR="00F502B2">
        <w:rPr>
          <w:sz w:val="24"/>
          <w:lang w:eastAsia="ja-JP"/>
        </w:rPr>
        <w:t>x</w:t>
      </w:r>
      <w:r w:rsidR="00F502B2">
        <w:rPr>
          <w:sz w:val="24"/>
          <w:lang w:eastAsia="ja-JP"/>
        </w:rPr>
        <w:t xml:space="preserve">ample, this assumption </w:t>
      </w:r>
      <w:r w:rsidR="00B91CA5">
        <w:rPr>
          <w:sz w:val="24"/>
          <w:lang w:eastAsia="ja-JP"/>
        </w:rPr>
        <w:t>implies</w:t>
      </w:r>
      <w:r w:rsidR="00F502B2">
        <w:rPr>
          <w:sz w:val="24"/>
          <w:lang w:eastAsia="ja-JP"/>
        </w:rPr>
        <w:t xml:space="preserve"> that </w:t>
      </w:r>
      <w:r w:rsidR="00B91CA5">
        <w:rPr>
          <w:sz w:val="24"/>
          <w:lang w:eastAsia="ja-JP"/>
        </w:rPr>
        <w:t xml:space="preserve">traders of </w:t>
      </w:r>
      <w:r w:rsidR="00F502B2">
        <w:rPr>
          <w:sz w:val="24"/>
          <w:lang w:eastAsia="ja-JP"/>
        </w:rPr>
        <w:t xml:space="preserve">G3 </w:t>
      </w:r>
      <w:r w:rsidR="00443772">
        <w:rPr>
          <w:sz w:val="24"/>
          <w:lang w:eastAsia="ja-JP"/>
        </w:rPr>
        <w:t>form rational expectations</w:t>
      </w:r>
      <w:r w:rsidR="00021F0D">
        <w:rPr>
          <w:sz w:val="24"/>
          <w:lang w:eastAsia="ja-JP"/>
        </w:rPr>
        <w:t xml:space="preserve"> of </w:t>
      </w:r>
      <w:r w:rsidR="00021F0D" w:rsidRPr="00A57B66">
        <w:rPr>
          <w:rFonts w:hint="eastAsia"/>
          <w:i/>
          <w:sz w:val="24"/>
          <w:szCs w:val="24"/>
        </w:rPr>
        <w:t>P</w:t>
      </w:r>
      <w:r w:rsidR="00021F0D">
        <w:rPr>
          <w:sz w:val="24"/>
          <w:szCs w:val="24"/>
          <w:vertAlign w:val="subscript"/>
        </w:rPr>
        <w:t>4</w:t>
      </w:r>
      <w:r w:rsidR="00021F0D">
        <w:rPr>
          <w:sz w:val="24"/>
          <w:lang w:eastAsia="ja-JP"/>
        </w:rPr>
        <w:t xml:space="preserve"> </w:t>
      </w:r>
      <w:r w:rsidR="00443772">
        <w:rPr>
          <w:sz w:val="24"/>
          <w:lang w:eastAsia="ja-JP"/>
        </w:rPr>
        <w:t xml:space="preserve">(equation (3)) since they </w:t>
      </w:r>
      <w:r w:rsidR="00F502B2">
        <w:rPr>
          <w:rFonts w:hint="eastAsia"/>
          <w:sz w:val="24"/>
          <w:lang w:eastAsia="ja-JP"/>
        </w:rPr>
        <w:t xml:space="preserve">not only have </w:t>
      </w:r>
      <w:r>
        <w:rPr>
          <w:sz w:val="24"/>
          <w:lang w:eastAsia="ja-JP"/>
        </w:rPr>
        <w:t xml:space="preserve">the </w:t>
      </w:r>
      <w:r w:rsidR="00F502B2">
        <w:rPr>
          <w:rFonts w:hint="eastAsia"/>
          <w:sz w:val="24"/>
          <w:lang w:eastAsia="ja-JP"/>
        </w:rPr>
        <w:t xml:space="preserve">cognitive ability to surmise </w:t>
      </w:r>
      <w:r w:rsidR="00C41D02">
        <w:rPr>
          <w:sz w:val="24"/>
          <w:lang w:eastAsia="ja-JP"/>
        </w:rPr>
        <w:t xml:space="preserve">the behavior of </w:t>
      </w:r>
      <w:r w:rsidR="00F502B2">
        <w:rPr>
          <w:sz w:val="24"/>
          <w:lang w:eastAsia="ja-JP"/>
        </w:rPr>
        <w:t>Market 4</w:t>
      </w:r>
      <w:r w:rsidR="00F502B2">
        <w:rPr>
          <w:rFonts w:hint="eastAsia"/>
          <w:sz w:val="24"/>
          <w:lang w:eastAsia="ja-JP"/>
        </w:rPr>
        <w:t xml:space="preserve">, but also believe that </w:t>
      </w:r>
      <w:r w:rsidR="00B91CA5">
        <w:rPr>
          <w:sz w:val="24"/>
          <w:lang w:eastAsia="ja-JP"/>
        </w:rPr>
        <w:t xml:space="preserve">traders of </w:t>
      </w:r>
      <w:r w:rsidR="00F502B2">
        <w:rPr>
          <w:sz w:val="24"/>
          <w:lang w:eastAsia="ja-JP"/>
        </w:rPr>
        <w:t xml:space="preserve">G4 </w:t>
      </w:r>
      <w:r w:rsidR="00D063A5">
        <w:rPr>
          <w:sz w:val="24"/>
          <w:lang w:eastAsia="ja-JP"/>
        </w:rPr>
        <w:t>conduct</w:t>
      </w:r>
      <w:r w:rsidR="00773C93">
        <w:rPr>
          <w:sz w:val="24"/>
          <w:lang w:eastAsia="ja-JP"/>
        </w:rPr>
        <w:t xml:space="preserve"> perfect arbitrage</w:t>
      </w:r>
      <w:r w:rsidR="00443772">
        <w:rPr>
          <w:rFonts w:hint="eastAsia"/>
          <w:sz w:val="24"/>
          <w:lang w:eastAsia="ja-JP"/>
        </w:rPr>
        <w:t xml:space="preserve"> in a frictionless market </w:t>
      </w:r>
      <w:r w:rsidR="00C41D02">
        <w:rPr>
          <w:sz w:val="24"/>
          <w:lang w:eastAsia="ja-JP"/>
        </w:rPr>
        <w:t>to</w:t>
      </w:r>
      <w:r w:rsidR="00C41D02">
        <w:rPr>
          <w:rFonts w:hint="eastAsia"/>
          <w:sz w:val="24"/>
          <w:lang w:eastAsia="ja-JP"/>
        </w:rPr>
        <w:t xml:space="preserve"> </w:t>
      </w:r>
      <w:r w:rsidR="00443772">
        <w:rPr>
          <w:rFonts w:hint="eastAsia"/>
          <w:sz w:val="24"/>
          <w:lang w:eastAsia="ja-JP"/>
        </w:rPr>
        <w:t xml:space="preserve">realize </w:t>
      </w:r>
      <w:r w:rsidR="00443772" w:rsidRPr="00A57B66">
        <w:rPr>
          <w:rFonts w:hint="eastAsia"/>
          <w:i/>
          <w:sz w:val="24"/>
          <w:szCs w:val="24"/>
        </w:rPr>
        <w:t>P</w:t>
      </w:r>
      <w:r w:rsidR="00443772">
        <w:rPr>
          <w:sz w:val="24"/>
          <w:szCs w:val="24"/>
          <w:vertAlign w:val="subscript"/>
        </w:rPr>
        <w:t>4</w:t>
      </w:r>
      <w:r w:rsidR="00443772">
        <w:rPr>
          <w:rFonts w:hint="eastAsia"/>
          <w:sz w:val="24"/>
          <w:lang w:eastAsia="ja-JP"/>
        </w:rPr>
        <w:t xml:space="preserve"> = 50</w:t>
      </w:r>
      <w:r w:rsidR="00443772">
        <w:rPr>
          <w:sz w:val="24"/>
          <w:lang w:eastAsia="ja-JP"/>
        </w:rPr>
        <w:t xml:space="preserve"> (equation (1)).</w:t>
      </w:r>
      <w:r w:rsidR="00443772">
        <w:rPr>
          <w:rFonts w:hint="eastAsia"/>
          <w:sz w:val="24"/>
          <w:lang w:eastAsia="ja-JP"/>
        </w:rPr>
        <w:t xml:space="preserve"> </w:t>
      </w:r>
      <w:r w:rsidR="00AE420F">
        <w:rPr>
          <w:sz w:val="24"/>
          <w:lang w:eastAsia="ja-JP"/>
        </w:rPr>
        <w:t xml:space="preserve">However, </w:t>
      </w:r>
      <w:r w:rsidR="006071B9">
        <w:rPr>
          <w:sz w:val="24"/>
          <w:lang w:eastAsia="ja-JP"/>
        </w:rPr>
        <w:t xml:space="preserve">it is not </w:t>
      </w:r>
      <w:r w:rsidR="00C41D02">
        <w:rPr>
          <w:sz w:val="24"/>
          <w:lang w:eastAsia="ja-JP"/>
        </w:rPr>
        <w:t xml:space="preserve">clear that </w:t>
      </w:r>
      <w:r w:rsidR="006071B9">
        <w:rPr>
          <w:sz w:val="24"/>
          <w:lang w:eastAsia="ja-JP"/>
        </w:rPr>
        <w:t>this assumption holds</w:t>
      </w:r>
      <w:r w:rsidR="009A379A">
        <w:rPr>
          <w:sz w:val="24"/>
          <w:lang w:eastAsia="ja-JP"/>
        </w:rPr>
        <w:t xml:space="preserve"> in practice</w:t>
      </w:r>
      <w:r w:rsidR="006071B9">
        <w:rPr>
          <w:sz w:val="24"/>
          <w:lang w:eastAsia="ja-JP"/>
        </w:rPr>
        <w:t>. For exa</w:t>
      </w:r>
      <w:r w:rsidR="006071B9">
        <w:rPr>
          <w:sz w:val="24"/>
          <w:lang w:eastAsia="ja-JP"/>
        </w:rPr>
        <w:t>m</w:t>
      </w:r>
      <w:r w:rsidR="006071B9">
        <w:rPr>
          <w:sz w:val="24"/>
          <w:lang w:eastAsia="ja-JP"/>
        </w:rPr>
        <w:t xml:space="preserve">ple, </w:t>
      </w:r>
      <w:r w:rsidR="00443772">
        <w:rPr>
          <w:sz w:val="24"/>
          <w:lang w:eastAsia="ja-JP"/>
        </w:rPr>
        <w:t xml:space="preserve">G3 may </w:t>
      </w:r>
      <w:r w:rsidR="00773C93">
        <w:rPr>
          <w:sz w:val="24"/>
          <w:lang w:eastAsia="ja-JP"/>
        </w:rPr>
        <w:t xml:space="preserve">expect that </w:t>
      </w:r>
      <w:r w:rsidR="00416D8A">
        <w:rPr>
          <w:sz w:val="24"/>
          <w:lang w:eastAsia="ja-JP"/>
        </w:rPr>
        <w:t>in Market 4</w:t>
      </w:r>
      <w:r w:rsidR="009A379A">
        <w:rPr>
          <w:sz w:val="24"/>
          <w:lang w:eastAsia="ja-JP"/>
        </w:rPr>
        <w:t xml:space="preserve"> </w:t>
      </w:r>
      <w:r w:rsidR="00773C93">
        <w:rPr>
          <w:sz w:val="24"/>
          <w:lang w:eastAsia="ja-JP"/>
        </w:rPr>
        <w:t>s</w:t>
      </w:r>
      <w:r w:rsidR="004709E3">
        <w:rPr>
          <w:sz w:val="24"/>
          <w:lang w:eastAsia="ja-JP"/>
        </w:rPr>
        <w:t xml:space="preserve">ome </w:t>
      </w:r>
      <w:r w:rsidR="00B91CA5">
        <w:rPr>
          <w:sz w:val="24"/>
          <w:lang w:eastAsia="ja-JP"/>
        </w:rPr>
        <w:t xml:space="preserve">traders </w:t>
      </w:r>
      <w:r w:rsidR="004709E3">
        <w:rPr>
          <w:sz w:val="24"/>
          <w:lang w:eastAsia="ja-JP"/>
        </w:rPr>
        <w:t xml:space="preserve">of </w:t>
      </w:r>
      <w:r w:rsidR="007A20AC">
        <w:rPr>
          <w:sz w:val="24"/>
          <w:lang w:eastAsia="ja-JP"/>
        </w:rPr>
        <w:t xml:space="preserve">G4 </w:t>
      </w:r>
      <w:r w:rsidR="00443772">
        <w:rPr>
          <w:sz w:val="24"/>
          <w:lang w:eastAsia="ja-JP"/>
        </w:rPr>
        <w:t xml:space="preserve">may </w:t>
      </w:r>
      <w:r w:rsidR="00B91CA5">
        <w:rPr>
          <w:sz w:val="24"/>
          <w:lang w:eastAsia="ja-JP"/>
        </w:rPr>
        <w:t>be reluctant to</w:t>
      </w:r>
      <w:r w:rsidR="00443772">
        <w:rPr>
          <w:sz w:val="24"/>
          <w:lang w:eastAsia="ja-JP"/>
        </w:rPr>
        <w:t xml:space="preserve"> buy the security </w:t>
      </w:r>
      <w:r w:rsidR="00773C93">
        <w:rPr>
          <w:sz w:val="24"/>
          <w:lang w:eastAsia="ja-JP"/>
        </w:rPr>
        <w:t>at</w:t>
      </w:r>
      <w:r w:rsidR="00416D8A">
        <w:rPr>
          <w:sz w:val="24"/>
          <w:lang w:eastAsia="ja-JP"/>
        </w:rPr>
        <w:t xml:space="preserve"> </w:t>
      </w:r>
      <w:r w:rsidR="00773C93" w:rsidRPr="00A57B66">
        <w:rPr>
          <w:rFonts w:hint="eastAsia"/>
          <w:i/>
          <w:sz w:val="24"/>
          <w:szCs w:val="24"/>
        </w:rPr>
        <w:t>P</w:t>
      </w:r>
      <w:r w:rsidR="00773C93">
        <w:rPr>
          <w:sz w:val="24"/>
          <w:szCs w:val="24"/>
          <w:vertAlign w:val="subscript"/>
        </w:rPr>
        <w:t>4</w:t>
      </w:r>
      <w:r w:rsidR="00773C93">
        <w:rPr>
          <w:sz w:val="24"/>
          <w:lang w:eastAsia="ja-JP"/>
        </w:rPr>
        <w:t xml:space="preserve"> slightly less than 50</w:t>
      </w:r>
      <w:r w:rsidR="00416D8A">
        <w:rPr>
          <w:sz w:val="24"/>
          <w:lang w:eastAsia="ja-JP"/>
        </w:rPr>
        <w:t>,</w:t>
      </w:r>
      <w:r w:rsidR="00773C93">
        <w:rPr>
          <w:sz w:val="24"/>
          <w:lang w:eastAsia="ja-JP"/>
        </w:rPr>
        <w:t xml:space="preserve"> </w:t>
      </w:r>
      <w:r w:rsidR="007A20AC">
        <w:rPr>
          <w:sz w:val="24"/>
          <w:lang w:eastAsia="ja-JP"/>
        </w:rPr>
        <w:t xml:space="preserve">since </w:t>
      </w:r>
      <w:r w:rsidR="00B91CA5">
        <w:rPr>
          <w:sz w:val="24"/>
          <w:lang w:eastAsia="ja-JP"/>
        </w:rPr>
        <w:t>the profit potential from</w:t>
      </w:r>
      <w:r w:rsidR="004709E3">
        <w:rPr>
          <w:sz w:val="24"/>
          <w:lang w:eastAsia="ja-JP"/>
        </w:rPr>
        <w:t xml:space="preserve"> conducting </w:t>
      </w:r>
      <w:r w:rsidR="00773C93">
        <w:rPr>
          <w:sz w:val="24"/>
          <w:lang w:eastAsia="ja-JP"/>
        </w:rPr>
        <w:t xml:space="preserve">such </w:t>
      </w:r>
      <w:r w:rsidR="00FA7410">
        <w:rPr>
          <w:sz w:val="24"/>
          <w:lang w:eastAsia="ja-JP"/>
        </w:rPr>
        <w:t xml:space="preserve">arbitrage </w:t>
      </w:r>
      <w:r w:rsidR="002401DD">
        <w:rPr>
          <w:sz w:val="24"/>
          <w:lang w:eastAsia="ja-JP"/>
        </w:rPr>
        <w:t>transa</w:t>
      </w:r>
      <w:r w:rsidR="002401DD">
        <w:rPr>
          <w:sz w:val="24"/>
          <w:lang w:eastAsia="ja-JP"/>
        </w:rPr>
        <w:t>c</w:t>
      </w:r>
      <w:r w:rsidR="002401DD">
        <w:rPr>
          <w:sz w:val="24"/>
          <w:lang w:eastAsia="ja-JP"/>
        </w:rPr>
        <w:t>tion</w:t>
      </w:r>
      <w:r w:rsidR="00083C78">
        <w:rPr>
          <w:sz w:val="24"/>
          <w:lang w:eastAsia="ja-JP"/>
        </w:rPr>
        <w:t>s</w:t>
      </w:r>
      <w:r w:rsidR="00B91CA5">
        <w:rPr>
          <w:sz w:val="24"/>
          <w:lang w:eastAsia="ja-JP"/>
        </w:rPr>
        <w:t xml:space="preserve"> is small</w:t>
      </w:r>
      <w:r w:rsidR="004709E3">
        <w:rPr>
          <w:sz w:val="24"/>
          <w:lang w:eastAsia="ja-JP"/>
        </w:rPr>
        <w:t xml:space="preserve">. </w:t>
      </w:r>
      <w:r w:rsidR="002401DD">
        <w:rPr>
          <w:sz w:val="24"/>
          <w:lang w:eastAsia="ja-JP"/>
        </w:rPr>
        <w:t>Further</w:t>
      </w:r>
      <w:r w:rsidR="00B91CA5">
        <w:rPr>
          <w:sz w:val="24"/>
          <w:lang w:eastAsia="ja-JP"/>
        </w:rPr>
        <w:t>more</w:t>
      </w:r>
      <w:r w:rsidR="002401DD">
        <w:rPr>
          <w:sz w:val="24"/>
          <w:lang w:eastAsia="ja-JP"/>
        </w:rPr>
        <w:t xml:space="preserve">, </w:t>
      </w:r>
      <w:r w:rsidR="00773C93">
        <w:rPr>
          <w:sz w:val="24"/>
          <w:lang w:eastAsia="ja-JP"/>
        </w:rPr>
        <w:t>G3 may expect that G4</w:t>
      </w:r>
      <w:r w:rsidR="002401DD">
        <w:rPr>
          <w:sz w:val="24"/>
          <w:lang w:eastAsia="ja-JP"/>
        </w:rPr>
        <w:t xml:space="preserve"> </w:t>
      </w:r>
      <w:r w:rsidR="00670B06">
        <w:rPr>
          <w:sz w:val="24"/>
          <w:lang w:eastAsia="ja-JP"/>
        </w:rPr>
        <w:t xml:space="preserve">in </w:t>
      </w:r>
      <w:r w:rsidR="00502160">
        <w:rPr>
          <w:sz w:val="24"/>
          <w:lang w:eastAsia="ja-JP"/>
        </w:rPr>
        <w:t xml:space="preserve">low-liquidity </w:t>
      </w:r>
      <w:r w:rsidR="00670B06">
        <w:rPr>
          <w:sz w:val="24"/>
          <w:lang w:eastAsia="ja-JP"/>
        </w:rPr>
        <w:t xml:space="preserve">markets might be </w:t>
      </w:r>
      <w:r w:rsidR="00B91CA5">
        <w:rPr>
          <w:sz w:val="24"/>
          <w:lang w:eastAsia="ja-JP"/>
        </w:rPr>
        <w:t>willing to engage in</w:t>
      </w:r>
      <w:r w:rsidR="00FA7410">
        <w:rPr>
          <w:sz w:val="24"/>
          <w:lang w:eastAsia="ja-JP"/>
        </w:rPr>
        <w:t xml:space="preserve"> </w:t>
      </w:r>
      <w:r w:rsidR="002401DD">
        <w:rPr>
          <w:sz w:val="24"/>
          <w:lang w:eastAsia="ja-JP"/>
        </w:rPr>
        <w:t xml:space="preserve">arbitrage </w:t>
      </w:r>
      <w:r w:rsidR="00B91CA5">
        <w:rPr>
          <w:sz w:val="24"/>
          <w:lang w:eastAsia="ja-JP"/>
        </w:rPr>
        <w:t xml:space="preserve">transactions </w:t>
      </w:r>
      <w:r w:rsidR="00670B06">
        <w:rPr>
          <w:sz w:val="24"/>
          <w:lang w:eastAsia="ja-JP"/>
        </w:rPr>
        <w:t>but experience a lack of liquidity to conduct</w:t>
      </w:r>
      <w:r w:rsidR="002401DD">
        <w:rPr>
          <w:sz w:val="24"/>
          <w:lang w:eastAsia="ja-JP"/>
        </w:rPr>
        <w:t xml:space="preserve"> </w:t>
      </w:r>
      <w:r w:rsidR="00670B06">
        <w:rPr>
          <w:sz w:val="24"/>
          <w:lang w:eastAsia="ja-JP"/>
        </w:rPr>
        <w:t xml:space="preserve">a </w:t>
      </w:r>
      <w:r w:rsidR="002401DD">
        <w:rPr>
          <w:sz w:val="24"/>
          <w:lang w:eastAsia="ja-JP"/>
        </w:rPr>
        <w:t>sufficient</w:t>
      </w:r>
      <w:r w:rsidR="00670B06">
        <w:rPr>
          <w:sz w:val="24"/>
          <w:lang w:eastAsia="ja-JP"/>
        </w:rPr>
        <w:t xml:space="preserve"> number of</w:t>
      </w:r>
      <w:r w:rsidR="002401DD">
        <w:rPr>
          <w:sz w:val="24"/>
          <w:lang w:eastAsia="ja-JP"/>
        </w:rPr>
        <w:t xml:space="preserve"> buy </w:t>
      </w:r>
      <w:r w:rsidR="00670B06">
        <w:rPr>
          <w:sz w:val="24"/>
          <w:lang w:eastAsia="ja-JP"/>
        </w:rPr>
        <w:t>transactions</w:t>
      </w:r>
      <w:r w:rsidR="002401DD">
        <w:rPr>
          <w:sz w:val="24"/>
          <w:lang w:eastAsia="ja-JP"/>
        </w:rPr>
        <w:t>.</w:t>
      </w:r>
      <w:r w:rsidR="00FA7410" w:rsidRPr="00FA7410">
        <w:rPr>
          <w:rStyle w:val="Funotenzeichen"/>
          <w:sz w:val="24"/>
          <w:lang w:eastAsia="ja-JP"/>
        </w:rPr>
        <w:t xml:space="preserve"> </w:t>
      </w:r>
      <w:r w:rsidR="00FA7410">
        <w:rPr>
          <w:rStyle w:val="Funotenzeichen"/>
          <w:sz w:val="24"/>
          <w:lang w:eastAsia="ja-JP"/>
        </w:rPr>
        <w:footnoteReference w:id="23"/>
      </w:r>
      <w:r w:rsidR="002401DD">
        <w:rPr>
          <w:sz w:val="24"/>
          <w:lang w:eastAsia="ja-JP"/>
        </w:rPr>
        <w:t xml:space="preserve"> </w:t>
      </w:r>
      <w:r w:rsidR="00AE420F">
        <w:rPr>
          <w:sz w:val="24"/>
          <w:lang w:eastAsia="ja-JP"/>
        </w:rPr>
        <w:t xml:space="preserve">In contrast, G3 </w:t>
      </w:r>
      <w:r w:rsidR="00773C93">
        <w:rPr>
          <w:sz w:val="24"/>
          <w:lang w:eastAsia="ja-JP"/>
        </w:rPr>
        <w:t xml:space="preserve">themselves </w:t>
      </w:r>
      <w:r w:rsidR="00AE420F">
        <w:rPr>
          <w:sz w:val="24"/>
          <w:lang w:eastAsia="ja-JP"/>
        </w:rPr>
        <w:t xml:space="preserve">have </w:t>
      </w:r>
      <w:r w:rsidR="00083C78">
        <w:rPr>
          <w:sz w:val="24"/>
          <w:lang w:eastAsia="ja-JP"/>
        </w:rPr>
        <w:t xml:space="preserve">a </w:t>
      </w:r>
      <w:r w:rsidR="002401DD">
        <w:rPr>
          <w:sz w:val="24"/>
          <w:lang w:eastAsia="ja-JP"/>
        </w:rPr>
        <w:t xml:space="preserve">strong </w:t>
      </w:r>
      <w:r w:rsidR="00AE420F">
        <w:rPr>
          <w:sz w:val="24"/>
          <w:lang w:eastAsia="ja-JP"/>
        </w:rPr>
        <w:t xml:space="preserve">incentive to sell </w:t>
      </w:r>
      <w:r w:rsidR="002401DD">
        <w:rPr>
          <w:sz w:val="24"/>
          <w:lang w:eastAsia="ja-JP"/>
        </w:rPr>
        <w:t xml:space="preserve">the security </w:t>
      </w:r>
      <w:r w:rsidR="00773C93">
        <w:rPr>
          <w:sz w:val="24"/>
          <w:lang w:eastAsia="ja-JP"/>
        </w:rPr>
        <w:t xml:space="preserve">in Market 4 </w:t>
      </w:r>
      <w:r w:rsidR="00AE420F">
        <w:rPr>
          <w:sz w:val="24"/>
          <w:lang w:eastAsia="ja-JP"/>
        </w:rPr>
        <w:t xml:space="preserve">because they </w:t>
      </w:r>
      <w:r w:rsidR="00732FF9">
        <w:rPr>
          <w:sz w:val="24"/>
          <w:lang w:eastAsia="ja-JP"/>
        </w:rPr>
        <w:t xml:space="preserve">must </w:t>
      </w:r>
      <w:r w:rsidR="00AE420F">
        <w:rPr>
          <w:sz w:val="24"/>
          <w:lang w:eastAsia="ja-JP"/>
        </w:rPr>
        <w:t>exit</w:t>
      </w:r>
      <w:r w:rsidR="00670B06">
        <w:rPr>
          <w:sz w:val="24"/>
          <w:lang w:eastAsia="ja-JP"/>
        </w:rPr>
        <w:t xml:space="preserve"> the market without receiving </w:t>
      </w:r>
      <w:r w:rsidR="00773C93">
        <w:rPr>
          <w:sz w:val="24"/>
          <w:lang w:eastAsia="ja-JP"/>
        </w:rPr>
        <w:t>any</w:t>
      </w:r>
      <w:r w:rsidR="00083C78">
        <w:rPr>
          <w:sz w:val="24"/>
          <w:lang w:eastAsia="ja-JP"/>
        </w:rPr>
        <w:t xml:space="preserve"> dividend</w:t>
      </w:r>
      <w:r w:rsidR="004C30A9">
        <w:rPr>
          <w:sz w:val="24"/>
          <w:lang w:eastAsia="ja-JP"/>
        </w:rPr>
        <w:t xml:space="preserve">. </w:t>
      </w:r>
      <w:r w:rsidR="00AE420F">
        <w:rPr>
          <w:sz w:val="24"/>
          <w:lang w:eastAsia="ja-JP"/>
        </w:rPr>
        <w:t xml:space="preserve">The </w:t>
      </w:r>
      <w:r w:rsidR="00670B06">
        <w:rPr>
          <w:sz w:val="24"/>
          <w:lang w:eastAsia="ja-JP"/>
        </w:rPr>
        <w:t xml:space="preserve">combination of a </w:t>
      </w:r>
      <w:r w:rsidR="004C30A9">
        <w:rPr>
          <w:sz w:val="24"/>
          <w:lang w:eastAsia="ja-JP"/>
        </w:rPr>
        <w:t xml:space="preserve">weak demand and strong supply </w:t>
      </w:r>
      <w:r w:rsidR="00670B06">
        <w:rPr>
          <w:sz w:val="24"/>
          <w:lang w:eastAsia="ja-JP"/>
        </w:rPr>
        <w:t>side implies</w:t>
      </w:r>
      <w:r w:rsidR="00083C78">
        <w:rPr>
          <w:sz w:val="24"/>
          <w:lang w:eastAsia="ja-JP"/>
        </w:rPr>
        <w:t xml:space="preserve"> </w:t>
      </w:r>
      <w:r w:rsidR="00670B06">
        <w:rPr>
          <w:sz w:val="24"/>
          <w:lang w:eastAsia="ja-JP"/>
        </w:rPr>
        <w:t xml:space="preserve">a lack of salience around the REE prediction and thus </w:t>
      </w:r>
      <w:r w:rsidR="00773C93">
        <w:rPr>
          <w:sz w:val="24"/>
          <w:lang w:eastAsia="ja-JP"/>
        </w:rPr>
        <w:t>generates</w:t>
      </w:r>
      <w:r w:rsidR="00083C78">
        <w:rPr>
          <w:sz w:val="24"/>
          <w:lang w:eastAsia="ja-JP"/>
        </w:rPr>
        <w:t xml:space="preserve"> </w:t>
      </w:r>
      <w:r w:rsidR="004C30A9">
        <w:rPr>
          <w:sz w:val="24"/>
          <w:lang w:eastAsia="ja-JP"/>
        </w:rPr>
        <w:t xml:space="preserve">the possibility </w:t>
      </w:r>
      <w:r w:rsidR="002401DD">
        <w:rPr>
          <w:sz w:val="24"/>
          <w:lang w:eastAsia="ja-JP"/>
        </w:rPr>
        <w:t xml:space="preserve">of </w:t>
      </w:r>
      <w:r w:rsidR="002401DD" w:rsidRPr="00A57B66">
        <w:rPr>
          <w:rFonts w:hint="eastAsia"/>
          <w:i/>
          <w:sz w:val="24"/>
          <w:szCs w:val="24"/>
        </w:rPr>
        <w:t>P</w:t>
      </w:r>
      <w:r w:rsidR="002401DD">
        <w:rPr>
          <w:sz w:val="24"/>
          <w:szCs w:val="24"/>
          <w:vertAlign w:val="subscript"/>
        </w:rPr>
        <w:t>4</w:t>
      </w:r>
      <w:r w:rsidR="002401DD" w:rsidRPr="00670B06">
        <w:rPr>
          <w:sz w:val="24"/>
          <w:szCs w:val="24"/>
        </w:rPr>
        <w:t xml:space="preserve"> </w:t>
      </w:r>
      <w:r w:rsidR="002401DD">
        <w:rPr>
          <w:sz w:val="24"/>
          <w:lang w:eastAsia="ja-JP"/>
        </w:rPr>
        <w:t>&lt; 50.</w:t>
      </w:r>
      <w:r w:rsidR="00021F0D" w:rsidRPr="00021F0D">
        <w:rPr>
          <w:rStyle w:val="Funotenzeichen"/>
          <w:sz w:val="24"/>
          <w:lang w:eastAsia="ja-JP"/>
        </w:rPr>
        <w:t xml:space="preserve"> </w:t>
      </w:r>
      <w:r w:rsidR="00021F0D">
        <w:rPr>
          <w:rStyle w:val="Funotenzeichen"/>
          <w:sz w:val="24"/>
          <w:lang w:eastAsia="ja-JP"/>
        </w:rPr>
        <w:footnoteReference w:id="24"/>
      </w:r>
      <w:r w:rsidR="00021F0D">
        <w:rPr>
          <w:sz w:val="24"/>
          <w:lang w:eastAsia="ja-JP"/>
        </w:rPr>
        <w:t xml:space="preserve"> </w:t>
      </w:r>
      <w:r w:rsidR="00596234">
        <w:rPr>
          <w:sz w:val="24"/>
          <w:lang w:eastAsia="ja-JP"/>
        </w:rPr>
        <w:t>Anticipating</w:t>
      </w:r>
      <w:r w:rsidR="00FA7410">
        <w:rPr>
          <w:sz w:val="24"/>
          <w:lang w:eastAsia="ja-JP"/>
        </w:rPr>
        <w:t xml:space="preserve"> </w:t>
      </w:r>
      <w:r w:rsidR="00BE0B5F">
        <w:rPr>
          <w:sz w:val="24"/>
          <w:lang w:eastAsia="ja-JP"/>
        </w:rPr>
        <w:t>t</w:t>
      </w:r>
      <w:r w:rsidR="002401DD">
        <w:rPr>
          <w:sz w:val="24"/>
          <w:lang w:eastAsia="ja-JP"/>
        </w:rPr>
        <w:t>his lack of sal</w:t>
      </w:r>
      <w:r w:rsidR="002401DD">
        <w:rPr>
          <w:sz w:val="24"/>
          <w:lang w:eastAsia="ja-JP"/>
        </w:rPr>
        <w:t>i</w:t>
      </w:r>
      <w:r w:rsidR="002401DD">
        <w:rPr>
          <w:sz w:val="24"/>
          <w:lang w:eastAsia="ja-JP"/>
        </w:rPr>
        <w:lastRenderedPageBreak/>
        <w:t xml:space="preserve">ence </w:t>
      </w:r>
      <w:r w:rsidR="00BE0B5F">
        <w:rPr>
          <w:sz w:val="24"/>
          <w:lang w:eastAsia="ja-JP"/>
        </w:rPr>
        <w:t xml:space="preserve">of </w:t>
      </w:r>
      <w:r w:rsidR="00BE0B5F" w:rsidRPr="00A57B66">
        <w:rPr>
          <w:rFonts w:hint="eastAsia"/>
          <w:i/>
          <w:sz w:val="24"/>
          <w:szCs w:val="24"/>
        </w:rPr>
        <w:t>P</w:t>
      </w:r>
      <w:r w:rsidR="00BE0B5F">
        <w:rPr>
          <w:sz w:val="24"/>
          <w:szCs w:val="24"/>
          <w:vertAlign w:val="subscript"/>
        </w:rPr>
        <w:t>4</w:t>
      </w:r>
      <w:r w:rsidR="00BE0B5F">
        <w:rPr>
          <w:rFonts w:hint="eastAsia"/>
          <w:sz w:val="24"/>
          <w:lang w:eastAsia="ja-JP"/>
        </w:rPr>
        <w:t xml:space="preserve"> = 50</w:t>
      </w:r>
      <w:r w:rsidR="00BE0B5F">
        <w:rPr>
          <w:sz w:val="24"/>
          <w:lang w:eastAsia="ja-JP"/>
        </w:rPr>
        <w:t>, G3 may buy the security in Market 3 only if</w:t>
      </w:r>
      <w:r w:rsidR="00BE0B5F" w:rsidRPr="00BE0B5F">
        <w:rPr>
          <w:rFonts w:hint="eastAsia"/>
          <w:i/>
          <w:sz w:val="24"/>
          <w:szCs w:val="24"/>
        </w:rPr>
        <w:t xml:space="preserve"> </w:t>
      </w:r>
      <w:r w:rsidR="00BE0B5F" w:rsidRPr="00A57B66">
        <w:rPr>
          <w:rFonts w:hint="eastAsia"/>
          <w:i/>
          <w:sz w:val="24"/>
          <w:szCs w:val="24"/>
        </w:rPr>
        <w:t>P</w:t>
      </w:r>
      <w:r w:rsidR="00BE0B5F">
        <w:rPr>
          <w:sz w:val="24"/>
          <w:szCs w:val="24"/>
          <w:vertAlign w:val="subscript"/>
        </w:rPr>
        <w:t>3</w:t>
      </w:r>
      <w:r w:rsidR="00BE0B5F" w:rsidRPr="00670B06">
        <w:rPr>
          <w:sz w:val="24"/>
          <w:szCs w:val="24"/>
        </w:rPr>
        <w:t xml:space="preserve"> </w:t>
      </w:r>
      <w:r w:rsidR="00BE0B5F">
        <w:rPr>
          <w:sz w:val="24"/>
          <w:lang w:eastAsia="ja-JP"/>
        </w:rPr>
        <w:t>&lt; 50</w:t>
      </w:r>
      <w:r w:rsidR="00AD153B">
        <w:rPr>
          <w:sz w:val="24"/>
          <w:lang w:eastAsia="ja-JP"/>
        </w:rPr>
        <w:t xml:space="preserve"> (or sell the security even if </w:t>
      </w:r>
      <w:r w:rsidR="00AD153B" w:rsidRPr="00A57B66">
        <w:rPr>
          <w:rFonts w:hint="eastAsia"/>
          <w:i/>
          <w:sz w:val="24"/>
          <w:szCs w:val="24"/>
        </w:rPr>
        <w:t>P</w:t>
      </w:r>
      <w:r w:rsidR="00AD153B">
        <w:rPr>
          <w:sz w:val="24"/>
          <w:szCs w:val="24"/>
          <w:vertAlign w:val="subscript"/>
        </w:rPr>
        <w:t>3</w:t>
      </w:r>
      <w:r w:rsidR="00AD153B" w:rsidRPr="00670B06">
        <w:rPr>
          <w:sz w:val="24"/>
          <w:szCs w:val="24"/>
        </w:rPr>
        <w:t xml:space="preserve"> </w:t>
      </w:r>
      <w:r w:rsidR="00AD153B">
        <w:rPr>
          <w:sz w:val="24"/>
          <w:lang w:eastAsia="ja-JP"/>
        </w:rPr>
        <w:t>&lt; 50)</w:t>
      </w:r>
      <w:r w:rsidR="00BE0B5F">
        <w:rPr>
          <w:sz w:val="24"/>
          <w:lang w:eastAsia="ja-JP"/>
        </w:rPr>
        <w:t xml:space="preserve">, which makes REE’s result of </w:t>
      </w:r>
      <w:r w:rsidR="000E0CD8" w:rsidRPr="00A57B66">
        <w:rPr>
          <w:rFonts w:hint="eastAsia"/>
          <w:i/>
          <w:sz w:val="24"/>
          <w:szCs w:val="24"/>
        </w:rPr>
        <w:t>P</w:t>
      </w:r>
      <w:r w:rsidR="000E0CD8">
        <w:rPr>
          <w:sz w:val="24"/>
          <w:szCs w:val="24"/>
          <w:vertAlign w:val="subscript"/>
        </w:rPr>
        <w:t xml:space="preserve">3 </w:t>
      </w:r>
      <w:r w:rsidR="00BE0B5F">
        <w:rPr>
          <w:sz w:val="24"/>
          <w:lang w:eastAsia="ja-JP"/>
        </w:rPr>
        <w:t>= 50 (equation (4)) infeasible.</w:t>
      </w:r>
      <w:r w:rsidR="00021F0D" w:rsidDel="00021F0D">
        <w:rPr>
          <w:rStyle w:val="Funotenzeichen"/>
          <w:sz w:val="24"/>
          <w:lang w:eastAsia="ja-JP"/>
        </w:rPr>
        <w:t xml:space="preserve"> </w:t>
      </w:r>
    </w:p>
    <w:p w14:paraId="4CC65CB8" w14:textId="488A83AC" w:rsidR="00183ACA" w:rsidRDefault="00450B29" w:rsidP="00745B22">
      <w:pPr>
        <w:spacing w:line="480" w:lineRule="auto"/>
        <w:ind w:firstLine="720"/>
        <w:jc w:val="both"/>
        <w:rPr>
          <w:sz w:val="24"/>
          <w:szCs w:val="24"/>
        </w:rPr>
      </w:pPr>
      <w:r>
        <w:rPr>
          <w:sz w:val="24"/>
          <w:lang w:eastAsia="ja-JP"/>
        </w:rPr>
        <w:t xml:space="preserve">Second, </w:t>
      </w:r>
      <w:r w:rsidR="00BE0B5F">
        <w:rPr>
          <w:rFonts w:hint="eastAsia"/>
          <w:sz w:val="24"/>
          <w:lang w:eastAsia="ja-JP"/>
        </w:rPr>
        <w:t xml:space="preserve">REE </w:t>
      </w:r>
      <w:r>
        <w:rPr>
          <w:sz w:val="24"/>
          <w:lang w:eastAsia="ja-JP"/>
        </w:rPr>
        <w:t>assumes</w:t>
      </w:r>
      <w:r w:rsidR="00BE0B5F">
        <w:rPr>
          <w:rFonts w:hint="eastAsia"/>
          <w:sz w:val="24"/>
          <w:lang w:eastAsia="ja-JP"/>
        </w:rPr>
        <w:t xml:space="preserve"> that </w:t>
      </w:r>
      <w:r w:rsidR="00C86AE7">
        <w:rPr>
          <w:sz w:val="24"/>
          <w:lang w:eastAsia="ja-JP"/>
        </w:rPr>
        <w:t xml:space="preserve">it </w:t>
      </w:r>
      <w:r w:rsidR="00C86AE7" w:rsidRPr="00BE0B5F">
        <w:rPr>
          <w:rFonts w:hint="eastAsia"/>
          <w:sz w:val="24"/>
          <w:lang w:eastAsia="ja-JP"/>
        </w:rPr>
        <w:t>is common knowledge among all generations of inve</w:t>
      </w:r>
      <w:r w:rsidR="00C86AE7" w:rsidRPr="00BE0B5F">
        <w:rPr>
          <w:rFonts w:hint="eastAsia"/>
          <w:sz w:val="24"/>
          <w:lang w:eastAsia="ja-JP"/>
        </w:rPr>
        <w:t>s</w:t>
      </w:r>
      <w:r w:rsidR="00C86AE7" w:rsidRPr="00BE0B5F">
        <w:rPr>
          <w:rFonts w:hint="eastAsia"/>
          <w:sz w:val="24"/>
          <w:lang w:eastAsia="ja-JP"/>
        </w:rPr>
        <w:t>tors</w:t>
      </w:r>
      <w:r w:rsidR="00C86AE7">
        <w:rPr>
          <w:sz w:val="24"/>
          <w:lang w:eastAsia="ja-JP"/>
        </w:rPr>
        <w:t xml:space="preserve"> that </w:t>
      </w:r>
      <w:r w:rsidR="00BE0B5F">
        <w:rPr>
          <w:sz w:val="24"/>
          <w:lang w:eastAsia="ja-JP"/>
        </w:rPr>
        <w:t>speculating</w:t>
      </w:r>
      <w:r w:rsidR="00BE0B5F" w:rsidRPr="00BE0B5F">
        <w:rPr>
          <w:sz w:val="24"/>
          <w:lang w:eastAsia="ja-JP"/>
        </w:rPr>
        <w:t xml:space="preserve"> i</w:t>
      </w:r>
      <w:r w:rsidR="00777918" w:rsidRPr="00BE0B5F">
        <w:rPr>
          <w:rFonts w:hint="eastAsia"/>
          <w:sz w:val="24"/>
          <w:lang w:eastAsia="ja-JP"/>
        </w:rPr>
        <w:t>nvestors</w:t>
      </w:r>
      <w:r w:rsidR="00C86AE7">
        <w:rPr>
          <w:sz w:val="24"/>
          <w:lang w:eastAsia="ja-JP"/>
        </w:rPr>
        <w:t xml:space="preserve"> form</w:t>
      </w:r>
      <w:r w:rsidR="00777918" w:rsidRPr="00BE0B5F">
        <w:rPr>
          <w:rFonts w:hint="eastAsia"/>
          <w:sz w:val="24"/>
          <w:lang w:eastAsia="ja-JP"/>
        </w:rPr>
        <w:t xml:space="preserve"> </w:t>
      </w:r>
      <w:r w:rsidR="00777918" w:rsidRPr="00BE0B5F">
        <w:rPr>
          <w:sz w:val="24"/>
          <w:lang w:eastAsia="ja-JP"/>
        </w:rPr>
        <w:t>rational</w:t>
      </w:r>
      <w:r w:rsidR="00777918" w:rsidRPr="00BE0B5F">
        <w:rPr>
          <w:rFonts w:hint="eastAsia"/>
          <w:sz w:val="24"/>
          <w:lang w:eastAsia="ja-JP"/>
        </w:rPr>
        <w:t xml:space="preserve"> expectation</w:t>
      </w:r>
      <w:r w:rsidR="00C86AE7">
        <w:rPr>
          <w:sz w:val="24"/>
          <w:lang w:eastAsia="ja-JP"/>
        </w:rPr>
        <w:t>s</w:t>
      </w:r>
      <w:r w:rsidR="00777918" w:rsidRPr="00BE0B5F">
        <w:rPr>
          <w:rFonts w:hint="eastAsia"/>
          <w:sz w:val="24"/>
          <w:lang w:eastAsia="ja-JP"/>
        </w:rPr>
        <w:t xml:space="preserve">. </w:t>
      </w:r>
      <w:r w:rsidR="00FB6B6D">
        <w:rPr>
          <w:sz w:val="24"/>
          <w:lang w:eastAsia="ja-JP"/>
        </w:rPr>
        <w:t>This assumption implies that</w:t>
      </w:r>
      <w:r w:rsidR="000E0CD8">
        <w:rPr>
          <w:sz w:val="24"/>
          <w:lang w:eastAsia="ja-JP"/>
        </w:rPr>
        <w:t xml:space="preserve"> i</w:t>
      </w:r>
      <w:r w:rsidR="00777918">
        <w:rPr>
          <w:rFonts w:hint="eastAsia"/>
          <w:sz w:val="24"/>
          <w:lang w:eastAsia="ja-JP"/>
        </w:rPr>
        <w:t>nve</w:t>
      </w:r>
      <w:r w:rsidR="00777918">
        <w:rPr>
          <w:rFonts w:hint="eastAsia"/>
          <w:sz w:val="24"/>
          <w:lang w:eastAsia="ja-JP"/>
        </w:rPr>
        <w:t>s</w:t>
      </w:r>
      <w:r w:rsidR="00777918">
        <w:rPr>
          <w:rFonts w:hint="eastAsia"/>
          <w:sz w:val="24"/>
          <w:lang w:eastAsia="ja-JP"/>
        </w:rPr>
        <w:t>tors</w:t>
      </w:r>
      <w:r w:rsidR="00777918">
        <w:rPr>
          <w:sz w:val="24"/>
          <w:lang w:eastAsia="ja-JP"/>
        </w:rPr>
        <w:t xml:space="preserve"> must not only </w:t>
      </w:r>
      <w:r w:rsidR="00777918">
        <w:rPr>
          <w:rFonts w:hint="eastAsia"/>
          <w:sz w:val="24"/>
          <w:lang w:eastAsia="ja-JP"/>
        </w:rPr>
        <w:t>form rational expectations</w:t>
      </w:r>
      <w:r w:rsidR="00777918">
        <w:rPr>
          <w:sz w:val="24"/>
          <w:lang w:eastAsia="ja-JP"/>
        </w:rPr>
        <w:t xml:space="preserve"> themselves</w:t>
      </w:r>
      <w:r w:rsidR="00777918">
        <w:rPr>
          <w:rFonts w:hint="eastAsia"/>
          <w:sz w:val="24"/>
          <w:lang w:eastAsia="ja-JP"/>
        </w:rPr>
        <w:t xml:space="preserve">, </w:t>
      </w:r>
      <w:r w:rsidR="00777918">
        <w:rPr>
          <w:sz w:val="24"/>
          <w:lang w:eastAsia="ja-JP"/>
        </w:rPr>
        <w:t xml:space="preserve">but also </w:t>
      </w:r>
      <w:r w:rsidR="00777918">
        <w:rPr>
          <w:rFonts w:hint="eastAsia"/>
          <w:sz w:val="24"/>
          <w:lang w:eastAsia="ja-JP"/>
        </w:rPr>
        <w:t xml:space="preserve">believe that </w:t>
      </w:r>
      <w:r w:rsidR="002B25BA">
        <w:rPr>
          <w:sz w:val="24"/>
          <w:lang w:eastAsia="ja-JP"/>
        </w:rPr>
        <w:t>all</w:t>
      </w:r>
      <w:r w:rsidR="00777918">
        <w:rPr>
          <w:rFonts w:hint="eastAsia"/>
          <w:sz w:val="24"/>
          <w:lang w:eastAsia="ja-JP"/>
        </w:rPr>
        <w:t xml:space="preserve"> subsequent </w:t>
      </w:r>
      <w:r w:rsidR="00777918">
        <w:rPr>
          <w:sz w:val="24"/>
          <w:lang w:eastAsia="ja-JP"/>
        </w:rPr>
        <w:t xml:space="preserve">generations of </w:t>
      </w:r>
      <w:r w:rsidR="00777918">
        <w:rPr>
          <w:rFonts w:hint="eastAsia"/>
          <w:sz w:val="24"/>
          <w:lang w:eastAsia="ja-JP"/>
        </w:rPr>
        <w:t xml:space="preserve">investors also </w:t>
      </w:r>
      <w:r w:rsidR="00777918">
        <w:rPr>
          <w:sz w:val="24"/>
          <w:lang w:eastAsia="ja-JP"/>
        </w:rPr>
        <w:t xml:space="preserve">do </w:t>
      </w:r>
      <w:r w:rsidR="002B25BA">
        <w:rPr>
          <w:sz w:val="24"/>
          <w:lang w:eastAsia="ja-JP"/>
        </w:rPr>
        <w:t>the same</w:t>
      </w:r>
      <w:r w:rsidR="00777918">
        <w:rPr>
          <w:sz w:val="24"/>
          <w:lang w:eastAsia="ja-JP"/>
        </w:rPr>
        <w:t xml:space="preserve">. </w:t>
      </w:r>
      <w:r w:rsidR="00FB6B6D">
        <w:rPr>
          <w:sz w:val="24"/>
          <w:lang w:eastAsia="ja-JP"/>
        </w:rPr>
        <w:t>In T4</w:t>
      </w:r>
      <w:r w:rsidR="000E0CD8">
        <w:rPr>
          <w:sz w:val="24"/>
          <w:lang w:eastAsia="ja-JP"/>
        </w:rPr>
        <w:t xml:space="preserve">, </w:t>
      </w:r>
      <w:r w:rsidR="00FB6B6D">
        <w:rPr>
          <w:sz w:val="24"/>
          <w:lang w:eastAsia="ja-JP"/>
        </w:rPr>
        <w:t xml:space="preserve">traders of </w:t>
      </w:r>
      <w:r w:rsidR="000E0CD8">
        <w:rPr>
          <w:sz w:val="24"/>
          <w:lang w:eastAsia="ja-JP"/>
        </w:rPr>
        <w:t>G2 form rational expectation of</w:t>
      </w:r>
      <w:r w:rsidR="000E0CD8" w:rsidRPr="000E0CD8">
        <w:rPr>
          <w:rFonts w:hint="eastAsia"/>
          <w:i/>
          <w:sz w:val="24"/>
          <w:szCs w:val="24"/>
        </w:rPr>
        <w:t xml:space="preserve"> </w:t>
      </w:r>
      <w:r w:rsidR="000E0CD8" w:rsidRPr="00A57B66">
        <w:rPr>
          <w:rFonts w:hint="eastAsia"/>
          <w:i/>
          <w:sz w:val="24"/>
          <w:szCs w:val="24"/>
        </w:rPr>
        <w:t>P</w:t>
      </w:r>
      <w:r w:rsidR="000E0CD8">
        <w:rPr>
          <w:sz w:val="24"/>
          <w:szCs w:val="24"/>
          <w:vertAlign w:val="subscript"/>
        </w:rPr>
        <w:t>3</w:t>
      </w:r>
      <w:r w:rsidR="000E0CD8">
        <w:rPr>
          <w:sz w:val="24"/>
          <w:lang w:eastAsia="ja-JP"/>
        </w:rPr>
        <w:t xml:space="preserve"> (equation (6)) by believing that </w:t>
      </w:r>
      <w:r w:rsidR="00FB6B6D">
        <w:rPr>
          <w:sz w:val="24"/>
          <w:lang w:eastAsia="ja-JP"/>
        </w:rPr>
        <w:t xml:space="preserve">traders of </w:t>
      </w:r>
      <w:r w:rsidR="000E0CD8">
        <w:rPr>
          <w:sz w:val="24"/>
          <w:lang w:eastAsia="ja-JP"/>
        </w:rPr>
        <w:t xml:space="preserve">G3 also form rational expectation of </w:t>
      </w:r>
      <w:r w:rsidR="000E0CD8" w:rsidRPr="00A57B66">
        <w:rPr>
          <w:rFonts w:hint="eastAsia"/>
          <w:i/>
          <w:sz w:val="24"/>
          <w:szCs w:val="24"/>
        </w:rPr>
        <w:t>P</w:t>
      </w:r>
      <w:r w:rsidR="000E0CD8">
        <w:rPr>
          <w:sz w:val="24"/>
          <w:szCs w:val="24"/>
          <w:vertAlign w:val="subscript"/>
        </w:rPr>
        <w:t>4</w:t>
      </w:r>
      <w:r w:rsidR="000E0CD8">
        <w:rPr>
          <w:sz w:val="24"/>
          <w:lang w:eastAsia="ja-JP"/>
        </w:rPr>
        <w:t>. Furthe</w:t>
      </w:r>
      <w:r w:rsidR="000E0CD8">
        <w:rPr>
          <w:sz w:val="24"/>
          <w:lang w:eastAsia="ja-JP"/>
        </w:rPr>
        <w:t>r</w:t>
      </w:r>
      <w:r w:rsidR="00FB6B6D">
        <w:rPr>
          <w:sz w:val="24"/>
          <w:lang w:eastAsia="ja-JP"/>
        </w:rPr>
        <w:t>more</w:t>
      </w:r>
      <w:r w:rsidR="000E0CD8">
        <w:rPr>
          <w:sz w:val="24"/>
          <w:lang w:eastAsia="ja-JP"/>
        </w:rPr>
        <w:t xml:space="preserve">, </w:t>
      </w:r>
      <w:r w:rsidR="00FB6B6D">
        <w:rPr>
          <w:sz w:val="24"/>
          <w:lang w:eastAsia="ja-JP"/>
        </w:rPr>
        <w:t xml:space="preserve">traders of </w:t>
      </w:r>
      <w:r w:rsidR="000E0CD8">
        <w:rPr>
          <w:sz w:val="24"/>
          <w:lang w:eastAsia="ja-JP"/>
        </w:rPr>
        <w:t>G1 form rational expectation of</w:t>
      </w:r>
      <w:r w:rsidR="000E0CD8" w:rsidRPr="000E0CD8">
        <w:rPr>
          <w:rFonts w:hint="eastAsia"/>
          <w:i/>
          <w:sz w:val="24"/>
          <w:szCs w:val="24"/>
        </w:rPr>
        <w:t xml:space="preserve"> </w:t>
      </w:r>
      <w:r w:rsidR="000E0CD8" w:rsidRPr="00A57B66">
        <w:rPr>
          <w:rFonts w:hint="eastAsia"/>
          <w:i/>
          <w:sz w:val="24"/>
          <w:szCs w:val="24"/>
        </w:rPr>
        <w:t>P</w:t>
      </w:r>
      <w:r w:rsidR="000E0CD8">
        <w:rPr>
          <w:sz w:val="24"/>
          <w:szCs w:val="24"/>
          <w:vertAlign w:val="subscript"/>
        </w:rPr>
        <w:t>2</w:t>
      </w:r>
      <w:r w:rsidR="000E0CD8">
        <w:rPr>
          <w:sz w:val="24"/>
          <w:lang w:eastAsia="ja-JP"/>
        </w:rPr>
        <w:t xml:space="preserve">, not only believing that </w:t>
      </w:r>
      <w:r w:rsidR="00FB6B6D">
        <w:rPr>
          <w:sz w:val="24"/>
          <w:lang w:eastAsia="ja-JP"/>
        </w:rPr>
        <w:t xml:space="preserve">traders of </w:t>
      </w:r>
      <w:r w:rsidR="000E0CD8">
        <w:rPr>
          <w:sz w:val="24"/>
          <w:lang w:eastAsia="ja-JP"/>
        </w:rPr>
        <w:t xml:space="preserve">G2 also form rational expectation of </w:t>
      </w:r>
      <w:r w:rsidR="000E0CD8" w:rsidRPr="00A57B66">
        <w:rPr>
          <w:rFonts w:hint="eastAsia"/>
          <w:i/>
          <w:sz w:val="24"/>
          <w:szCs w:val="24"/>
        </w:rPr>
        <w:t>P</w:t>
      </w:r>
      <w:r w:rsidR="000E0CD8">
        <w:rPr>
          <w:sz w:val="24"/>
          <w:szCs w:val="24"/>
          <w:vertAlign w:val="subscript"/>
        </w:rPr>
        <w:t>3</w:t>
      </w:r>
      <w:r w:rsidR="000E0CD8">
        <w:rPr>
          <w:sz w:val="24"/>
          <w:lang w:eastAsia="ja-JP"/>
        </w:rPr>
        <w:t xml:space="preserve">, but also believing that </w:t>
      </w:r>
      <w:r w:rsidR="00FB6B6D">
        <w:rPr>
          <w:sz w:val="24"/>
          <w:lang w:eastAsia="ja-JP"/>
        </w:rPr>
        <w:t xml:space="preserve">traders of </w:t>
      </w:r>
      <w:r w:rsidR="000E0CD8">
        <w:rPr>
          <w:sz w:val="24"/>
          <w:lang w:eastAsia="ja-JP"/>
        </w:rPr>
        <w:t>G2 believe that</w:t>
      </w:r>
      <w:r w:rsidR="0036258D" w:rsidRPr="0036258D">
        <w:rPr>
          <w:sz w:val="24"/>
          <w:lang w:eastAsia="ja-JP"/>
        </w:rPr>
        <w:t xml:space="preserve"> </w:t>
      </w:r>
      <w:r w:rsidR="00FB6B6D">
        <w:rPr>
          <w:sz w:val="24"/>
          <w:lang w:eastAsia="ja-JP"/>
        </w:rPr>
        <w:t xml:space="preserve">traders of </w:t>
      </w:r>
      <w:r w:rsidR="0036258D">
        <w:rPr>
          <w:sz w:val="24"/>
          <w:lang w:eastAsia="ja-JP"/>
        </w:rPr>
        <w:t xml:space="preserve">G3 form rational expectation of </w:t>
      </w:r>
      <w:r w:rsidR="0036258D" w:rsidRPr="00A57B66">
        <w:rPr>
          <w:rFonts w:hint="eastAsia"/>
          <w:i/>
          <w:sz w:val="24"/>
          <w:szCs w:val="24"/>
        </w:rPr>
        <w:t>P</w:t>
      </w:r>
      <w:r w:rsidR="0036258D">
        <w:rPr>
          <w:sz w:val="24"/>
          <w:szCs w:val="24"/>
          <w:vertAlign w:val="subscript"/>
        </w:rPr>
        <w:t>4</w:t>
      </w:r>
      <w:r w:rsidR="000E0CD8">
        <w:rPr>
          <w:sz w:val="24"/>
          <w:lang w:eastAsia="ja-JP"/>
        </w:rPr>
        <w:t xml:space="preserve">. </w:t>
      </w:r>
      <w:r w:rsidR="00244AB9">
        <w:rPr>
          <w:sz w:val="24"/>
          <w:lang w:eastAsia="ja-JP"/>
        </w:rPr>
        <w:t>T</w:t>
      </w:r>
      <w:r w:rsidR="006071B9">
        <w:rPr>
          <w:sz w:val="24"/>
          <w:lang w:eastAsia="ja-JP"/>
        </w:rPr>
        <w:t>h</w:t>
      </w:r>
      <w:r w:rsidR="0080141E">
        <w:rPr>
          <w:sz w:val="24"/>
          <w:lang w:eastAsia="ja-JP"/>
        </w:rPr>
        <w:t>is</w:t>
      </w:r>
      <w:r w:rsidR="006071B9">
        <w:rPr>
          <w:sz w:val="24"/>
          <w:lang w:eastAsia="ja-JP"/>
        </w:rPr>
        <w:t xml:space="preserve"> c</w:t>
      </w:r>
      <w:r w:rsidR="006071B9">
        <w:rPr>
          <w:rFonts w:hint="eastAsia"/>
          <w:sz w:val="24"/>
          <w:lang w:eastAsia="ja-JP"/>
        </w:rPr>
        <w:t xml:space="preserve">ommon knowledge assumption </w:t>
      </w:r>
      <w:r w:rsidR="006071B9">
        <w:rPr>
          <w:sz w:val="24"/>
          <w:lang w:eastAsia="ja-JP"/>
        </w:rPr>
        <w:t>of rational expect</w:t>
      </w:r>
      <w:r w:rsidR="006071B9">
        <w:rPr>
          <w:sz w:val="24"/>
          <w:lang w:eastAsia="ja-JP"/>
        </w:rPr>
        <w:t>a</w:t>
      </w:r>
      <w:r w:rsidR="006071B9">
        <w:rPr>
          <w:sz w:val="24"/>
          <w:lang w:eastAsia="ja-JP"/>
        </w:rPr>
        <w:t>tions</w:t>
      </w:r>
      <w:r w:rsidR="00244AB9">
        <w:rPr>
          <w:sz w:val="24"/>
          <w:lang w:eastAsia="ja-JP"/>
        </w:rPr>
        <w:t>, however,</w:t>
      </w:r>
      <w:r w:rsidR="006071B9">
        <w:rPr>
          <w:sz w:val="24"/>
          <w:lang w:eastAsia="ja-JP"/>
        </w:rPr>
        <w:t xml:space="preserve"> may not hold</w:t>
      </w:r>
      <w:r w:rsidR="00416D8A">
        <w:rPr>
          <w:sz w:val="24"/>
          <w:lang w:eastAsia="ja-JP"/>
        </w:rPr>
        <w:t xml:space="preserve"> in practice</w:t>
      </w:r>
      <w:r w:rsidR="006071B9">
        <w:rPr>
          <w:sz w:val="24"/>
          <w:lang w:eastAsia="ja-JP"/>
        </w:rPr>
        <w:t xml:space="preserve">. For example, </w:t>
      </w:r>
      <w:r w:rsidR="00FB6B6D">
        <w:rPr>
          <w:sz w:val="24"/>
          <w:lang w:eastAsia="ja-JP"/>
        </w:rPr>
        <w:t>trade</w:t>
      </w:r>
      <w:r w:rsidR="00596234">
        <w:rPr>
          <w:sz w:val="24"/>
          <w:lang w:eastAsia="ja-JP"/>
        </w:rPr>
        <w:t>r</w:t>
      </w:r>
      <w:r w:rsidR="00FB6B6D">
        <w:rPr>
          <w:sz w:val="24"/>
          <w:lang w:eastAsia="ja-JP"/>
        </w:rPr>
        <w:t xml:space="preserve">s of </w:t>
      </w:r>
      <w:r w:rsidR="006071B9">
        <w:rPr>
          <w:sz w:val="24"/>
          <w:lang w:eastAsia="ja-JP"/>
        </w:rPr>
        <w:t xml:space="preserve">G2 </w:t>
      </w:r>
      <w:r w:rsidR="0080141E">
        <w:rPr>
          <w:sz w:val="24"/>
          <w:lang w:eastAsia="ja-JP"/>
        </w:rPr>
        <w:t xml:space="preserve">may </w:t>
      </w:r>
      <w:r w:rsidR="00D2363E">
        <w:rPr>
          <w:sz w:val="24"/>
          <w:lang w:eastAsia="ja-JP"/>
        </w:rPr>
        <w:t>b</w:t>
      </w:r>
      <w:r w:rsidR="00183ACA">
        <w:rPr>
          <w:sz w:val="24"/>
          <w:lang w:eastAsia="ja-JP"/>
        </w:rPr>
        <w:t xml:space="preserve">elieve </w:t>
      </w:r>
      <w:r w:rsidR="006071B9">
        <w:rPr>
          <w:sz w:val="24"/>
          <w:lang w:eastAsia="ja-JP"/>
        </w:rPr>
        <w:t xml:space="preserve">that some </w:t>
      </w:r>
      <w:r w:rsidR="00FB6B6D">
        <w:rPr>
          <w:sz w:val="24"/>
          <w:lang w:eastAsia="ja-JP"/>
        </w:rPr>
        <w:t xml:space="preserve">traders </w:t>
      </w:r>
      <w:r w:rsidR="006071B9">
        <w:rPr>
          <w:sz w:val="24"/>
          <w:lang w:eastAsia="ja-JP"/>
        </w:rPr>
        <w:t xml:space="preserve">of G3 </w:t>
      </w:r>
      <w:r w:rsidR="00D2363E">
        <w:rPr>
          <w:sz w:val="24"/>
          <w:lang w:eastAsia="ja-JP"/>
        </w:rPr>
        <w:t xml:space="preserve">do not </w:t>
      </w:r>
      <w:r w:rsidR="006071B9">
        <w:rPr>
          <w:sz w:val="24"/>
          <w:lang w:eastAsia="ja-JP"/>
        </w:rPr>
        <w:t xml:space="preserve">form rational expectations </w:t>
      </w:r>
      <w:r w:rsidR="00183ACA">
        <w:rPr>
          <w:sz w:val="24"/>
          <w:lang w:eastAsia="ja-JP"/>
        </w:rPr>
        <w:t>(</w:t>
      </w:r>
      <w:r w:rsidR="00183ACA" w:rsidRPr="00183ACA">
        <w:rPr>
          <w:rFonts w:hint="eastAsia"/>
          <w:i/>
          <w:sz w:val="24"/>
          <w:szCs w:val="24"/>
        </w:rPr>
        <w:t>E</w:t>
      </w:r>
      <w:r w:rsidR="00183ACA" w:rsidRPr="00183ACA">
        <w:rPr>
          <w:i/>
          <w:sz w:val="24"/>
          <w:szCs w:val="24"/>
          <w:vertAlign w:val="subscript"/>
        </w:rPr>
        <w:t xml:space="preserve">3 </w:t>
      </w:r>
      <w:r w:rsidR="00183ACA" w:rsidRPr="00183ACA">
        <w:rPr>
          <w:rFonts w:hint="eastAsia"/>
          <w:sz w:val="24"/>
          <w:szCs w:val="24"/>
        </w:rPr>
        <w:t>(</w:t>
      </w:r>
      <w:r w:rsidR="00183ACA" w:rsidRPr="00183ACA">
        <w:rPr>
          <w:rFonts w:hint="eastAsia"/>
          <w:i/>
          <w:sz w:val="24"/>
          <w:szCs w:val="24"/>
        </w:rPr>
        <w:t>P</w:t>
      </w:r>
      <w:r w:rsidR="00183ACA" w:rsidRPr="00183ACA">
        <w:rPr>
          <w:i/>
          <w:sz w:val="24"/>
          <w:szCs w:val="24"/>
          <w:vertAlign w:val="subscript"/>
        </w:rPr>
        <w:t>4</w:t>
      </w:r>
      <w:r w:rsidR="00183ACA" w:rsidRPr="00183ACA">
        <w:rPr>
          <w:rFonts w:hint="eastAsia"/>
          <w:sz w:val="24"/>
          <w:szCs w:val="24"/>
        </w:rPr>
        <w:t>)</w:t>
      </w:r>
      <w:r w:rsidR="00183ACA">
        <w:rPr>
          <w:sz w:val="24"/>
          <w:szCs w:val="24"/>
        </w:rPr>
        <w:t xml:space="preserve"> =</w:t>
      </w:r>
      <w:r w:rsidR="00C86AE7">
        <w:rPr>
          <w:sz w:val="24"/>
          <w:szCs w:val="24"/>
        </w:rPr>
        <w:t xml:space="preserve"> </w:t>
      </w:r>
      <w:r w:rsidR="00183ACA">
        <w:rPr>
          <w:sz w:val="24"/>
          <w:szCs w:val="24"/>
        </w:rPr>
        <w:t xml:space="preserve">50) </w:t>
      </w:r>
      <w:r w:rsidR="00D2363E">
        <w:rPr>
          <w:sz w:val="24"/>
          <w:szCs w:val="24"/>
        </w:rPr>
        <w:t xml:space="preserve">and </w:t>
      </w:r>
      <w:r w:rsidR="00183ACA">
        <w:rPr>
          <w:sz w:val="24"/>
          <w:lang w:eastAsia="ja-JP"/>
        </w:rPr>
        <w:t xml:space="preserve">that </w:t>
      </w:r>
      <w:r w:rsidR="00D2363E">
        <w:rPr>
          <w:sz w:val="24"/>
          <w:lang w:eastAsia="ja-JP"/>
        </w:rPr>
        <w:t xml:space="preserve">they </w:t>
      </w:r>
      <w:r w:rsidR="0080141E">
        <w:rPr>
          <w:sz w:val="24"/>
          <w:lang w:eastAsia="ja-JP"/>
        </w:rPr>
        <w:t>form the expect</w:t>
      </w:r>
      <w:r w:rsidR="0080141E">
        <w:rPr>
          <w:sz w:val="24"/>
          <w:lang w:eastAsia="ja-JP"/>
        </w:rPr>
        <w:t>a</w:t>
      </w:r>
      <w:r w:rsidR="0080141E">
        <w:rPr>
          <w:sz w:val="24"/>
          <w:lang w:eastAsia="ja-JP"/>
        </w:rPr>
        <w:t xml:space="preserve">tion, </w:t>
      </w:r>
      <w:r w:rsidR="00183ACA" w:rsidRPr="00183ACA">
        <w:rPr>
          <w:rFonts w:hint="eastAsia"/>
          <w:i/>
          <w:sz w:val="24"/>
          <w:szCs w:val="24"/>
        </w:rPr>
        <w:t>E</w:t>
      </w:r>
      <w:r w:rsidR="00183ACA" w:rsidRPr="00183ACA">
        <w:rPr>
          <w:i/>
          <w:sz w:val="24"/>
          <w:szCs w:val="24"/>
          <w:vertAlign w:val="subscript"/>
        </w:rPr>
        <w:t xml:space="preserve">3 </w:t>
      </w:r>
      <w:r w:rsidR="00183ACA" w:rsidRPr="00183ACA">
        <w:rPr>
          <w:rFonts w:hint="eastAsia"/>
          <w:sz w:val="24"/>
          <w:szCs w:val="24"/>
        </w:rPr>
        <w:t>(</w:t>
      </w:r>
      <w:r w:rsidR="00183ACA" w:rsidRPr="00183ACA">
        <w:rPr>
          <w:rFonts w:hint="eastAsia"/>
          <w:i/>
          <w:sz w:val="24"/>
          <w:szCs w:val="24"/>
        </w:rPr>
        <w:t>P</w:t>
      </w:r>
      <w:r w:rsidR="00183ACA" w:rsidRPr="00183ACA">
        <w:rPr>
          <w:i/>
          <w:sz w:val="24"/>
          <w:szCs w:val="24"/>
          <w:vertAlign w:val="subscript"/>
        </w:rPr>
        <w:t>4</w:t>
      </w:r>
      <w:r w:rsidR="00183ACA" w:rsidRPr="00183ACA">
        <w:rPr>
          <w:rFonts w:hint="eastAsia"/>
          <w:sz w:val="24"/>
          <w:szCs w:val="24"/>
        </w:rPr>
        <w:t>)</w:t>
      </w:r>
      <w:r w:rsidR="00183ACA">
        <w:rPr>
          <w:sz w:val="24"/>
          <w:szCs w:val="24"/>
        </w:rPr>
        <w:t xml:space="preserve"> &gt;</w:t>
      </w:r>
      <w:r w:rsidR="00C86AE7">
        <w:rPr>
          <w:sz w:val="24"/>
          <w:szCs w:val="24"/>
        </w:rPr>
        <w:t xml:space="preserve"> </w:t>
      </w:r>
      <w:r w:rsidR="00183ACA">
        <w:rPr>
          <w:sz w:val="24"/>
          <w:szCs w:val="24"/>
        </w:rPr>
        <w:t xml:space="preserve">50. </w:t>
      </w:r>
      <w:r w:rsidR="00244AB9">
        <w:rPr>
          <w:sz w:val="24"/>
          <w:szCs w:val="24"/>
        </w:rPr>
        <w:t xml:space="preserve">In </w:t>
      </w:r>
      <w:r w:rsidR="00596234">
        <w:rPr>
          <w:sz w:val="24"/>
          <w:szCs w:val="24"/>
        </w:rPr>
        <w:t xml:space="preserve">high-liquidity </w:t>
      </w:r>
      <w:r w:rsidR="00FB6B6D">
        <w:rPr>
          <w:sz w:val="24"/>
          <w:szCs w:val="24"/>
        </w:rPr>
        <w:t>markets</w:t>
      </w:r>
      <w:r w:rsidR="00183ACA">
        <w:rPr>
          <w:sz w:val="24"/>
          <w:szCs w:val="24"/>
        </w:rPr>
        <w:t xml:space="preserve">, this expectation would </w:t>
      </w:r>
      <w:r w:rsidR="00FB6B6D">
        <w:rPr>
          <w:sz w:val="24"/>
          <w:szCs w:val="24"/>
        </w:rPr>
        <w:t>cause</w:t>
      </w:r>
      <w:r w:rsidR="00183ACA">
        <w:rPr>
          <w:sz w:val="24"/>
          <w:szCs w:val="24"/>
        </w:rPr>
        <w:t xml:space="preserve"> </w:t>
      </w:r>
      <w:r w:rsidR="00183ACA" w:rsidRPr="00183ACA">
        <w:rPr>
          <w:rFonts w:hint="eastAsia"/>
          <w:i/>
          <w:sz w:val="24"/>
          <w:szCs w:val="24"/>
        </w:rPr>
        <w:t>P</w:t>
      </w:r>
      <w:r w:rsidR="00183ACA">
        <w:rPr>
          <w:i/>
          <w:sz w:val="24"/>
          <w:szCs w:val="24"/>
          <w:vertAlign w:val="subscript"/>
        </w:rPr>
        <w:t>3</w:t>
      </w:r>
      <w:r w:rsidR="00745B22" w:rsidRPr="00FB6B6D">
        <w:rPr>
          <w:i/>
          <w:sz w:val="24"/>
          <w:szCs w:val="24"/>
        </w:rPr>
        <w:t xml:space="preserve"> </w:t>
      </w:r>
      <w:r w:rsidR="00745B22">
        <w:rPr>
          <w:sz w:val="24"/>
          <w:szCs w:val="24"/>
        </w:rPr>
        <w:t>to</w:t>
      </w:r>
      <w:r w:rsidR="00FB6B6D">
        <w:rPr>
          <w:sz w:val="24"/>
          <w:szCs w:val="24"/>
        </w:rPr>
        <w:t xml:space="preserve"> be</w:t>
      </w:r>
      <w:r w:rsidR="00745B22">
        <w:rPr>
          <w:sz w:val="24"/>
          <w:szCs w:val="24"/>
        </w:rPr>
        <w:t xml:space="preserve"> </w:t>
      </w:r>
      <w:r w:rsidR="00244AB9">
        <w:rPr>
          <w:sz w:val="24"/>
          <w:szCs w:val="24"/>
        </w:rPr>
        <w:t xml:space="preserve">rise </w:t>
      </w:r>
      <w:r w:rsidR="00416783">
        <w:rPr>
          <w:sz w:val="24"/>
          <w:szCs w:val="24"/>
        </w:rPr>
        <w:t>above</w:t>
      </w:r>
      <w:r w:rsidR="00745B22">
        <w:rPr>
          <w:sz w:val="24"/>
          <w:szCs w:val="24"/>
        </w:rPr>
        <w:t xml:space="preserve"> 50</w:t>
      </w:r>
      <w:r w:rsidR="00D2363E">
        <w:rPr>
          <w:sz w:val="24"/>
          <w:szCs w:val="24"/>
        </w:rPr>
        <w:t xml:space="preserve"> in Market 3</w:t>
      </w:r>
      <w:r w:rsidR="00745B22">
        <w:rPr>
          <w:sz w:val="24"/>
          <w:szCs w:val="24"/>
        </w:rPr>
        <w:t xml:space="preserve">. </w:t>
      </w:r>
      <w:r w:rsidR="00DC4579">
        <w:rPr>
          <w:sz w:val="24"/>
          <w:szCs w:val="24"/>
        </w:rPr>
        <w:t xml:space="preserve">Anticipating this, </w:t>
      </w:r>
      <w:r w:rsidR="00FB6B6D">
        <w:rPr>
          <w:sz w:val="24"/>
          <w:szCs w:val="24"/>
        </w:rPr>
        <w:t xml:space="preserve">traders of </w:t>
      </w:r>
      <w:r w:rsidR="00745B22">
        <w:rPr>
          <w:sz w:val="24"/>
          <w:szCs w:val="24"/>
        </w:rPr>
        <w:t xml:space="preserve">G2 </w:t>
      </w:r>
      <w:r w:rsidR="00D2363E">
        <w:rPr>
          <w:sz w:val="24"/>
          <w:szCs w:val="24"/>
        </w:rPr>
        <w:t xml:space="preserve">buy the security at </w:t>
      </w:r>
      <w:r w:rsidR="00745B22" w:rsidRPr="00183ACA">
        <w:rPr>
          <w:rFonts w:hint="eastAsia"/>
          <w:i/>
          <w:sz w:val="24"/>
          <w:szCs w:val="24"/>
        </w:rPr>
        <w:t>P</w:t>
      </w:r>
      <w:r w:rsidR="00745B22">
        <w:rPr>
          <w:i/>
          <w:sz w:val="24"/>
          <w:szCs w:val="24"/>
          <w:vertAlign w:val="subscript"/>
        </w:rPr>
        <w:t>2</w:t>
      </w:r>
      <w:r w:rsidR="00745B22">
        <w:rPr>
          <w:sz w:val="24"/>
          <w:szCs w:val="24"/>
        </w:rPr>
        <w:t xml:space="preserve"> &gt;</w:t>
      </w:r>
      <w:r w:rsidR="00416783">
        <w:rPr>
          <w:sz w:val="24"/>
          <w:szCs w:val="24"/>
        </w:rPr>
        <w:t xml:space="preserve"> </w:t>
      </w:r>
      <w:r w:rsidR="00745B22">
        <w:rPr>
          <w:sz w:val="24"/>
          <w:szCs w:val="24"/>
        </w:rPr>
        <w:t>50</w:t>
      </w:r>
      <w:r w:rsidR="00D2363E">
        <w:rPr>
          <w:sz w:val="24"/>
          <w:szCs w:val="24"/>
        </w:rPr>
        <w:t xml:space="preserve"> in Market 2</w:t>
      </w:r>
      <w:r w:rsidR="00596234">
        <w:rPr>
          <w:sz w:val="24"/>
          <w:szCs w:val="24"/>
        </w:rPr>
        <w:t xml:space="preserve"> by backward induction</w:t>
      </w:r>
      <w:r w:rsidR="00745B22">
        <w:rPr>
          <w:sz w:val="24"/>
          <w:szCs w:val="24"/>
        </w:rPr>
        <w:t>. Further</w:t>
      </w:r>
      <w:r w:rsidR="00D2363E">
        <w:rPr>
          <w:sz w:val="24"/>
          <w:szCs w:val="24"/>
        </w:rPr>
        <w:t>,</w:t>
      </w:r>
      <w:r w:rsidR="00745B22">
        <w:rPr>
          <w:sz w:val="24"/>
          <w:szCs w:val="24"/>
        </w:rPr>
        <w:t xml:space="preserve"> if </w:t>
      </w:r>
      <w:r w:rsidR="00FB6B6D">
        <w:rPr>
          <w:sz w:val="24"/>
          <w:szCs w:val="24"/>
        </w:rPr>
        <w:t xml:space="preserve">traders of </w:t>
      </w:r>
      <w:r w:rsidR="00745B22">
        <w:rPr>
          <w:sz w:val="24"/>
          <w:szCs w:val="24"/>
        </w:rPr>
        <w:t>G1 ex</w:t>
      </w:r>
      <w:r w:rsidR="00FB6B6D">
        <w:rPr>
          <w:sz w:val="24"/>
          <w:szCs w:val="24"/>
        </w:rPr>
        <w:t>pect these price realizations</w:t>
      </w:r>
      <w:r w:rsidR="00745B22">
        <w:rPr>
          <w:sz w:val="24"/>
          <w:szCs w:val="24"/>
        </w:rPr>
        <w:t>, we would o</w:t>
      </w:r>
      <w:r w:rsidR="00745B22">
        <w:rPr>
          <w:sz w:val="24"/>
          <w:szCs w:val="24"/>
        </w:rPr>
        <w:t>b</w:t>
      </w:r>
      <w:r w:rsidR="00745B22">
        <w:rPr>
          <w:sz w:val="24"/>
          <w:szCs w:val="24"/>
        </w:rPr>
        <w:t xml:space="preserve">serve </w:t>
      </w:r>
      <w:r w:rsidR="00745B22" w:rsidRPr="00183ACA">
        <w:rPr>
          <w:rFonts w:hint="eastAsia"/>
          <w:i/>
          <w:sz w:val="24"/>
          <w:szCs w:val="24"/>
        </w:rPr>
        <w:t>P</w:t>
      </w:r>
      <w:r w:rsidR="00745B22">
        <w:rPr>
          <w:i/>
          <w:sz w:val="24"/>
          <w:szCs w:val="24"/>
          <w:vertAlign w:val="subscript"/>
        </w:rPr>
        <w:t>1</w:t>
      </w:r>
      <w:r w:rsidR="00745B22">
        <w:rPr>
          <w:sz w:val="24"/>
          <w:szCs w:val="24"/>
        </w:rPr>
        <w:t xml:space="preserve"> &gt;</w:t>
      </w:r>
      <w:r w:rsidR="00416783">
        <w:rPr>
          <w:sz w:val="24"/>
          <w:szCs w:val="24"/>
        </w:rPr>
        <w:t xml:space="preserve"> </w:t>
      </w:r>
      <w:r w:rsidR="00745B22">
        <w:rPr>
          <w:sz w:val="24"/>
          <w:szCs w:val="24"/>
        </w:rPr>
        <w:t xml:space="preserve">50 </w:t>
      </w:r>
      <w:r w:rsidR="00D2363E">
        <w:rPr>
          <w:sz w:val="24"/>
          <w:szCs w:val="24"/>
        </w:rPr>
        <w:t xml:space="preserve">in Market 1 </w:t>
      </w:r>
      <w:r w:rsidR="00745B22">
        <w:rPr>
          <w:sz w:val="24"/>
          <w:szCs w:val="24"/>
        </w:rPr>
        <w:t>as well.</w:t>
      </w:r>
    </w:p>
    <w:p w14:paraId="602AF010" w14:textId="04EA2ABD" w:rsidR="00D83F1E" w:rsidRDefault="00745B22" w:rsidP="006D26A1">
      <w:pPr>
        <w:spacing w:line="480" w:lineRule="auto"/>
        <w:ind w:firstLine="720"/>
        <w:jc w:val="both"/>
        <w:rPr>
          <w:sz w:val="24"/>
          <w:szCs w:val="24"/>
          <w:lang w:eastAsia="ja-JP"/>
        </w:rPr>
      </w:pPr>
      <w:r>
        <w:rPr>
          <w:rFonts w:hint="eastAsia"/>
          <w:sz w:val="24"/>
          <w:szCs w:val="24"/>
          <w:lang w:eastAsia="ja-JP"/>
        </w:rPr>
        <w:t xml:space="preserve">Therefore, considering </w:t>
      </w:r>
      <w:r w:rsidR="00244AB9">
        <w:rPr>
          <w:sz w:val="24"/>
          <w:szCs w:val="24"/>
          <w:lang w:eastAsia="ja-JP"/>
        </w:rPr>
        <w:t xml:space="preserve">the </w:t>
      </w:r>
      <w:r w:rsidR="00244AB9">
        <w:rPr>
          <w:rFonts w:hint="eastAsia"/>
          <w:sz w:val="24"/>
          <w:szCs w:val="24"/>
          <w:lang w:eastAsia="ja-JP"/>
        </w:rPr>
        <w:t xml:space="preserve">two </w:t>
      </w:r>
      <w:r w:rsidR="00C86AE7">
        <w:rPr>
          <w:sz w:val="24"/>
          <w:szCs w:val="24"/>
          <w:lang w:eastAsia="ja-JP"/>
        </w:rPr>
        <w:t xml:space="preserve">abovementioned </w:t>
      </w:r>
      <w:r w:rsidR="00D2363E">
        <w:rPr>
          <w:sz w:val="24"/>
          <w:szCs w:val="24"/>
          <w:lang w:eastAsia="ja-JP"/>
        </w:rPr>
        <w:t xml:space="preserve">restrictive </w:t>
      </w:r>
      <w:r>
        <w:rPr>
          <w:rFonts w:hint="eastAsia"/>
          <w:sz w:val="24"/>
          <w:szCs w:val="24"/>
          <w:lang w:eastAsia="ja-JP"/>
        </w:rPr>
        <w:t xml:space="preserve">assumptions </w:t>
      </w:r>
      <w:r>
        <w:rPr>
          <w:sz w:val="24"/>
          <w:szCs w:val="24"/>
          <w:lang w:eastAsia="ja-JP"/>
        </w:rPr>
        <w:t xml:space="preserve">for REE </w:t>
      </w:r>
      <w:r>
        <w:rPr>
          <w:rFonts w:hint="eastAsia"/>
          <w:sz w:val="24"/>
          <w:szCs w:val="24"/>
          <w:lang w:eastAsia="ja-JP"/>
        </w:rPr>
        <w:t>that may not hold in practice</w:t>
      </w:r>
      <w:r>
        <w:rPr>
          <w:sz w:val="24"/>
          <w:szCs w:val="24"/>
          <w:lang w:eastAsia="ja-JP"/>
        </w:rPr>
        <w:t xml:space="preserve">, it is possible that </w:t>
      </w:r>
      <w:r w:rsidRPr="00183ACA">
        <w:rPr>
          <w:rFonts w:hint="eastAsia"/>
          <w:i/>
          <w:sz w:val="24"/>
          <w:szCs w:val="24"/>
        </w:rPr>
        <w:t>P</w:t>
      </w:r>
      <w:r>
        <w:rPr>
          <w:i/>
          <w:sz w:val="24"/>
          <w:szCs w:val="24"/>
          <w:vertAlign w:val="subscript"/>
        </w:rPr>
        <w:t>1</w:t>
      </w:r>
      <w:r>
        <w:rPr>
          <w:sz w:val="24"/>
          <w:szCs w:val="24"/>
          <w:lang w:eastAsia="ja-JP"/>
        </w:rPr>
        <w:t xml:space="preserve">, </w:t>
      </w:r>
      <w:r w:rsidRPr="00183ACA">
        <w:rPr>
          <w:rFonts w:hint="eastAsia"/>
          <w:i/>
          <w:sz w:val="24"/>
          <w:szCs w:val="24"/>
        </w:rPr>
        <w:t>P</w:t>
      </w:r>
      <w:r>
        <w:rPr>
          <w:i/>
          <w:sz w:val="24"/>
          <w:szCs w:val="24"/>
          <w:vertAlign w:val="subscript"/>
        </w:rPr>
        <w:t>2</w:t>
      </w:r>
      <w:r>
        <w:rPr>
          <w:sz w:val="24"/>
          <w:szCs w:val="24"/>
        </w:rPr>
        <w:t xml:space="preserve"> </w:t>
      </w:r>
      <w:r>
        <w:rPr>
          <w:sz w:val="24"/>
          <w:szCs w:val="24"/>
          <w:lang w:eastAsia="ja-JP"/>
        </w:rPr>
        <w:t xml:space="preserve">and </w:t>
      </w:r>
      <w:r w:rsidRPr="00183ACA">
        <w:rPr>
          <w:rFonts w:hint="eastAsia"/>
          <w:i/>
          <w:sz w:val="24"/>
          <w:szCs w:val="24"/>
        </w:rPr>
        <w:t>P</w:t>
      </w:r>
      <w:r>
        <w:rPr>
          <w:i/>
          <w:sz w:val="24"/>
          <w:szCs w:val="24"/>
          <w:vertAlign w:val="subscript"/>
        </w:rPr>
        <w:t>3</w:t>
      </w:r>
      <w:r>
        <w:rPr>
          <w:sz w:val="24"/>
          <w:szCs w:val="24"/>
        </w:rPr>
        <w:t xml:space="preserve"> </w:t>
      </w:r>
      <w:r w:rsidR="00D83F1E">
        <w:rPr>
          <w:sz w:val="24"/>
          <w:szCs w:val="24"/>
        </w:rPr>
        <w:t xml:space="preserve">may not </w:t>
      </w:r>
      <w:r w:rsidR="00AA43AA">
        <w:rPr>
          <w:sz w:val="24"/>
          <w:szCs w:val="24"/>
        </w:rPr>
        <w:t>be in line with</w:t>
      </w:r>
      <w:r w:rsidR="00D83F1E">
        <w:rPr>
          <w:sz w:val="24"/>
          <w:szCs w:val="24"/>
        </w:rPr>
        <w:t xml:space="preserve"> REE</w:t>
      </w:r>
      <w:r w:rsidR="00AA43AA">
        <w:rPr>
          <w:sz w:val="24"/>
          <w:szCs w:val="24"/>
        </w:rPr>
        <w:t xml:space="preserve"> predi</w:t>
      </w:r>
      <w:r w:rsidR="00AA43AA">
        <w:rPr>
          <w:sz w:val="24"/>
          <w:szCs w:val="24"/>
        </w:rPr>
        <w:t>c</w:t>
      </w:r>
      <w:r w:rsidR="00AA43AA">
        <w:rPr>
          <w:sz w:val="24"/>
          <w:szCs w:val="24"/>
        </w:rPr>
        <w:t>tions</w:t>
      </w:r>
      <w:r w:rsidR="00D83F1E">
        <w:rPr>
          <w:sz w:val="24"/>
          <w:szCs w:val="24"/>
        </w:rPr>
        <w:t xml:space="preserve"> (50) and get unhinged from the fundamental value</w:t>
      </w:r>
      <w:r w:rsidR="00D2363E">
        <w:rPr>
          <w:sz w:val="24"/>
          <w:szCs w:val="24"/>
        </w:rPr>
        <w:t xml:space="preserve"> in T4</w:t>
      </w:r>
      <w:r w:rsidR="00D83F1E">
        <w:rPr>
          <w:sz w:val="24"/>
          <w:szCs w:val="24"/>
        </w:rPr>
        <w:t xml:space="preserve">. This </w:t>
      </w:r>
      <w:r w:rsidR="00AA43AA">
        <w:rPr>
          <w:sz w:val="24"/>
          <w:szCs w:val="24"/>
        </w:rPr>
        <w:t>pricing pattern</w:t>
      </w:r>
      <w:r w:rsidR="00D83F1E">
        <w:rPr>
          <w:sz w:val="24"/>
          <w:szCs w:val="24"/>
        </w:rPr>
        <w:t xml:space="preserve"> may also occur in </w:t>
      </w:r>
      <w:r>
        <w:rPr>
          <w:sz w:val="24"/>
          <w:szCs w:val="24"/>
          <w:lang w:eastAsia="ja-JP"/>
        </w:rPr>
        <w:t xml:space="preserve">a market with </w:t>
      </w:r>
      <w:r w:rsidR="00D83F1E">
        <w:rPr>
          <w:sz w:val="24"/>
          <w:szCs w:val="24"/>
          <w:lang w:eastAsia="ja-JP"/>
        </w:rPr>
        <w:t xml:space="preserve">only </w:t>
      </w:r>
      <w:r>
        <w:rPr>
          <w:sz w:val="24"/>
          <w:szCs w:val="24"/>
          <w:lang w:eastAsia="ja-JP"/>
        </w:rPr>
        <w:t>speculating investors</w:t>
      </w:r>
      <w:r w:rsidR="00D83F1E">
        <w:rPr>
          <w:sz w:val="24"/>
          <w:szCs w:val="24"/>
          <w:lang w:eastAsia="ja-JP"/>
        </w:rPr>
        <w:t xml:space="preserve"> in other treatments (periods 1-8 in T2 and period 1-14 in T8).</w:t>
      </w:r>
      <w:r w:rsidR="005732EA">
        <w:rPr>
          <w:sz w:val="24"/>
          <w:szCs w:val="24"/>
          <w:lang w:eastAsia="ja-JP"/>
        </w:rPr>
        <w:t xml:space="preserve"> </w:t>
      </w:r>
      <w:r w:rsidR="00244AB9">
        <w:rPr>
          <w:sz w:val="24"/>
          <w:szCs w:val="24"/>
          <w:lang w:eastAsia="ja-JP"/>
        </w:rPr>
        <w:t>Moreover, t</w:t>
      </w:r>
      <w:r w:rsidR="005732EA">
        <w:rPr>
          <w:rFonts w:hint="eastAsia"/>
          <w:sz w:val="24"/>
          <w:lang w:eastAsia="ja-JP"/>
        </w:rPr>
        <w:t>h</w:t>
      </w:r>
      <w:r w:rsidR="005732EA">
        <w:rPr>
          <w:sz w:val="24"/>
          <w:lang w:eastAsia="ja-JP"/>
        </w:rPr>
        <w:t>is</w:t>
      </w:r>
      <w:r w:rsidR="005732EA">
        <w:rPr>
          <w:rFonts w:hint="eastAsia"/>
          <w:sz w:val="24"/>
          <w:lang w:eastAsia="ja-JP"/>
        </w:rPr>
        <w:t xml:space="preserve"> argument opens the possibility that </w:t>
      </w:r>
      <w:r w:rsidR="00106BC6">
        <w:rPr>
          <w:sz w:val="24"/>
          <w:lang w:eastAsia="ja-JP"/>
        </w:rPr>
        <w:t>price formation is di</w:t>
      </w:r>
      <w:r w:rsidR="00106BC6">
        <w:rPr>
          <w:sz w:val="24"/>
          <w:lang w:eastAsia="ja-JP"/>
        </w:rPr>
        <w:t>f</w:t>
      </w:r>
      <w:r w:rsidR="00106BC6">
        <w:rPr>
          <w:sz w:val="24"/>
          <w:lang w:eastAsia="ja-JP"/>
        </w:rPr>
        <w:t>ferent between markets with only speculating investors and markets with dividend-collecting investors</w:t>
      </w:r>
      <w:r w:rsidR="005732EA">
        <w:rPr>
          <w:rFonts w:hint="eastAsia"/>
          <w:sz w:val="24"/>
          <w:lang w:eastAsia="ja-JP"/>
        </w:rPr>
        <w:t>.</w:t>
      </w:r>
    </w:p>
    <w:p w14:paraId="7B3D25E6" w14:textId="77777777" w:rsidR="006D26A1" w:rsidRDefault="006D26A1" w:rsidP="006D26A1">
      <w:pPr>
        <w:spacing w:line="480" w:lineRule="auto"/>
        <w:ind w:firstLine="720"/>
        <w:jc w:val="both"/>
        <w:rPr>
          <w:sz w:val="24"/>
          <w:szCs w:val="24"/>
          <w:lang w:eastAsia="ja-JP"/>
        </w:rPr>
      </w:pPr>
    </w:p>
    <w:p w14:paraId="5A5F252E" w14:textId="05B4803C" w:rsidR="006D26A1" w:rsidRPr="006D26A1" w:rsidRDefault="00962E63" w:rsidP="006D26A1">
      <w:pPr>
        <w:pStyle w:val="berschrift7"/>
        <w:spacing w:afterLines="0"/>
        <w:rPr>
          <w:b w:val="0"/>
        </w:rPr>
      </w:pPr>
      <w:r>
        <w:rPr>
          <w:b w:val="0"/>
        </w:rPr>
        <w:lastRenderedPageBreak/>
        <w:t>3.4</w:t>
      </w:r>
      <w:r w:rsidR="006D26A1" w:rsidRPr="006D26A1">
        <w:rPr>
          <w:b w:val="0"/>
        </w:rPr>
        <w:t xml:space="preserve"> Hypotheses</w:t>
      </w:r>
    </w:p>
    <w:p w14:paraId="0F224D4D" w14:textId="1ED804A5" w:rsidR="006D26A1" w:rsidRDefault="006D26A1" w:rsidP="006D26A1">
      <w:pPr>
        <w:spacing w:line="480" w:lineRule="auto"/>
        <w:ind w:firstLine="720"/>
        <w:jc w:val="both"/>
        <w:rPr>
          <w:sz w:val="24"/>
          <w:lang w:eastAsia="ja-JP"/>
        </w:rPr>
      </w:pPr>
      <w:r>
        <w:rPr>
          <w:sz w:val="24"/>
          <w:lang w:eastAsia="ja-JP"/>
        </w:rPr>
        <w:t xml:space="preserve">As discussed in </w:t>
      </w:r>
      <w:r w:rsidR="00B56A7F">
        <w:rPr>
          <w:sz w:val="24"/>
          <w:lang w:eastAsia="ja-JP"/>
        </w:rPr>
        <w:t>S</w:t>
      </w:r>
      <w:r>
        <w:rPr>
          <w:sz w:val="24"/>
          <w:lang w:eastAsia="ja-JP"/>
        </w:rPr>
        <w:t>ection</w:t>
      </w:r>
      <w:r w:rsidR="00962E63">
        <w:rPr>
          <w:sz w:val="24"/>
          <w:lang w:eastAsia="ja-JP"/>
        </w:rPr>
        <w:t>s</w:t>
      </w:r>
      <w:r>
        <w:rPr>
          <w:sz w:val="24"/>
          <w:lang w:eastAsia="ja-JP"/>
        </w:rPr>
        <w:t xml:space="preserve"> 3.</w:t>
      </w:r>
      <w:r w:rsidR="00962E63">
        <w:rPr>
          <w:sz w:val="24"/>
          <w:lang w:eastAsia="ja-JP"/>
        </w:rPr>
        <w:t>1 and 3.2</w:t>
      </w:r>
      <w:r>
        <w:rPr>
          <w:sz w:val="24"/>
          <w:lang w:eastAsia="ja-JP"/>
        </w:rPr>
        <w:t xml:space="preserve">, in </w:t>
      </w:r>
      <w:r>
        <w:rPr>
          <w:rFonts w:hint="eastAsia"/>
          <w:sz w:val="24"/>
          <w:lang w:eastAsia="ja-JP"/>
        </w:rPr>
        <w:t>standard security pricing models the nature of investors (dividend</w:t>
      </w:r>
      <w:r>
        <w:rPr>
          <w:sz w:val="24"/>
          <w:lang w:eastAsia="ja-JP"/>
        </w:rPr>
        <w:t>-</w:t>
      </w:r>
      <w:r>
        <w:rPr>
          <w:rFonts w:hint="eastAsia"/>
          <w:sz w:val="24"/>
          <w:lang w:eastAsia="ja-JP"/>
        </w:rPr>
        <w:t xml:space="preserve">collecting vs. speculating) does not affect the </w:t>
      </w:r>
      <w:r>
        <w:rPr>
          <w:sz w:val="24"/>
          <w:lang w:eastAsia="ja-JP"/>
        </w:rPr>
        <w:t>formation</w:t>
      </w:r>
      <w:r>
        <w:rPr>
          <w:rFonts w:hint="eastAsia"/>
          <w:sz w:val="24"/>
          <w:lang w:eastAsia="ja-JP"/>
        </w:rPr>
        <w:t xml:space="preserve"> of security prices. </w:t>
      </w:r>
      <w:r>
        <w:rPr>
          <w:sz w:val="24"/>
          <w:lang w:eastAsia="ja-JP"/>
        </w:rPr>
        <w:t>I</w:t>
      </w:r>
      <w:r>
        <w:rPr>
          <w:rFonts w:hint="eastAsia"/>
          <w:sz w:val="24"/>
          <w:lang w:eastAsia="ja-JP"/>
        </w:rPr>
        <w:t xml:space="preserve">n a market </w:t>
      </w:r>
      <w:r>
        <w:rPr>
          <w:sz w:val="24"/>
          <w:lang w:eastAsia="ja-JP"/>
        </w:rPr>
        <w:t>with</w:t>
      </w:r>
      <w:r>
        <w:rPr>
          <w:rFonts w:hint="eastAsia"/>
          <w:sz w:val="24"/>
          <w:lang w:eastAsia="ja-JP"/>
        </w:rPr>
        <w:t xml:space="preserve"> dividend</w:t>
      </w:r>
      <w:r>
        <w:rPr>
          <w:sz w:val="24"/>
          <w:lang w:eastAsia="ja-JP"/>
        </w:rPr>
        <w:t>-</w:t>
      </w:r>
      <w:r>
        <w:rPr>
          <w:rFonts w:hint="eastAsia"/>
          <w:sz w:val="24"/>
          <w:lang w:eastAsia="ja-JP"/>
        </w:rPr>
        <w:t xml:space="preserve">collecting investors, arbitrage </w:t>
      </w:r>
      <w:r w:rsidR="0080081E">
        <w:rPr>
          <w:sz w:val="24"/>
          <w:lang w:eastAsia="ja-JP"/>
        </w:rPr>
        <w:t xml:space="preserve">and competition </w:t>
      </w:r>
      <w:r>
        <w:rPr>
          <w:sz w:val="24"/>
          <w:lang w:eastAsia="ja-JP"/>
        </w:rPr>
        <w:t>drives</w:t>
      </w:r>
      <w:r>
        <w:rPr>
          <w:rFonts w:hint="eastAsia"/>
          <w:sz w:val="24"/>
          <w:lang w:eastAsia="ja-JP"/>
        </w:rPr>
        <w:t xml:space="preserve"> prices t</w:t>
      </w:r>
      <w:r>
        <w:rPr>
          <w:rFonts w:hint="eastAsia"/>
          <w:sz w:val="24"/>
          <w:lang w:eastAsia="ja-JP"/>
        </w:rPr>
        <w:t>o</w:t>
      </w:r>
      <w:r>
        <w:rPr>
          <w:sz w:val="24"/>
          <w:lang w:eastAsia="ja-JP"/>
        </w:rPr>
        <w:t>ward</w:t>
      </w:r>
      <w:r w:rsidR="00CB62DE">
        <w:rPr>
          <w:sz w:val="24"/>
          <w:lang w:eastAsia="ja-JP"/>
        </w:rPr>
        <w:t>s</w:t>
      </w:r>
      <w:r>
        <w:rPr>
          <w:rFonts w:hint="eastAsia"/>
          <w:sz w:val="24"/>
          <w:lang w:eastAsia="ja-JP"/>
        </w:rPr>
        <w:t xml:space="preserve"> the </w:t>
      </w:r>
      <w:r w:rsidR="00FD0FDC">
        <w:rPr>
          <w:sz w:val="24"/>
          <w:lang w:eastAsia="ja-JP"/>
        </w:rPr>
        <w:t xml:space="preserve">value of </w:t>
      </w:r>
      <w:r w:rsidR="00CB62DE">
        <w:rPr>
          <w:sz w:val="24"/>
          <w:lang w:eastAsia="ja-JP"/>
        </w:rPr>
        <w:t xml:space="preserve">the </w:t>
      </w:r>
      <w:r w:rsidR="00FD0FDC">
        <w:rPr>
          <w:sz w:val="24"/>
          <w:lang w:eastAsia="ja-JP"/>
        </w:rPr>
        <w:t>terminal dividend (50)</w:t>
      </w:r>
      <w:r>
        <w:rPr>
          <w:rFonts w:hint="eastAsia"/>
          <w:sz w:val="24"/>
          <w:lang w:eastAsia="ja-JP"/>
        </w:rPr>
        <w:t xml:space="preserve">; even in a market </w:t>
      </w:r>
      <w:r>
        <w:rPr>
          <w:sz w:val="24"/>
          <w:lang w:eastAsia="ja-JP"/>
        </w:rPr>
        <w:t>with</w:t>
      </w:r>
      <w:r>
        <w:rPr>
          <w:rFonts w:hint="eastAsia"/>
          <w:sz w:val="24"/>
          <w:lang w:eastAsia="ja-JP"/>
        </w:rPr>
        <w:t xml:space="preserve"> speculating investors </w:t>
      </w:r>
      <w:r>
        <w:rPr>
          <w:sz w:val="24"/>
          <w:lang w:eastAsia="ja-JP"/>
        </w:rPr>
        <w:t xml:space="preserve">their formation of </w:t>
      </w:r>
      <w:r>
        <w:rPr>
          <w:rFonts w:hint="eastAsia"/>
          <w:sz w:val="24"/>
          <w:lang w:eastAsia="ja-JP"/>
        </w:rPr>
        <w:t xml:space="preserve">rational expectations of future prices </w:t>
      </w:r>
      <w:r>
        <w:rPr>
          <w:sz w:val="24"/>
          <w:lang w:eastAsia="ja-JP"/>
        </w:rPr>
        <w:t xml:space="preserve">through backward induction </w:t>
      </w:r>
      <w:r>
        <w:rPr>
          <w:rFonts w:hint="eastAsia"/>
          <w:sz w:val="24"/>
          <w:lang w:eastAsia="ja-JP"/>
        </w:rPr>
        <w:t>and r</w:t>
      </w:r>
      <w:r>
        <w:rPr>
          <w:rFonts w:hint="eastAsia"/>
          <w:sz w:val="24"/>
          <w:lang w:eastAsia="ja-JP"/>
        </w:rPr>
        <w:t>e</w:t>
      </w:r>
      <w:r>
        <w:rPr>
          <w:rFonts w:hint="eastAsia"/>
          <w:sz w:val="24"/>
          <w:lang w:eastAsia="ja-JP"/>
        </w:rPr>
        <w:t xml:space="preserve">sulting REE </w:t>
      </w:r>
      <w:r>
        <w:rPr>
          <w:sz w:val="24"/>
          <w:lang w:eastAsia="ja-JP"/>
        </w:rPr>
        <w:t xml:space="preserve">keeps </w:t>
      </w:r>
      <w:r>
        <w:rPr>
          <w:rFonts w:hint="eastAsia"/>
          <w:sz w:val="24"/>
          <w:lang w:eastAsia="ja-JP"/>
        </w:rPr>
        <w:t xml:space="preserve">prices equal to </w:t>
      </w:r>
      <w:r w:rsidR="00FD0FDC">
        <w:rPr>
          <w:sz w:val="24"/>
          <w:lang w:eastAsia="ja-JP"/>
        </w:rPr>
        <w:t>50 as well.</w:t>
      </w:r>
    </w:p>
    <w:p w14:paraId="31FC328E" w14:textId="3A6FD922" w:rsidR="006D26A1" w:rsidRDefault="0037305B" w:rsidP="006D26A1">
      <w:pPr>
        <w:spacing w:after="120" w:line="480" w:lineRule="auto"/>
        <w:ind w:right="-45" w:firstLine="709"/>
        <w:jc w:val="both"/>
        <w:rPr>
          <w:sz w:val="24"/>
          <w:lang w:eastAsia="ja-JP"/>
        </w:rPr>
      </w:pPr>
      <w:r>
        <w:rPr>
          <w:sz w:val="24"/>
          <w:lang w:eastAsia="ja-JP"/>
        </w:rPr>
        <w:t>I</w:t>
      </w:r>
      <w:r w:rsidR="006D26A1">
        <w:rPr>
          <w:rFonts w:hint="eastAsia"/>
          <w:sz w:val="24"/>
          <w:lang w:eastAsia="ja-JP"/>
        </w:rPr>
        <w:t xml:space="preserve">n </w:t>
      </w:r>
      <w:r w:rsidR="0080081E">
        <w:rPr>
          <w:sz w:val="24"/>
          <w:lang w:eastAsia="ja-JP"/>
        </w:rPr>
        <w:t xml:space="preserve">past </w:t>
      </w:r>
      <w:r w:rsidR="00423C5A">
        <w:rPr>
          <w:sz w:val="24"/>
          <w:lang w:eastAsia="ja-JP"/>
        </w:rPr>
        <w:t xml:space="preserve">security market </w:t>
      </w:r>
      <w:r w:rsidR="006D26A1">
        <w:rPr>
          <w:rFonts w:hint="eastAsia"/>
          <w:sz w:val="24"/>
          <w:lang w:eastAsia="ja-JP"/>
        </w:rPr>
        <w:t>experiment</w:t>
      </w:r>
      <w:r w:rsidR="006D26A1">
        <w:rPr>
          <w:sz w:val="24"/>
          <w:lang w:eastAsia="ja-JP"/>
        </w:rPr>
        <w:t>s</w:t>
      </w:r>
      <w:r w:rsidR="00DC4579">
        <w:rPr>
          <w:sz w:val="24"/>
          <w:lang w:eastAsia="ja-JP"/>
        </w:rPr>
        <w:t>,</w:t>
      </w:r>
      <w:r w:rsidR="006D26A1">
        <w:rPr>
          <w:rFonts w:hint="eastAsia"/>
          <w:sz w:val="24"/>
          <w:lang w:eastAsia="ja-JP"/>
        </w:rPr>
        <w:t xml:space="preserve"> </w:t>
      </w:r>
      <w:r w:rsidR="0080081E">
        <w:rPr>
          <w:sz w:val="24"/>
          <w:lang w:eastAsia="ja-JP"/>
        </w:rPr>
        <w:t xml:space="preserve">precise correspondence between transaction </w:t>
      </w:r>
      <w:r w:rsidR="006D26A1">
        <w:rPr>
          <w:rFonts w:hint="eastAsia"/>
          <w:sz w:val="24"/>
          <w:lang w:eastAsia="ja-JP"/>
        </w:rPr>
        <w:t>pri</w:t>
      </w:r>
      <w:r w:rsidR="006D26A1">
        <w:rPr>
          <w:rFonts w:hint="eastAsia"/>
          <w:sz w:val="24"/>
          <w:lang w:eastAsia="ja-JP"/>
        </w:rPr>
        <w:t>c</w:t>
      </w:r>
      <w:r w:rsidR="006D26A1">
        <w:rPr>
          <w:rFonts w:hint="eastAsia"/>
          <w:sz w:val="24"/>
          <w:lang w:eastAsia="ja-JP"/>
        </w:rPr>
        <w:t xml:space="preserve">es </w:t>
      </w:r>
      <w:r w:rsidR="0080081E">
        <w:rPr>
          <w:sz w:val="24"/>
          <w:lang w:eastAsia="ja-JP"/>
        </w:rPr>
        <w:t xml:space="preserve">and </w:t>
      </w:r>
      <w:r w:rsidR="006D26A1">
        <w:rPr>
          <w:rFonts w:hint="eastAsia"/>
          <w:sz w:val="24"/>
          <w:lang w:eastAsia="ja-JP"/>
        </w:rPr>
        <w:t>fundamental values</w:t>
      </w:r>
      <w:r w:rsidR="0080081E">
        <w:rPr>
          <w:sz w:val="24"/>
          <w:lang w:eastAsia="ja-JP"/>
        </w:rPr>
        <w:t xml:space="preserve"> is rare</w:t>
      </w:r>
      <w:r w:rsidR="00962E63">
        <w:rPr>
          <w:sz w:val="24"/>
          <w:lang w:eastAsia="ja-JP"/>
        </w:rPr>
        <w:t>.</w:t>
      </w:r>
      <w:r w:rsidR="006D26A1">
        <w:rPr>
          <w:rStyle w:val="Funotenzeichen"/>
          <w:sz w:val="24"/>
          <w:lang w:eastAsia="ja-JP"/>
        </w:rPr>
        <w:footnoteReference w:id="25"/>
      </w:r>
      <w:r w:rsidR="006D26A1">
        <w:rPr>
          <w:rFonts w:hint="eastAsia"/>
          <w:sz w:val="24"/>
          <w:lang w:eastAsia="ja-JP"/>
        </w:rPr>
        <w:t xml:space="preserve"> </w:t>
      </w:r>
      <w:r w:rsidR="00962E63">
        <w:rPr>
          <w:sz w:val="24"/>
          <w:lang w:eastAsia="ja-JP"/>
        </w:rPr>
        <w:t xml:space="preserve">The observed </w:t>
      </w:r>
      <w:r w:rsidR="006D26A1">
        <w:rPr>
          <w:sz w:val="24"/>
          <w:lang w:eastAsia="ja-JP"/>
        </w:rPr>
        <w:t xml:space="preserve">deviations are often attributed </w:t>
      </w:r>
      <w:r w:rsidR="006D26A1">
        <w:rPr>
          <w:rFonts w:hint="eastAsia"/>
          <w:sz w:val="24"/>
          <w:lang w:eastAsia="ja-JP"/>
        </w:rPr>
        <w:t>to noise tra</w:t>
      </w:r>
      <w:r w:rsidR="006D26A1">
        <w:rPr>
          <w:rFonts w:hint="eastAsia"/>
          <w:sz w:val="24"/>
          <w:lang w:eastAsia="ja-JP"/>
        </w:rPr>
        <w:t>d</w:t>
      </w:r>
      <w:r w:rsidR="006D26A1">
        <w:rPr>
          <w:rFonts w:hint="eastAsia"/>
          <w:sz w:val="24"/>
          <w:lang w:eastAsia="ja-JP"/>
        </w:rPr>
        <w:t xml:space="preserve">ing </w:t>
      </w:r>
      <w:r w:rsidR="006D26A1">
        <w:rPr>
          <w:sz w:val="24"/>
          <w:lang w:eastAsia="ja-JP"/>
        </w:rPr>
        <w:t xml:space="preserve">arising </w:t>
      </w:r>
      <w:r w:rsidR="006D26A1">
        <w:rPr>
          <w:rFonts w:hint="eastAsia"/>
          <w:sz w:val="24"/>
          <w:lang w:eastAsia="ja-JP"/>
        </w:rPr>
        <w:t>from subjects</w:t>
      </w:r>
      <w:r w:rsidR="006D26A1">
        <w:rPr>
          <w:sz w:val="24"/>
          <w:lang w:eastAsia="ja-JP"/>
        </w:rPr>
        <w:t>’</w:t>
      </w:r>
      <w:r w:rsidR="006D26A1">
        <w:rPr>
          <w:rFonts w:hint="eastAsia"/>
          <w:sz w:val="24"/>
          <w:lang w:eastAsia="ja-JP"/>
        </w:rPr>
        <w:t xml:space="preserve"> </w:t>
      </w:r>
      <w:r w:rsidR="006D26A1">
        <w:rPr>
          <w:sz w:val="24"/>
          <w:lang w:eastAsia="ja-JP"/>
        </w:rPr>
        <w:t xml:space="preserve">gradual and imperfect learning, </w:t>
      </w:r>
      <w:r w:rsidR="006D26A1">
        <w:rPr>
          <w:rFonts w:hint="eastAsia"/>
          <w:sz w:val="24"/>
          <w:lang w:eastAsia="ja-JP"/>
        </w:rPr>
        <w:t>confusion and irrationality.</w:t>
      </w:r>
      <w:r w:rsidR="006D26A1">
        <w:rPr>
          <w:rStyle w:val="Funotenzeichen"/>
          <w:sz w:val="24"/>
          <w:lang w:eastAsia="ja-JP"/>
        </w:rPr>
        <w:footnoteReference w:id="26"/>
      </w:r>
      <w:r w:rsidR="006D26A1">
        <w:rPr>
          <w:rFonts w:hint="eastAsia"/>
          <w:sz w:val="24"/>
          <w:lang w:eastAsia="ja-JP"/>
        </w:rPr>
        <w:t xml:space="preserve"> </w:t>
      </w:r>
      <w:r w:rsidR="006D26A1">
        <w:rPr>
          <w:sz w:val="24"/>
          <w:lang w:eastAsia="ja-JP"/>
        </w:rPr>
        <w:t xml:space="preserve">We </w:t>
      </w:r>
      <w:r w:rsidR="00423C5A">
        <w:rPr>
          <w:sz w:val="24"/>
          <w:lang w:eastAsia="ja-JP"/>
        </w:rPr>
        <w:t xml:space="preserve">expect some </w:t>
      </w:r>
      <w:r w:rsidR="006D26A1">
        <w:rPr>
          <w:sz w:val="24"/>
          <w:lang w:eastAsia="ja-JP"/>
        </w:rPr>
        <w:t xml:space="preserve">transaction price noise to be </w:t>
      </w:r>
      <w:r w:rsidR="00962E63">
        <w:rPr>
          <w:sz w:val="24"/>
          <w:lang w:eastAsia="ja-JP"/>
        </w:rPr>
        <w:t>present</w:t>
      </w:r>
      <w:r w:rsidR="006D26A1">
        <w:rPr>
          <w:sz w:val="24"/>
          <w:lang w:eastAsia="ja-JP"/>
        </w:rPr>
        <w:t xml:space="preserve"> in our </w:t>
      </w:r>
      <w:r w:rsidR="00423C5A">
        <w:rPr>
          <w:sz w:val="24"/>
          <w:lang w:eastAsia="ja-JP"/>
        </w:rPr>
        <w:t xml:space="preserve">laboratory </w:t>
      </w:r>
      <w:r w:rsidR="006D26A1">
        <w:rPr>
          <w:sz w:val="24"/>
          <w:lang w:eastAsia="ja-JP"/>
        </w:rPr>
        <w:t xml:space="preserve">markets </w:t>
      </w:r>
      <w:r w:rsidR="00423C5A">
        <w:rPr>
          <w:sz w:val="24"/>
          <w:lang w:eastAsia="ja-JP"/>
        </w:rPr>
        <w:t>as well</w:t>
      </w:r>
      <w:r w:rsidR="006D26A1">
        <w:rPr>
          <w:rFonts w:hint="eastAsia"/>
          <w:sz w:val="24"/>
          <w:lang w:eastAsia="ja-JP"/>
        </w:rPr>
        <w:t>.</w:t>
      </w:r>
      <w:r w:rsidR="006D26A1" w:rsidRPr="00855C35">
        <w:rPr>
          <w:sz w:val="24"/>
          <w:lang w:eastAsia="ja-JP"/>
        </w:rPr>
        <w:t xml:space="preserve"> </w:t>
      </w:r>
      <w:r w:rsidR="00DC4579">
        <w:rPr>
          <w:sz w:val="24"/>
          <w:lang w:eastAsia="ja-JP"/>
        </w:rPr>
        <w:t xml:space="preserve">However, we consider that </w:t>
      </w:r>
      <w:r w:rsidR="006D26A1">
        <w:rPr>
          <w:rFonts w:hint="eastAsia"/>
          <w:sz w:val="24"/>
          <w:lang w:eastAsia="ja-JP"/>
        </w:rPr>
        <w:t xml:space="preserve">the </w:t>
      </w:r>
      <w:r w:rsidR="006D26A1">
        <w:rPr>
          <w:sz w:val="24"/>
          <w:lang w:eastAsia="ja-JP"/>
        </w:rPr>
        <w:t>magnitude</w:t>
      </w:r>
      <w:r w:rsidR="006D26A1">
        <w:rPr>
          <w:rFonts w:hint="eastAsia"/>
          <w:sz w:val="24"/>
          <w:lang w:eastAsia="ja-JP"/>
        </w:rPr>
        <w:t xml:space="preserve"> of </w:t>
      </w:r>
      <w:r w:rsidR="00DC4579">
        <w:rPr>
          <w:sz w:val="24"/>
          <w:lang w:eastAsia="ja-JP"/>
        </w:rPr>
        <w:t>price deviation</w:t>
      </w:r>
      <w:r w:rsidR="005E5D83">
        <w:rPr>
          <w:sz w:val="24"/>
          <w:lang w:eastAsia="ja-JP"/>
        </w:rPr>
        <w:t>s</w:t>
      </w:r>
      <w:r w:rsidR="00DC4579">
        <w:rPr>
          <w:sz w:val="24"/>
          <w:lang w:eastAsia="ja-JP"/>
        </w:rPr>
        <w:t xml:space="preserve"> due to </w:t>
      </w:r>
      <w:r w:rsidR="006D26A1">
        <w:rPr>
          <w:rFonts w:hint="eastAsia"/>
          <w:sz w:val="24"/>
          <w:lang w:eastAsia="ja-JP"/>
        </w:rPr>
        <w:t xml:space="preserve">noise trading </w:t>
      </w:r>
      <w:r w:rsidR="006D26A1">
        <w:rPr>
          <w:sz w:val="24"/>
          <w:lang w:eastAsia="ja-JP"/>
        </w:rPr>
        <w:t xml:space="preserve">does not vary much across </w:t>
      </w:r>
      <w:r w:rsidR="006D26A1">
        <w:rPr>
          <w:rFonts w:hint="eastAsia"/>
          <w:sz w:val="24"/>
          <w:lang w:eastAsia="ja-JP"/>
        </w:rPr>
        <w:t>markets</w:t>
      </w:r>
      <w:r w:rsidR="00DC4579">
        <w:rPr>
          <w:sz w:val="24"/>
          <w:lang w:eastAsia="ja-JP"/>
        </w:rPr>
        <w:t>. Therefore</w:t>
      </w:r>
      <w:r w:rsidR="006D26A1">
        <w:rPr>
          <w:rFonts w:hint="eastAsia"/>
          <w:sz w:val="24"/>
          <w:lang w:eastAsia="ja-JP"/>
        </w:rPr>
        <w:t xml:space="preserve">, we </w:t>
      </w:r>
      <w:r w:rsidR="006D26A1">
        <w:rPr>
          <w:sz w:val="24"/>
          <w:lang w:eastAsia="ja-JP"/>
        </w:rPr>
        <w:t xml:space="preserve">pose </w:t>
      </w:r>
      <w:r w:rsidR="006D26A1">
        <w:rPr>
          <w:rFonts w:hint="eastAsia"/>
          <w:sz w:val="24"/>
          <w:lang w:eastAsia="ja-JP"/>
        </w:rPr>
        <w:t xml:space="preserve">the following </w:t>
      </w:r>
      <w:r w:rsidR="006D26A1">
        <w:rPr>
          <w:sz w:val="24"/>
          <w:lang w:eastAsia="ja-JP"/>
        </w:rPr>
        <w:t xml:space="preserve">null </w:t>
      </w:r>
      <w:r w:rsidR="006D26A1">
        <w:rPr>
          <w:rFonts w:hint="eastAsia"/>
          <w:sz w:val="24"/>
          <w:lang w:eastAsia="ja-JP"/>
        </w:rPr>
        <w:t>hypothesis from REE in standard sec</w:t>
      </w:r>
      <w:r w:rsidR="006D26A1">
        <w:rPr>
          <w:rFonts w:hint="eastAsia"/>
          <w:sz w:val="24"/>
          <w:lang w:eastAsia="ja-JP"/>
        </w:rPr>
        <w:t>u</w:t>
      </w:r>
      <w:r w:rsidR="006D26A1">
        <w:rPr>
          <w:rFonts w:hint="eastAsia"/>
          <w:sz w:val="24"/>
          <w:lang w:eastAsia="ja-JP"/>
        </w:rPr>
        <w:t>rity pricing models</w:t>
      </w:r>
      <w:r w:rsidR="006D26A1">
        <w:rPr>
          <w:sz w:val="24"/>
          <w:lang w:eastAsia="ja-JP"/>
        </w:rPr>
        <w:t>:</w:t>
      </w:r>
    </w:p>
    <w:p w14:paraId="332C322D" w14:textId="77777777" w:rsidR="006D26A1" w:rsidRDefault="006D26A1" w:rsidP="007923F0">
      <w:pPr>
        <w:spacing w:afterLines="50" w:after="120" w:line="480" w:lineRule="auto"/>
        <w:ind w:left="1559" w:right="-45" w:hangingChars="647" w:hanging="1559"/>
        <w:jc w:val="both"/>
        <w:rPr>
          <w:i/>
          <w:sz w:val="24"/>
          <w:lang w:eastAsia="ja-JP"/>
        </w:rPr>
      </w:pPr>
      <w:r w:rsidRPr="005C0D20">
        <w:rPr>
          <w:b/>
          <w:i/>
          <w:sz w:val="24"/>
          <w:lang w:eastAsia="ja-JP"/>
        </w:rPr>
        <w:t>H</w:t>
      </w:r>
      <w:r>
        <w:rPr>
          <w:rFonts w:hint="eastAsia"/>
          <w:b/>
          <w:i/>
          <w:sz w:val="24"/>
          <w:lang w:eastAsia="ja-JP"/>
        </w:rPr>
        <w:t xml:space="preserve">ypothesis </w:t>
      </w:r>
      <w:r>
        <w:rPr>
          <w:b/>
          <w:i/>
          <w:sz w:val="24"/>
          <w:lang w:eastAsia="ja-JP"/>
        </w:rPr>
        <w:t>I</w:t>
      </w:r>
      <w:r w:rsidRPr="00224E7A">
        <w:rPr>
          <w:b/>
          <w:i/>
          <w:sz w:val="24"/>
          <w:vertAlign w:val="subscript"/>
          <w:lang w:eastAsia="ja-JP"/>
        </w:rPr>
        <w:t>0</w:t>
      </w:r>
      <w:r w:rsidRPr="007E1129">
        <w:rPr>
          <w:i/>
          <w:sz w:val="24"/>
          <w:lang w:eastAsia="ja-JP"/>
        </w:rPr>
        <w:t>:</w:t>
      </w:r>
      <w:r>
        <w:rPr>
          <w:i/>
          <w:sz w:val="24"/>
          <w:lang w:eastAsia="ja-JP"/>
        </w:rPr>
        <w:t xml:space="preserve"> Deviations of prices from the fundamental value are the same during periods when only </w:t>
      </w:r>
      <w:r>
        <w:rPr>
          <w:rFonts w:hint="eastAsia"/>
          <w:i/>
          <w:sz w:val="24"/>
          <w:lang w:eastAsia="ja-JP"/>
        </w:rPr>
        <w:t xml:space="preserve">speculating </w:t>
      </w:r>
      <w:r>
        <w:rPr>
          <w:i/>
          <w:sz w:val="24"/>
          <w:lang w:eastAsia="ja-JP"/>
        </w:rPr>
        <w:t>investors</w:t>
      </w:r>
      <w:r>
        <w:rPr>
          <w:rFonts w:hint="eastAsia"/>
          <w:i/>
          <w:sz w:val="24"/>
          <w:lang w:eastAsia="ja-JP"/>
        </w:rPr>
        <w:t xml:space="preserve"> </w:t>
      </w:r>
      <w:r>
        <w:rPr>
          <w:i/>
          <w:sz w:val="24"/>
          <w:lang w:eastAsia="ja-JP"/>
        </w:rPr>
        <w:t xml:space="preserve">are present compared to periods when </w:t>
      </w:r>
      <w:r>
        <w:rPr>
          <w:rFonts w:hint="eastAsia"/>
          <w:i/>
          <w:sz w:val="24"/>
          <w:lang w:eastAsia="ja-JP"/>
        </w:rPr>
        <w:t>div</w:t>
      </w:r>
      <w:r>
        <w:rPr>
          <w:rFonts w:hint="eastAsia"/>
          <w:i/>
          <w:sz w:val="24"/>
          <w:lang w:eastAsia="ja-JP"/>
        </w:rPr>
        <w:t>i</w:t>
      </w:r>
      <w:r>
        <w:rPr>
          <w:rFonts w:hint="eastAsia"/>
          <w:i/>
          <w:sz w:val="24"/>
          <w:lang w:eastAsia="ja-JP"/>
        </w:rPr>
        <w:t>dend</w:t>
      </w:r>
      <w:r>
        <w:rPr>
          <w:i/>
          <w:sz w:val="24"/>
          <w:lang w:eastAsia="ja-JP"/>
        </w:rPr>
        <w:t>-</w:t>
      </w:r>
      <w:r>
        <w:rPr>
          <w:rFonts w:hint="eastAsia"/>
          <w:i/>
          <w:sz w:val="24"/>
          <w:lang w:eastAsia="ja-JP"/>
        </w:rPr>
        <w:t xml:space="preserve">collecting </w:t>
      </w:r>
      <w:r>
        <w:rPr>
          <w:i/>
          <w:sz w:val="24"/>
          <w:lang w:eastAsia="ja-JP"/>
        </w:rPr>
        <w:t>investors are also present in the market</w:t>
      </w:r>
      <w:r>
        <w:rPr>
          <w:rFonts w:hint="eastAsia"/>
          <w:i/>
          <w:sz w:val="24"/>
          <w:lang w:eastAsia="ja-JP"/>
        </w:rPr>
        <w:t xml:space="preserve">. </w:t>
      </w:r>
    </w:p>
    <w:p w14:paraId="418DB1DA" w14:textId="58430331" w:rsidR="006D26A1" w:rsidRDefault="006D26A1" w:rsidP="006D26A1">
      <w:pPr>
        <w:spacing w:afterLines="50" w:after="120" w:line="480" w:lineRule="auto"/>
        <w:ind w:right="-45" w:firstLine="709"/>
        <w:jc w:val="both"/>
        <w:rPr>
          <w:sz w:val="24"/>
          <w:lang w:eastAsia="ja-JP"/>
        </w:rPr>
      </w:pPr>
      <w:r>
        <w:rPr>
          <w:sz w:val="24"/>
          <w:lang w:eastAsia="ja-JP"/>
        </w:rPr>
        <w:t xml:space="preserve">In contrast, </w:t>
      </w:r>
      <w:r w:rsidR="00D2363E">
        <w:rPr>
          <w:sz w:val="24"/>
          <w:lang w:eastAsia="ja-JP"/>
        </w:rPr>
        <w:t>in Section 3.</w:t>
      </w:r>
      <w:r w:rsidR="00423C5A">
        <w:rPr>
          <w:sz w:val="24"/>
          <w:lang w:eastAsia="ja-JP"/>
        </w:rPr>
        <w:t>3</w:t>
      </w:r>
      <w:r w:rsidR="00D2363E">
        <w:rPr>
          <w:sz w:val="24"/>
          <w:lang w:eastAsia="ja-JP"/>
        </w:rPr>
        <w:t xml:space="preserve">., </w:t>
      </w:r>
      <w:r>
        <w:rPr>
          <w:sz w:val="24"/>
          <w:lang w:eastAsia="ja-JP"/>
        </w:rPr>
        <w:t>we also consider</w:t>
      </w:r>
      <w:r w:rsidR="00123E66">
        <w:rPr>
          <w:sz w:val="24"/>
          <w:lang w:eastAsia="ja-JP"/>
        </w:rPr>
        <w:t>ed</w:t>
      </w:r>
      <w:r>
        <w:rPr>
          <w:sz w:val="24"/>
          <w:lang w:eastAsia="ja-JP"/>
        </w:rPr>
        <w:t xml:space="preserve"> the possibility that </w:t>
      </w:r>
      <w:r>
        <w:rPr>
          <w:rFonts w:hint="eastAsia"/>
          <w:sz w:val="24"/>
          <w:lang w:eastAsia="ja-JP"/>
        </w:rPr>
        <w:t xml:space="preserve">prices in a market with </w:t>
      </w:r>
      <w:r w:rsidR="00423C5A">
        <w:rPr>
          <w:sz w:val="24"/>
          <w:lang w:eastAsia="ja-JP"/>
        </w:rPr>
        <w:t xml:space="preserve">only </w:t>
      </w:r>
      <w:r>
        <w:rPr>
          <w:rFonts w:hint="eastAsia"/>
          <w:sz w:val="24"/>
          <w:lang w:eastAsia="ja-JP"/>
        </w:rPr>
        <w:t xml:space="preserve">speculating investors </w:t>
      </w:r>
      <w:r>
        <w:rPr>
          <w:sz w:val="24"/>
          <w:lang w:eastAsia="ja-JP"/>
        </w:rPr>
        <w:t xml:space="preserve">may </w:t>
      </w:r>
      <w:r w:rsidR="007923F0">
        <w:rPr>
          <w:sz w:val="24"/>
          <w:lang w:eastAsia="ja-JP"/>
        </w:rPr>
        <w:t xml:space="preserve">become </w:t>
      </w:r>
      <w:r w:rsidR="005E5D83">
        <w:rPr>
          <w:sz w:val="24"/>
          <w:lang w:eastAsia="ja-JP"/>
        </w:rPr>
        <w:t>unhinge</w:t>
      </w:r>
      <w:r w:rsidR="007923F0">
        <w:rPr>
          <w:sz w:val="24"/>
          <w:lang w:eastAsia="ja-JP"/>
        </w:rPr>
        <w:t>d</w:t>
      </w:r>
      <w:r w:rsidR="005E5D83">
        <w:rPr>
          <w:sz w:val="24"/>
          <w:lang w:eastAsia="ja-JP"/>
        </w:rPr>
        <w:t xml:space="preserve"> from</w:t>
      </w:r>
      <w:r>
        <w:rPr>
          <w:sz w:val="24"/>
          <w:lang w:eastAsia="ja-JP"/>
        </w:rPr>
        <w:t xml:space="preserve"> </w:t>
      </w:r>
      <w:r>
        <w:rPr>
          <w:rFonts w:hint="eastAsia"/>
          <w:sz w:val="24"/>
          <w:lang w:eastAsia="ja-JP"/>
        </w:rPr>
        <w:t>REE</w:t>
      </w:r>
      <w:r w:rsidR="00DD4B43">
        <w:rPr>
          <w:sz w:val="24"/>
          <w:lang w:eastAsia="ja-JP"/>
        </w:rPr>
        <w:t>.</w:t>
      </w:r>
      <w:r>
        <w:rPr>
          <w:rFonts w:hint="eastAsia"/>
          <w:sz w:val="24"/>
          <w:lang w:eastAsia="ja-JP"/>
        </w:rPr>
        <w:t xml:space="preserve"> Speculating investors may not form rational expectations of future prices</w:t>
      </w:r>
      <w:r>
        <w:rPr>
          <w:sz w:val="24"/>
          <w:lang w:eastAsia="ja-JP"/>
        </w:rPr>
        <w:t xml:space="preserve"> </w:t>
      </w:r>
      <w:r>
        <w:rPr>
          <w:rFonts w:hint="eastAsia"/>
          <w:sz w:val="24"/>
          <w:lang w:eastAsia="ja-JP"/>
        </w:rPr>
        <w:t xml:space="preserve">due to </w:t>
      </w:r>
      <w:r w:rsidR="009D75F6">
        <w:rPr>
          <w:sz w:val="24"/>
          <w:lang w:eastAsia="ja-JP"/>
        </w:rPr>
        <w:t xml:space="preserve">the lack of salience of future equilibrium </w:t>
      </w:r>
      <w:r>
        <w:rPr>
          <w:sz w:val="24"/>
          <w:lang w:eastAsia="ja-JP"/>
        </w:rPr>
        <w:t>and/</w:t>
      </w:r>
      <w:r>
        <w:rPr>
          <w:rFonts w:hint="eastAsia"/>
          <w:sz w:val="24"/>
          <w:lang w:eastAsia="ja-JP"/>
        </w:rPr>
        <w:t xml:space="preserve">or </w:t>
      </w:r>
      <w:r>
        <w:rPr>
          <w:sz w:val="24"/>
          <w:lang w:eastAsia="ja-JP"/>
        </w:rPr>
        <w:t xml:space="preserve">lack of common knowledge of </w:t>
      </w:r>
      <w:r w:rsidR="009D75F6">
        <w:rPr>
          <w:sz w:val="24"/>
          <w:lang w:eastAsia="ja-JP"/>
        </w:rPr>
        <w:t>rational expectations</w:t>
      </w:r>
      <w:r>
        <w:rPr>
          <w:sz w:val="24"/>
          <w:lang w:eastAsia="ja-JP"/>
        </w:rPr>
        <w:t xml:space="preserve"> among all </w:t>
      </w:r>
      <w:r>
        <w:rPr>
          <w:rFonts w:hint="eastAsia"/>
          <w:sz w:val="24"/>
          <w:lang w:eastAsia="ja-JP"/>
        </w:rPr>
        <w:t>generations</w:t>
      </w:r>
      <w:r>
        <w:rPr>
          <w:sz w:val="24"/>
          <w:lang w:eastAsia="ja-JP"/>
        </w:rPr>
        <w:t xml:space="preserve"> of investors. </w:t>
      </w:r>
      <w:r w:rsidR="00DD4B43">
        <w:rPr>
          <w:sz w:val="24"/>
          <w:lang w:eastAsia="ja-JP"/>
        </w:rPr>
        <w:lastRenderedPageBreak/>
        <w:t xml:space="preserve">In that case, prices </w:t>
      </w:r>
      <w:r w:rsidR="00DC4579">
        <w:rPr>
          <w:sz w:val="24"/>
          <w:lang w:eastAsia="ja-JP"/>
        </w:rPr>
        <w:t xml:space="preserve">are more likely to depart </w:t>
      </w:r>
      <w:r w:rsidR="00DD4B43">
        <w:rPr>
          <w:sz w:val="24"/>
          <w:lang w:eastAsia="ja-JP"/>
        </w:rPr>
        <w:t xml:space="preserve">from </w:t>
      </w:r>
      <w:r w:rsidR="00DD4B43">
        <w:rPr>
          <w:rFonts w:hint="eastAsia"/>
          <w:sz w:val="24"/>
          <w:lang w:eastAsia="ja-JP"/>
        </w:rPr>
        <w:t>the fundamental value</w:t>
      </w:r>
      <w:r w:rsidR="00DD4B43">
        <w:rPr>
          <w:sz w:val="24"/>
          <w:lang w:eastAsia="ja-JP"/>
        </w:rPr>
        <w:t xml:space="preserve"> </w:t>
      </w:r>
      <w:r w:rsidR="00DC4579">
        <w:rPr>
          <w:sz w:val="24"/>
          <w:lang w:eastAsia="ja-JP"/>
        </w:rPr>
        <w:t>in a market with only speculating investors</w:t>
      </w:r>
      <w:r w:rsidR="00DD4B43">
        <w:rPr>
          <w:rFonts w:hint="eastAsia"/>
          <w:sz w:val="24"/>
          <w:lang w:eastAsia="ja-JP"/>
        </w:rPr>
        <w:t xml:space="preserve">. </w:t>
      </w:r>
      <w:r>
        <w:rPr>
          <w:rFonts w:hint="eastAsia"/>
          <w:sz w:val="24"/>
          <w:lang w:eastAsia="ja-JP"/>
        </w:rPr>
        <w:t xml:space="preserve">This possibility leads us to the following </w:t>
      </w:r>
      <w:r>
        <w:rPr>
          <w:sz w:val="24"/>
          <w:lang w:eastAsia="ja-JP"/>
        </w:rPr>
        <w:t xml:space="preserve">alternative </w:t>
      </w:r>
      <w:r>
        <w:rPr>
          <w:rFonts w:hint="eastAsia"/>
          <w:sz w:val="24"/>
          <w:lang w:eastAsia="ja-JP"/>
        </w:rPr>
        <w:t>hypothesis</w:t>
      </w:r>
      <w:r>
        <w:rPr>
          <w:sz w:val="24"/>
          <w:lang w:eastAsia="ja-JP"/>
        </w:rPr>
        <w:t xml:space="preserve">: </w:t>
      </w:r>
    </w:p>
    <w:p w14:paraId="73ECD94D" w14:textId="296F0A2A" w:rsidR="006D26A1" w:rsidRDefault="006D26A1" w:rsidP="002F4977">
      <w:pPr>
        <w:spacing w:afterLines="50" w:after="120" w:line="480" w:lineRule="auto"/>
        <w:ind w:left="1560" w:right="-45" w:hanging="1559"/>
        <w:jc w:val="both"/>
        <w:rPr>
          <w:i/>
          <w:sz w:val="24"/>
          <w:lang w:eastAsia="ja-JP"/>
        </w:rPr>
      </w:pPr>
      <w:r w:rsidRPr="005C0D20">
        <w:rPr>
          <w:b/>
          <w:i/>
          <w:sz w:val="24"/>
          <w:lang w:eastAsia="ja-JP"/>
        </w:rPr>
        <w:t>H</w:t>
      </w:r>
      <w:r>
        <w:rPr>
          <w:rFonts w:hint="eastAsia"/>
          <w:b/>
          <w:i/>
          <w:sz w:val="24"/>
          <w:lang w:eastAsia="ja-JP"/>
        </w:rPr>
        <w:t xml:space="preserve">ypothesis </w:t>
      </w:r>
      <w:r>
        <w:rPr>
          <w:b/>
          <w:i/>
          <w:sz w:val="24"/>
          <w:lang w:eastAsia="ja-JP"/>
        </w:rPr>
        <w:t>I</w:t>
      </w:r>
      <w:r w:rsidRPr="00224E7A">
        <w:rPr>
          <w:b/>
          <w:i/>
          <w:sz w:val="24"/>
          <w:vertAlign w:val="subscript"/>
          <w:lang w:eastAsia="ja-JP"/>
        </w:rPr>
        <w:t>A</w:t>
      </w:r>
      <w:r w:rsidRPr="007E1129">
        <w:rPr>
          <w:i/>
          <w:sz w:val="24"/>
          <w:lang w:eastAsia="ja-JP"/>
        </w:rPr>
        <w:t xml:space="preserve">: </w:t>
      </w:r>
      <w:r>
        <w:rPr>
          <w:i/>
          <w:sz w:val="24"/>
          <w:lang w:eastAsia="ja-JP"/>
        </w:rPr>
        <w:t xml:space="preserve">Deviations of prices from the fundamental value are larger during periods when only </w:t>
      </w:r>
      <w:r>
        <w:rPr>
          <w:rFonts w:hint="eastAsia"/>
          <w:i/>
          <w:sz w:val="24"/>
          <w:lang w:eastAsia="ja-JP"/>
        </w:rPr>
        <w:t xml:space="preserve">speculating </w:t>
      </w:r>
      <w:r>
        <w:rPr>
          <w:i/>
          <w:sz w:val="24"/>
          <w:lang w:eastAsia="ja-JP"/>
        </w:rPr>
        <w:t>investors</w:t>
      </w:r>
      <w:r>
        <w:rPr>
          <w:rFonts w:hint="eastAsia"/>
          <w:i/>
          <w:sz w:val="24"/>
          <w:lang w:eastAsia="ja-JP"/>
        </w:rPr>
        <w:t xml:space="preserve"> </w:t>
      </w:r>
      <w:r>
        <w:rPr>
          <w:i/>
          <w:sz w:val="24"/>
          <w:lang w:eastAsia="ja-JP"/>
        </w:rPr>
        <w:t xml:space="preserve">are present compared to periods when </w:t>
      </w:r>
      <w:r>
        <w:rPr>
          <w:rFonts w:hint="eastAsia"/>
          <w:i/>
          <w:sz w:val="24"/>
          <w:lang w:eastAsia="ja-JP"/>
        </w:rPr>
        <w:t>div</w:t>
      </w:r>
      <w:r>
        <w:rPr>
          <w:rFonts w:hint="eastAsia"/>
          <w:i/>
          <w:sz w:val="24"/>
          <w:lang w:eastAsia="ja-JP"/>
        </w:rPr>
        <w:t>i</w:t>
      </w:r>
      <w:r>
        <w:rPr>
          <w:rFonts w:hint="eastAsia"/>
          <w:i/>
          <w:sz w:val="24"/>
          <w:lang w:eastAsia="ja-JP"/>
        </w:rPr>
        <w:t>dend</w:t>
      </w:r>
      <w:r>
        <w:rPr>
          <w:i/>
          <w:sz w:val="24"/>
          <w:lang w:eastAsia="ja-JP"/>
        </w:rPr>
        <w:t>-</w:t>
      </w:r>
      <w:r>
        <w:rPr>
          <w:rFonts w:hint="eastAsia"/>
          <w:i/>
          <w:sz w:val="24"/>
          <w:lang w:eastAsia="ja-JP"/>
        </w:rPr>
        <w:t>collecting</w:t>
      </w:r>
      <w:r>
        <w:rPr>
          <w:i/>
          <w:sz w:val="24"/>
          <w:lang w:eastAsia="ja-JP"/>
        </w:rPr>
        <w:t xml:space="preserve"> </w:t>
      </w:r>
      <w:r>
        <w:rPr>
          <w:rFonts w:hint="eastAsia"/>
          <w:i/>
          <w:sz w:val="24"/>
          <w:lang w:eastAsia="ja-JP"/>
        </w:rPr>
        <w:t xml:space="preserve">investors </w:t>
      </w:r>
      <w:r>
        <w:rPr>
          <w:i/>
          <w:sz w:val="24"/>
          <w:lang w:eastAsia="ja-JP"/>
        </w:rPr>
        <w:t>are also present in the market</w:t>
      </w:r>
      <w:r>
        <w:rPr>
          <w:rFonts w:hint="eastAsia"/>
          <w:i/>
          <w:sz w:val="24"/>
          <w:lang w:eastAsia="ja-JP"/>
        </w:rPr>
        <w:t xml:space="preserve">. </w:t>
      </w:r>
    </w:p>
    <w:p w14:paraId="60594865" w14:textId="041EB3EC" w:rsidR="006D26A1" w:rsidRDefault="006D26A1" w:rsidP="006D26A1">
      <w:pPr>
        <w:spacing w:afterLines="50" w:after="120" w:line="480" w:lineRule="auto"/>
        <w:ind w:right="-45" w:firstLine="709"/>
        <w:jc w:val="both"/>
        <w:rPr>
          <w:sz w:val="24"/>
          <w:lang w:eastAsia="ja-JP"/>
        </w:rPr>
      </w:pPr>
      <w:r>
        <w:rPr>
          <w:rFonts w:hint="eastAsia"/>
          <w:sz w:val="24"/>
          <w:lang w:eastAsia="ja-JP"/>
        </w:rPr>
        <w:t xml:space="preserve">Next, we </w:t>
      </w:r>
      <w:r>
        <w:rPr>
          <w:sz w:val="24"/>
          <w:lang w:eastAsia="ja-JP"/>
        </w:rPr>
        <w:t>shall</w:t>
      </w:r>
      <w:r>
        <w:rPr>
          <w:rFonts w:hint="eastAsia"/>
          <w:sz w:val="24"/>
          <w:lang w:eastAsia="ja-JP"/>
        </w:rPr>
        <w:t xml:space="preserve"> examine whether, </w:t>
      </w:r>
      <w:r>
        <w:rPr>
          <w:sz w:val="24"/>
          <w:lang w:eastAsia="ja-JP"/>
        </w:rPr>
        <w:t xml:space="preserve">for a security of a given maturity, the </w:t>
      </w:r>
      <w:r w:rsidRPr="001C7308">
        <w:rPr>
          <w:rFonts w:hint="eastAsia"/>
          <w:sz w:val="24"/>
          <w:lang w:eastAsia="ja-JP"/>
        </w:rPr>
        <w:t xml:space="preserve">number of </w:t>
      </w:r>
      <w:r>
        <w:rPr>
          <w:sz w:val="24"/>
          <w:lang w:eastAsia="ja-JP"/>
        </w:rPr>
        <w:t>s</w:t>
      </w:r>
      <w:r>
        <w:rPr>
          <w:sz w:val="24"/>
          <w:lang w:eastAsia="ja-JP"/>
        </w:rPr>
        <w:t>e</w:t>
      </w:r>
      <w:r>
        <w:rPr>
          <w:sz w:val="24"/>
          <w:lang w:eastAsia="ja-JP"/>
        </w:rPr>
        <w:t xml:space="preserve">curity transfers across </w:t>
      </w:r>
      <w:r w:rsidRPr="001C7308">
        <w:rPr>
          <w:rFonts w:hint="eastAsia"/>
          <w:sz w:val="24"/>
          <w:lang w:eastAsia="ja-JP"/>
        </w:rPr>
        <w:t>generations</w:t>
      </w:r>
      <w:r>
        <w:rPr>
          <w:rFonts w:hint="eastAsia"/>
          <w:sz w:val="24"/>
          <w:lang w:eastAsia="ja-JP"/>
        </w:rPr>
        <w:t xml:space="preserve"> </w:t>
      </w:r>
      <w:r>
        <w:rPr>
          <w:sz w:val="24"/>
          <w:lang w:eastAsia="ja-JP"/>
        </w:rPr>
        <w:t xml:space="preserve">(and hence the </w:t>
      </w:r>
      <w:r>
        <w:rPr>
          <w:rFonts w:hint="eastAsia"/>
          <w:sz w:val="24"/>
          <w:lang w:eastAsia="ja-JP"/>
        </w:rPr>
        <w:t>length of investors</w:t>
      </w:r>
      <w:r>
        <w:rPr>
          <w:sz w:val="24"/>
          <w:lang w:eastAsia="ja-JP"/>
        </w:rPr>
        <w:t>’</w:t>
      </w:r>
      <w:r>
        <w:rPr>
          <w:rFonts w:hint="eastAsia"/>
          <w:sz w:val="24"/>
          <w:lang w:eastAsia="ja-JP"/>
        </w:rPr>
        <w:t xml:space="preserve"> </w:t>
      </w:r>
      <w:r>
        <w:rPr>
          <w:sz w:val="24"/>
          <w:lang w:eastAsia="ja-JP"/>
        </w:rPr>
        <w:t xml:space="preserve">maximum </w:t>
      </w:r>
      <w:r>
        <w:rPr>
          <w:rFonts w:hint="eastAsia"/>
          <w:sz w:val="24"/>
          <w:lang w:eastAsia="ja-JP"/>
        </w:rPr>
        <w:t>holding per</w:t>
      </w:r>
      <w:r>
        <w:rPr>
          <w:rFonts w:hint="eastAsia"/>
          <w:sz w:val="24"/>
          <w:lang w:eastAsia="ja-JP"/>
        </w:rPr>
        <w:t>i</w:t>
      </w:r>
      <w:r>
        <w:rPr>
          <w:rFonts w:hint="eastAsia"/>
          <w:sz w:val="24"/>
          <w:lang w:eastAsia="ja-JP"/>
        </w:rPr>
        <w:t>od</w:t>
      </w:r>
      <w:r>
        <w:rPr>
          <w:sz w:val="24"/>
          <w:lang w:eastAsia="ja-JP"/>
        </w:rPr>
        <w:t>)</w:t>
      </w:r>
      <w:r>
        <w:rPr>
          <w:rFonts w:hint="eastAsia"/>
          <w:sz w:val="24"/>
          <w:lang w:eastAsia="ja-JP"/>
        </w:rPr>
        <w:t xml:space="preserve"> </w:t>
      </w:r>
      <w:r>
        <w:rPr>
          <w:sz w:val="24"/>
          <w:lang w:eastAsia="ja-JP"/>
        </w:rPr>
        <w:t xml:space="preserve">influences pricing. </w:t>
      </w:r>
      <w:r>
        <w:rPr>
          <w:rFonts w:hint="eastAsia"/>
          <w:sz w:val="24"/>
          <w:lang w:eastAsia="ja-JP"/>
        </w:rPr>
        <w:t xml:space="preserve">In </w:t>
      </w:r>
      <w:r>
        <w:rPr>
          <w:sz w:val="24"/>
          <w:lang w:eastAsia="ja-JP"/>
        </w:rPr>
        <w:t xml:space="preserve">the four treatments of </w:t>
      </w:r>
      <w:r>
        <w:rPr>
          <w:rFonts w:hint="eastAsia"/>
          <w:sz w:val="24"/>
          <w:lang w:eastAsia="ja-JP"/>
        </w:rPr>
        <w:t xml:space="preserve">our experiment </w:t>
      </w:r>
      <w:r>
        <w:rPr>
          <w:sz w:val="24"/>
          <w:lang w:eastAsia="ja-JP"/>
        </w:rPr>
        <w:t>t</w:t>
      </w:r>
      <w:r>
        <w:rPr>
          <w:rFonts w:hint="eastAsia"/>
          <w:sz w:val="24"/>
          <w:lang w:eastAsia="ja-JP"/>
        </w:rPr>
        <w:t xml:space="preserve">he security </w:t>
      </w:r>
      <w:r>
        <w:rPr>
          <w:sz w:val="24"/>
          <w:lang w:eastAsia="ja-JP"/>
        </w:rPr>
        <w:t xml:space="preserve">always </w:t>
      </w:r>
      <w:r>
        <w:rPr>
          <w:rFonts w:hint="eastAsia"/>
          <w:sz w:val="24"/>
          <w:lang w:eastAsia="ja-JP"/>
        </w:rPr>
        <w:t xml:space="preserve">has the same </w:t>
      </w:r>
      <w:r>
        <w:rPr>
          <w:sz w:val="24"/>
          <w:lang w:eastAsia="ja-JP"/>
        </w:rPr>
        <w:t>time to</w:t>
      </w:r>
      <w:r>
        <w:rPr>
          <w:rFonts w:hint="eastAsia"/>
          <w:sz w:val="24"/>
          <w:lang w:eastAsia="ja-JP"/>
        </w:rPr>
        <w:t xml:space="preserve"> maturity (16 periods) and pays the same terminal dividend, but the </w:t>
      </w:r>
      <w:r w:rsidRPr="001C7308">
        <w:rPr>
          <w:rFonts w:hint="eastAsia"/>
          <w:sz w:val="24"/>
          <w:lang w:eastAsia="ja-JP"/>
        </w:rPr>
        <w:t xml:space="preserve">number of </w:t>
      </w:r>
      <w:r>
        <w:rPr>
          <w:sz w:val="24"/>
          <w:lang w:eastAsia="ja-JP"/>
        </w:rPr>
        <w:t xml:space="preserve">security transfers across </w:t>
      </w:r>
      <w:r w:rsidRPr="001C7308">
        <w:rPr>
          <w:rFonts w:hint="eastAsia"/>
          <w:sz w:val="24"/>
          <w:lang w:eastAsia="ja-JP"/>
        </w:rPr>
        <w:t>generations</w:t>
      </w:r>
      <w:r>
        <w:rPr>
          <w:sz w:val="24"/>
          <w:lang w:eastAsia="ja-JP"/>
        </w:rPr>
        <w:t xml:space="preserve"> till maturity of the security</w:t>
      </w:r>
      <w:r>
        <w:rPr>
          <w:rFonts w:hint="eastAsia"/>
          <w:sz w:val="24"/>
          <w:lang w:eastAsia="ja-JP"/>
        </w:rPr>
        <w:t xml:space="preserve"> are different</w:t>
      </w:r>
      <w:r>
        <w:rPr>
          <w:sz w:val="24"/>
          <w:lang w:eastAsia="ja-JP"/>
        </w:rPr>
        <w:t xml:space="preserve"> </w:t>
      </w:r>
      <w:r>
        <w:rPr>
          <w:rFonts w:hint="eastAsia"/>
          <w:sz w:val="24"/>
          <w:lang w:eastAsia="ja-JP"/>
        </w:rPr>
        <w:t>(</w:t>
      </w:r>
      <w:r>
        <w:rPr>
          <w:sz w:val="24"/>
          <w:lang w:eastAsia="ja-JP"/>
        </w:rPr>
        <w:t xml:space="preserve">one in </w:t>
      </w:r>
      <w:r>
        <w:rPr>
          <w:rFonts w:hint="eastAsia"/>
          <w:sz w:val="24"/>
          <w:lang w:eastAsia="ja-JP"/>
        </w:rPr>
        <w:t xml:space="preserve">T1, </w:t>
      </w:r>
      <w:r>
        <w:rPr>
          <w:sz w:val="24"/>
          <w:lang w:eastAsia="ja-JP"/>
        </w:rPr>
        <w:t xml:space="preserve">two in </w:t>
      </w:r>
      <w:r>
        <w:rPr>
          <w:rFonts w:hint="eastAsia"/>
          <w:sz w:val="24"/>
          <w:lang w:eastAsia="ja-JP"/>
        </w:rPr>
        <w:t xml:space="preserve">T2, </w:t>
      </w:r>
      <w:r>
        <w:rPr>
          <w:sz w:val="24"/>
          <w:lang w:eastAsia="ja-JP"/>
        </w:rPr>
        <w:t xml:space="preserve">four in </w:t>
      </w:r>
      <w:r>
        <w:rPr>
          <w:rFonts w:hint="eastAsia"/>
          <w:sz w:val="24"/>
          <w:lang w:eastAsia="ja-JP"/>
        </w:rPr>
        <w:t xml:space="preserve">T4, and </w:t>
      </w:r>
      <w:r>
        <w:rPr>
          <w:sz w:val="24"/>
          <w:lang w:eastAsia="ja-JP"/>
        </w:rPr>
        <w:t xml:space="preserve">eight in </w:t>
      </w:r>
      <w:r>
        <w:rPr>
          <w:rFonts w:hint="eastAsia"/>
          <w:sz w:val="24"/>
          <w:lang w:eastAsia="ja-JP"/>
        </w:rPr>
        <w:t>T8).</w:t>
      </w:r>
      <w:r>
        <w:rPr>
          <w:rStyle w:val="Funotenzeichen"/>
          <w:sz w:val="24"/>
          <w:lang w:eastAsia="ja-JP"/>
        </w:rPr>
        <w:footnoteReference w:id="27"/>
      </w:r>
      <w:r>
        <w:rPr>
          <w:rFonts w:hint="eastAsia"/>
          <w:sz w:val="24"/>
          <w:lang w:eastAsia="ja-JP"/>
        </w:rPr>
        <w:t xml:space="preserve"> According to standard security pricing models</w:t>
      </w:r>
      <w:r w:rsidR="00DD4B43">
        <w:rPr>
          <w:sz w:val="24"/>
          <w:lang w:eastAsia="ja-JP"/>
        </w:rPr>
        <w:t xml:space="preserve"> (REE)</w:t>
      </w:r>
      <w:r>
        <w:rPr>
          <w:rFonts w:hint="eastAsia"/>
          <w:sz w:val="24"/>
          <w:lang w:eastAsia="ja-JP"/>
        </w:rPr>
        <w:t xml:space="preserve">, price paths </w:t>
      </w:r>
      <w:r>
        <w:rPr>
          <w:sz w:val="24"/>
          <w:lang w:eastAsia="ja-JP"/>
        </w:rPr>
        <w:t xml:space="preserve">should </w:t>
      </w:r>
      <w:r>
        <w:rPr>
          <w:rFonts w:hint="eastAsia"/>
          <w:sz w:val="24"/>
          <w:lang w:eastAsia="ja-JP"/>
        </w:rPr>
        <w:t xml:space="preserve">not differ </w:t>
      </w:r>
      <w:r>
        <w:rPr>
          <w:sz w:val="24"/>
          <w:lang w:eastAsia="ja-JP"/>
        </w:rPr>
        <w:t xml:space="preserve">across </w:t>
      </w:r>
      <w:r>
        <w:rPr>
          <w:rFonts w:hint="eastAsia"/>
          <w:sz w:val="24"/>
          <w:lang w:eastAsia="ja-JP"/>
        </w:rPr>
        <w:t>the four treatments</w:t>
      </w:r>
      <w:r>
        <w:rPr>
          <w:sz w:val="24"/>
          <w:lang w:eastAsia="ja-JP"/>
        </w:rPr>
        <w:t>;</w:t>
      </w:r>
      <w:r>
        <w:rPr>
          <w:rFonts w:hint="eastAsia"/>
          <w:sz w:val="24"/>
          <w:lang w:eastAsia="ja-JP"/>
        </w:rPr>
        <w:t xml:space="preserve"> investors of each generation should </w:t>
      </w:r>
      <w:r w:rsidR="00123E66">
        <w:rPr>
          <w:sz w:val="24"/>
          <w:lang w:eastAsia="ja-JP"/>
        </w:rPr>
        <w:t xml:space="preserve">form </w:t>
      </w:r>
      <w:r>
        <w:rPr>
          <w:sz w:val="24"/>
          <w:lang w:eastAsia="ja-JP"/>
        </w:rPr>
        <w:t>rational</w:t>
      </w:r>
      <w:r w:rsidR="00123E66">
        <w:rPr>
          <w:sz w:val="24"/>
          <w:lang w:eastAsia="ja-JP"/>
        </w:rPr>
        <w:t xml:space="preserve"> expectations through </w:t>
      </w:r>
      <w:r>
        <w:rPr>
          <w:sz w:val="24"/>
          <w:lang w:eastAsia="ja-JP"/>
        </w:rPr>
        <w:t xml:space="preserve">backward induction </w:t>
      </w:r>
      <w:r>
        <w:rPr>
          <w:rFonts w:hint="eastAsia"/>
          <w:sz w:val="24"/>
          <w:lang w:eastAsia="ja-JP"/>
        </w:rPr>
        <w:t xml:space="preserve">and prices at </w:t>
      </w:r>
      <w:r>
        <w:rPr>
          <w:sz w:val="24"/>
          <w:lang w:eastAsia="ja-JP"/>
        </w:rPr>
        <w:t xml:space="preserve">all times </w:t>
      </w:r>
      <w:r>
        <w:rPr>
          <w:rFonts w:hint="eastAsia"/>
          <w:sz w:val="24"/>
          <w:lang w:eastAsia="ja-JP"/>
        </w:rPr>
        <w:t>should equal the fundamental</w:t>
      </w:r>
      <w:r>
        <w:rPr>
          <w:sz w:val="24"/>
          <w:lang w:eastAsia="ja-JP"/>
        </w:rPr>
        <w:t xml:space="preserve"> value</w:t>
      </w:r>
      <w:r>
        <w:rPr>
          <w:rFonts w:hint="eastAsia"/>
          <w:sz w:val="24"/>
          <w:lang w:eastAsia="ja-JP"/>
        </w:rPr>
        <w:t xml:space="preserve">. However, </w:t>
      </w:r>
      <w:r>
        <w:rPr>
          <w:sz w:val="24"/>
          <w:lang w:eastAsia="ja-JP"/>
        </w:rPr>
        <w:t>we argue that the formation of speculating investors’ rational expectations may be difficult due to lack of common knowledge of rational</w:t>
      </w:r>
      <w:r w:rsidR="00123E66">
        <w:rPr>
          <w:sz w:val="24"/>
          <w:lang w:eastAsia="ja-JP"/>
        </w:rPr>
        <w:t xml:space="preserve"> expectations </w:t>
      </w:r>
      <w:r>
        <w:rPr>
          <w:sz w:val="24"/>
          <w:lang w:eastAsia="ja-JP"/>
        </w:rPr>
        <w:t xml:space="preserve">among all generations of investors. In particular, as the number of generations till maturity increases, the number of periods with only speculating </w:t>
      </w:r>
      <w:proofErr w:type="gramStart"/>
      <w:r>
        <w:rPr>
          <w:sz w:val="24"/>
          <w:lang w:eastAsia="ja-JP"/>
        </w:rPr>
        <w:t>investors</w:t>
      </w:r>
      <w:proofErr w:type="gramEnd"/>
      <w:r>
        <w:rPr>
          <w:sz w:val="24"/>
          <w:lang w:eastAsia="ja-JP"/>
        </w:rPr>
        <w:t xml:space="preserve"> increases, </w:t>
      </w:r>
      <w:r w:rsidR="005E5D83">
        <w:rPr>
          <w:sz w:val="24"/>
          <w:lang w:eastAsia="ja-JP"/>
        </w:rPr>
        <w:t xml:space="preserve">and </w:t>
      </w:r>
      <w:r w:rsidR="00123E66">
        <w:rPr>
          <w:sz w:val="24"/>
          <w:lang w:eastAsia="ja-JP"/>
        </w:rPr>
        <w:t>f</w:t>
      </w:r>
      <w:r>
        <w:rPr>
          <w:sz w:val="24"/>
          <w:lang w:eastAsia="ja-JP"/>
        </w:rPr>
        <w:t xml:space="preserve">ailure to form </w:t>
      </w:r>
      <w:r w:rsidR="00123E66">
        <w:rPr>
          <w:sz w:val="24"/>
          <w:lang w:eastAsia="ja-JP"/>
        </w:rPr>
        <w:t xml:space="preserve">common knowledge </w:t>
      </w:r>
      <w:r>
        <w:rPr>
          <w:sz w:val="24"/>
          <w:lang w:eastAsia="ja-JP"/>
        </w:rPr>
        <w:t xml:space="preserve">rational expectations and departure of prices </w:t>
      </w:r>
      <w:r>
        <w:rPr>
          <w:rFonts w:hint="eastAsia"/>
          <w:sz w:val="24"/>
          <w:lang w:eastAsia="ja-JP"/>
        </w:rPr>
        <w:t>from the fundamentals</w:t>
      </w:r>
      <w:r>
        <w:rPr>
          <w:sz w:val="24"/>
          <w:lang w:eastAsia="ja-JP"/>
        </w:rPr>
        <w:t xml:space="preserve"> b</w:t>
      </w:r>
      <w:r>
        <w:rPr>
          <w:sz w:val="24"/>
          <w:lang w:eastAsia="ja-JP"/>
        </w:rPr>
        <w:t>e</w:t>
      </w:r>
      <w:r>
        <w:rPr>
          <w:sz w:val="24"/>
          <w:lang w:eastAsia="ja-JP"/>
        </w:rPr>
        <w:t>come more likely</w:t>
      </w:r>
      <w:r>
        <w:rPr>
          <w:rFonts w:hint="eastAsia"/>
          <w:sz w:val="24"/>
          <w:lang w:eastAsia="ja-JP"/>
        </w:rPr>
        <w:t>.</w:t>
      </w:r>
      <w:r>
        <w:rPr>
          <w:sz w:val="24"/>
          <w:lang w:eastAsia="ja-JP"/>
        </w:rPr>
        <w:t xml:space="preserve"> </w:t>
      </w:r>
      <w:r>
        <w:rPr>
          <w:rFonts w:hint="eastAsia"/>
          <w:sz w:val="24"/>
          <w:lang w:eastAsia="ja-JP"/>
        </w:rPr>
        <w:t xml:space="preserve">We </w:t>
      </w:r>
      <w:r>
        <w:rPr>
          <w:sz w:val="24"/>
          <w:lang w:eastAsia="ja-JP"/>
        </w:rPr>
        <w:t>set up</w:t>
      </w:r>
      <w:r>
        <w:rPr>
          <w:rFonts w:hint="eastAsia"/>
          <w:sz w:val="24"/>
          <w:lang w:eastAsia="ja-JP"/>
        </w:rPr>
        <w:t xml:space="preserve"> </w:t>
      </w:r>
      <w:r>
        <w:rPr>
          <w:sz w:val="24"/>
          <w:lang w:eastAsia="ja-JP"/>
        </w:rPr>
        <w:t>the following null and alternative hypotheses:</w:t>
      </w:r>
    </w:p>
    <w:p w14:paraId="5C3B3A68" w14:textId="70095C8A" w:rsidR="006D26A1" w:rsidRDefault="006D26A1" w:rsidP="006D26A1">
      <w:pPr>
        <w:spacing w:afterLines="50" w:after="120" w:line="480" w:lineRule="auto"/>
        <w:ind w:left="1559" w:right="-45" w:hangingChars="647" w:hanging="1559"/>
        <w:jc w:val="both"/>
        <w:rPr>
          <w:i/>
          <w:sz w:val="24"/>
          <w:lang w:eastAsia="ja-JP"/>
        </w:rPr>
      </w:pPr>
      <w:r w:rsidRPr="005C0D20">
        <w:rPr>
          <w:b/>
          <w:i/>
          <w:sz w:val="24"/>
          <w:lang w:eastAsia="ja-JP"/>
        </w:rPr>
        <w:t>H</w:t>
      </w:r>
      <w:r>
        <w:rPr>
          <w:rFonts w:hint="eastAsia"/>
          <w:b/>
          <w:i/>
          <w:sz w:val="24"/>
          <w:lang w:eastAsia="ja-JP"/>
        </w:rPr>
        <w:t>ypothesis II</w:t>
      </w:r>
      <w:r w:rsidRPr="00224E7A">
        <w:rPr>
          <w:rFonts w:hint="eastAsia"/>
          <w:b/>
          <w:i/>
          <w:sz w:val="24"/>
          <w:vertAlign w:val="subscript"/>
          <w:lang w:eastAsia="ja-JP"/>
        </w:rPr>
        <w:t>0</w:t>
      </w:r>
      <w:r w:rsidRPr="007E1129">
        <w:rPr>
          <w:i/>
          <w:sz w:val="24"/>
          <w:lang w:eastAsia="ja-JP"/>
        </w:rPr>
        <w:t xml:space="preserve">: </w:t>
      </w:r>
      <w:r>
        <w:rPr>
          <w:i/>
          <w:sz w:val="24"/>
          <w:lang w:eastAsia="ja-JP"/>
        </w:rPr>
        <w:t>For a security of a given</w:t>
      </w:r>
      <w:r>
        <w:rPr>
          <w:rFonts w:hint="eastAsia"/>
          <w:i/>
          <w:sz w:val="24"/>
          <w:lang w:eastAsia="ja-JP"/>
        </w:rPr>
        <w:t xml:space="preserve"> maturity,</w:t>
      </w:r>
      <w:r>
        <w:rPr>
          <w:i/>
          <w:sz w:val="24"/>
          <w:lang w:eastAsia="ja-JP"/>
        </w:rPr>
        <w:t xml:space="preserve"> the </w:t>
      </w:r>
      <w:r w:rsidR="006A2F6B">
        <w:rPr>
          <w:i/>
          <w:sz w:val="24"/>
          <w:lang w:eastAsia="ja-JP"/>
        </w:rPr>
        <w:t xml:space="preserve">magnitude of </w:t>
      </w:r>
      <w:r>
        <w:rPr>
          <w:i/>
          <w:sz w:val="24"/>
          <w:lang w:eastAsia="ja-JP"/>
        </w:rPr>
        <w:t xml:space="preserve">deviation of </w:t>
      </w:r>
      <w:r>
        <w:rPr>
          <w:rFonts w:hint="eastAsia"/>
          <w:i/>
          <w:sz w:val="24"/>
          <w:lang w:eastAsia="ja-JP"/>
        </w:rPr>
        <w:t>price</w:t>
      </w:r>
      <w:r>
        <w:rPr>
          <w:i/>
          <w:sz w:val="24"/>
          <w:lang w:eastAsia="ja-JP"/>
        </w:rPr>
        <w:t xml:space="preserve">s from the fundamental value is not affected by the number of </w:t>
      </w:r>
      <w:r w:rsidRPr="004851C6">
        <w:rPr>
          <w:i/>
          <w:sz w:val="24"/>
          <w:lang w:eastAsia="ja-JP"/>
        </w:rPr>
        <w:t xml:space="preserve">security transfers across </w:t>
      </w:r>
      <w:r w:rsidRPr="004851C6">
        <w:rPr>
          <w:rFonts w:hint="eastAsia"/>
          <w:i/>
          <w:sz w:val="24"/>
          <w:lang w:eastAsia="ja-JP"/>
        </w:rPr>
        <w:t>generations</w:t>
      </w:r>
      <w:r>
        <w:rPr>
          <w:rFonts w:hint="eastAsia"/>
          <w:i/>
          <w:sz w:val="24"/>
          <w:lang w:eastAsia="ja-JP"/>
        </w:rPr>
        <w:t xml:space="preserve">. </w:t>
      </w:r>
    </w:p>
    <w:p w14:paraId="673CA150" w14:textId="32300701" w:rsidR="006D26A1" w:rsidRDefault="006D26A1" w:rsidP="006D26A1">
      <w:pPr>
        <w:spacing w:afterLines="50" w:after="120" w:line="480" w:lineRule="auto"/>
        <w:ind w:left="1559" w:right="-45" w:hangingChars="647" w:hanging="1559"/>
        <w:jc w:val="both"/>
        <w:rPr>
          <w:i/>
          <w:sz w:val="24"/>
          <w:lang w:eastAsia="ja-JP"/>
        </w:rPr>
      </w:pPr>
      <w:r w:rsidRPr="005C0D20">
        <w:rPr>
          <w:b/>
          <w:i/>
          <w:sz w:val="24"/>
          <w:lang w:eastAsia="ja-JP"/>
        </w:rPr>
        <w:lastRenderedPageBreak/>
        <w:t>H</w:t>
      </w:r>
      <w:r>
        <w:rPr>
          <w:rFonts w:hint="eastAsia"/>
          <w:b/>
          <w:i/>
          <w:sz w:val="24"/>
          <w:lang w:eastAsia="ja-JP"/>
        </w:rPr>
        <w:t>ypothesis II</w:t>
      </w:r>
      <w:r w:rsidRPr="00224E7A">
        <w:rPr>
          <w:rFonts w:hint="eastAsia"/>
          <w:b/>
          <w:i/>
          <w:sz w:val="24"/>
          <w:vertAlign w:val="subscript"/>
          <w:lang w:eastAsia="ja-JP"/>
        </w:rPr>
        <w:t>A</w:t>
      </w:r>
      <w:r w:rsidRPr="007E1129">
        <w:rPr>
          <w:i/>
          <w:sz w:val="24"/>
          <w:lang w:eastAsia="ja-JP"/>
        </w:rPr>
        <w:t xml:space="preserve">: </w:t>
      </w:r>
      <w:r>
        <w:rPr>
          <w:i/>
          <w:sz w:val="24"/>
          <w:lang w:eastAsia="ja-JP"/>
        </w:rPr>
        <w:t>For a security of a given</w:t>
      </w:r>
      <w:r>
        <w:rPr>
          <w:rFonts w:hint="eastAsia"/>
          <w:i/>
          <w:sz w:val="24"/>
          <w:lang w:eastAsia="ja-JP"/>
        </w:rPr>
        <w:t xml:space="preserve"> maturity,</w:t>
      </w:r>
      <w:r>
        <w:rPr>
          <w:i/>
          <w:sz w:val="24"/>
          <w:lang w:eastAsia="ja-JP"/>
        </w:rPr>
        <w:t xml:space="preserve"> the </w:t>
      </w:r>
      <w:r w:rsidR="006A2F6B">
        <w:rPr>
          <w:i/>
          <w:sz w:val="24"/>
          <w:lang w:eastAsia="ja-JP"/>
        </w:rPr>
        <w:t xml:space="preserve">magnitude of </w:t>
      </w:r>
      <w:r>
        <w:rPr>
          <w:i/>
          <w:sz w:val="24"/>
          <w:lang w:eastAsia="ja-JP"/>
        </w:rPr>
        <w:t xml:space="preserve">deviation of </w:t>
      </w:r>
      <w:r>
        <w:rPr>
          <w:rFonts w:hint="eastAsia"/>
          <w:i/>
          <w:sz w:val="24"/>
          <w:lang w:eastAsia="ja-JP"/>
        </w:rPr>
        <w:t>price</w:t>
      </w:r>
      <w:r>
        <w:rPr>
          <w:i/>
          <w:sz w:val="24"/>
          <w:lang w:eastAsia="ja-JP"/>
        </w:rPr>
        <w:t xml:space="preserve">s from the fundamental value increases with the number of </w:t>
      </w:r>
      <w:r w:rsidRPr="004851C6">
        <w:rPr>
          <w:i/>
          <w:sz w:val="24"/>
          <w:lang w:eastAsia="ja-JP"/>
        </w:rPr>
        <w:t xml:space="preserve">security transfers across </w:t>
      </w:r>
      <w:r w:rsidRPr="004851C6">
        <w:rPr>
          <w:rFonts w:hint="eastAsia"/>
          <w:i/>
          <w:sz w:val="24"/>
          <w:lang w:eastAsia="ja-JP"/>
        </w:rPr>
        <w:t>generations</w:t>
      </w:r>
      <w:r>
        <w:rPr>
          <w:rFonts w:hint="eastAsia"/>
          <w:i/>
          <w:sz w:val="24"/>
          <w:lang w:eastAsia="ja-JP"/>
        </w:rPr>
        <w:t xml:space="preserve"> </w:t>
      </w:r>
      <w:r>
        <w:rPr>
          <w:i/>
          <w:sz w:val="24"/>
          <w:lang w:eastAsia="ja-JP"/>
        </w:rPr>
        <w:t>(</w:t>
      </w:r>
      <w:r>
        <w:rPr>
          <w:rFonts w:hint="eastAsia"/>
          <w:i/>
          <w:sz w:val="24"/>
          <w:lang w:eastAsia="ja-JP"/>
        </w:rPr>
        <w:t>as the length of investors</w:t>
      </w:r>
      <w:r>
        <w:rPr>
          <w:i/>
          <w:sz w:val="24"/>
          <w:lang w:eastAsia="ja-JP"/>
        </w:rPr>
        <w:t>’</w:t>
      </w:r>
      <w:r>
        <w:rPr>
          <w:rFonts w:hint="eastAsia"/>
          <w:i/>
          <w:sz w:val="24"/>
          <w:lang w:eastAsia="ja-JP"/>
        </w:rPr>
        <w:t xml:space="preserve"> holding periods becomes shorter</w:t>
      </w:r>
      <w:r>
        <w:rPr>
          <w:i/>
          <w:sz w:val="24"/>
          <w:lang w:eastAsia="ja-JP"/>
        </w:rPr>
        <w:t>)</w:t>
      </w:r>
      <w:r>
        <w:rPr>
          <w:rFonts w:hint="eastAsia"/>
          <w:i/>
          <w:sz w:val="24"/>
          <w:lang w:eastAsia="ja-JP"/>
        </w:rPr>
        <w:t>.</w:t>
      </w:r>
    </w:p>
    <w:p w14:paraId="1C056BBB" w14:textId="76E77055" w:rsidR="006D26A1" w:rsidRDefault="006D26A1" w:rsidP="006D26A1">
      <w:pPr>
        <w:spacing w:line="480" w:lineRule="auto"/>
        <w:ind w:firstLine="720"/>
        <w:jc w:val="both"/>
        <w:rPr>
          <w:sz w:val="24"/>
          <w:lang w:eastAsia="ja-JP"/>
        </w:rPr>
      </w:pPr>
      <w:r>
        <w:rPr>
          <w:rFonts w:hint="eastAsia"/>
          <w:sz w:val="24"/>
          <w:lang w:eastAsia="ja-JP"/>
        </w:rPr>
        <w:t>In many models, o</w:t>
      </w:r>
      <w:r>
        <w:rPr>
          <w:sz w:val="24"/>
          <w:lang w:eastAsia="ja-JP"/>
        </w:rPr>
        <w:t xml:space="preserve">ne of the key assumptions is </w:t>
      </w:r>
      <w:r w:rsidR="006A2F6B">
        <w:rPr>
          <w:sz w:val="24"/>
          <w:lang w:eastAsia="ja-JP"/>
        </w:rPr>
        <w:t xml:space="preserve">absence of </w:t>
      </w:r>
      <w:r>
        <w:rPr>
          <w:sz w:val="24"/>
          <w:lang w:eastAsia="ja-JP"/>
        </w:rPr>
        <w:t>friction</w:t>
      </w:r>
      <w:r w:rsidR="006A2F6B">
        <w:rPr>
          <w:sz w:val="24"/>
          <w:lang w:eastAsia="ja-JP"/>
        </w:rPr>
        <w:t xml:space="preserve"> in </w:t>
      </w:r>
      <w:r>
        <w:rPr>
          <w:sz w:val="24"/>
          <w:lang w:eastAsia="ja-JP"/>
        </w:rPr>
        <w:t>markets. One of the most relevant frictions in markets is liquidity constraint. To examine whether this factor plays a role in pricing the security in our markets</w:t>
      </w:r>
      <w:r w:rsidR="00AD153B">
        <w:rPr>
          <w:sz w:val="24"/>
          <w:lang w:eastAsia="ja-JP"/>
        </w:rPr>
        <w:t>,</w:t>
      </w:r>
      <w:r>
        <w:rPr>
          <w:sz w:val="24"/>
          <w:lang w:eastAsia="ja-JP"/>
        </w:rPr>
        <w:t xml:space="preserve"> we vary the </w:t>
      </w:r>
      <w:r w:rsidRPr="00237955">
        <w:rPr>
          <w:sz w:val="24"/>
          <w:lang w:eastAsia="ja-JP"/>
        </w:rPr>
        <w:t xml:space="preserve">total </w:t>
      </w:r>
      <w:r>
        <w:rPr>
          <w:sz w:val="24"/>
          <w:lang w:eastAsia="ja-JP"/>
        </w:rPr>
        <w:t>amount of cash in a ma</w:t>
      </w:r>
      <w:r>
        <w:rPr>
          <w:sz w:val="24"/>
          <w:lang w:eastAsia="ja-JP"/>
        </w:rPr>
        <w:t>r</w:t>
      </w:r>
      <w:r>
        <w:rPr>
          <w:sz w:val="24"/>
          <w:lang w:eastAsia="ja-JP"/>
        </w:rPr>
        <w:t xml:space="preserve">ket by a factor of five (see Tables 1 and 2). </w:t>
      </w:r>
      <w:r>
        <w:rPr>
          <w:rFonts w:hint="eastAsia"/>
          <w:sz w:val="24"/>
          <w:lang w:eastAsia="ja-JP"/>
        </w:rPr>
        <w:t>In standard finance t</w:t>
      </w:r>
      <w:r>
        <w:rPr>
          <w:sz w:val="24"/>
          <w:lang w:eastAsia="ja-JP"/>
        </w:rPr>
        <w:t>heory</w:t>
      </w:r>
      <w:r w:rsidR="00DD4B43">
        <w:rPr>
          <w:sz w:val="24"/>
          <w:lang w:eastAsia="ja-JP"/>
        </w:rPr>
        <w:t xml:space="preserve"> (REE)</w:t>
      </w:r>
      <w:r>
        <w:rPr>
          <w:rFonts w:hint="eastAsia"/>
          <w:sz w:val="24"/>
          <w:lang w:eastAsia="ja-JP"/>
        </w:rPr>
        <w:t>,</w:t>
      </w:r>
      <w:r>
        <w:rPr>
          <w:sz w:val="24"/>
          <w:lang w:eastAsia="ja-JP"/>
        </w:rPr>
        <w:t xml:space="preserve"> </w:t>
      </w:r>
      <w:r>
        <w:rPr>
          <w:rFonts w:hint="eastAsia"/>
          <w:sz w:val="24"/>
          <w:lang w:eastAsia="ja-JP"/>
        </w:rPr>
        <w:t>the amount of l</w:t>
      </w:r>
      <w:r>
        <w:rPr>
          <w:sz w:val="24"/>
          <w:lang w:eastAsia="ja-JP"/>
        </w:rPr>
        <w:t xml:space="preserve">iquidity should not affect prices, as </w:t>
      </w:r>
      <w:r>
        <w:rPr>
          <w:rFonts w:hint="eastAsia"/>
          <w:sz w:val="24"/>
          <w:lang w:eastAsia="ja-JP"/>
        </w:rPr>
        <w:t xml:space="preserve">it </w:t>
      </w:r>
      <w:r>
        <w:rPr>
          <w:sz w:val="24"/>
          <w:lang w:eastAsia="ja-JP"/>
        </w:rPr>
        <w:t>do</w:t>
      </w:r>
      <w:r>
        <w:rPr>
          <w:rFonts w:hint="eastAsia"/>
          <w:sz w:val="24"/>
          <w:lang w:eastAsia="ja-JP"/>
        </w:rPr>
        <w:t>es</w:t>
      </w:r>
      <w:r>
        <w:rPr>
          <w:sz w:val="24"/>
          <w:lang w:eastAsia="ja-JP"/>
        </w:rPr>
        <w:t xml:space="preserve"> not change</w:t>
      </w:r>
      <w:r>
        <w:rPr>
          <w:rFonts w:hint="eastAsia"/>
          <w:sz w:val="24"/>
          <w:lang w:eastAsia="ja-JP"/>
        </w:rPr>
        <w:t xml:space="preserve"> the security</w:t>
      </w:r>
      <w:r>
        <w:rPr>
          <w:sz w:val="24"/>
          <w:lang w:eastAsia="ja-JP"/>
        </w:rPr>
        <w:t>’</w:t>
      </w:r>
      <w:r>
        <w:rPr>
          <w:rFonts w:hint="eastAsia"/>
          <w:sz w:val="24"/>
          <w:lang w:eastAsia="ja-JP"/>
        </w:rPr>
        <w:t>s fundamentals</w:t>
      </w:r>
      <w:r>
        <w:rPr>
          <w:sz w:val="24"/>
          <w:lang w:eastAsia="ja-JP"/>
        </w:rPr>
        <w:t xml:space="preserve">. However, prior experimental evidence suggests that </w:t>
      </w:r>
      <w:r>
        <w:rPr>
          <w:rFonts w:hint="eastAsia"/>
          <w:sz w:val="24"/>
          <w:lang w:eastAsia="ja-JP"/>
        </w:rPr>
        <w:t xml:space="preserve">liquidity significantly affects security prices: </w:t>
      </w:r>
      <w:r>
        <w:rPr>
          <w:sz w:val="24"/>
          <w:lang w:eastAsia="ja-JP"/>
        </w:rPr>
        <w:t xml:space="preserve">prices are often higher when liquidity is higher either through </w:t>
      </w:r>
      <w:r w:rsidRPr="00AD1989">
        <w:rPr>
          <w:sz w:val="24"/>
          <w:lang w:eastAsia="ja-JP"/>
        </w:rPr>
        <w:t xml:space="preserve">initial cash endowments </w:t>
      </w:r>
      <w:r>
        <w:rPr>
          <w:sz w:val="24"/>
          <w:lang w:eastAsia="ja-JP"/>
        </w:rPr>
        <w:t>or conditions which influence the C/A-ratio</w:t>
      </w:r>
      <w:r w:rsidR="00EC3972">
        <w:rPr>
          <w:sz w:val="24"/>
          <w:lang w:eastAsia="ja-JP"/>
        </w:rPr>
        <w:t>.</w:t>
      </w:r>
      <w:r w:rsidR="00EC3972">
        <w:rPr>
          <w:rStyle w:val="Funotenzeichen"/>
          <w:sz w:val="24"/>
          <w:lang w:eastAsia="ja-JP"/>
        </w:rPr>
        <w:footnoteReference w:id="28"/>
      </w:r>
      <w:r>
        <w:rPr>
          <w:sz w:val="24"/>
          <w:lang w:eastAsia="ja-JP"/>
        </w:rPr>
        <w:t xml:space="preserve"> W</w:t>
      </w:r>
      <w:r>
        <w:rPr>
          <w:rFonts w:hint="eastAsia"/>
          <w:sz w:val="24"/>
          <w:lang w:eastAsia="ja-JP"/>
        </w:rPr>
        <w:t xml:space="preserve">e explore whether the </w:t>
      </w:r>
      <w:r>
        <w:rPr>
          <w:sz w:val="24"/>
          <w:lang w:eastAsia="ja-JP"/>
        </w:rPr>
        <w:t>amount</w:t>
      </w:r>
      <w:r>
        <w:rPr>
          <w:rFonts w:hint="eastAsia"/>
          <w:sz w:val="24"/>
          <w:lang w:eastAsia="ja-JP"/>
        </w:rPr>
        <w:t xml:space="preserve"> of liquidity, </w:t>
      </w:r>
      <w:r>
        <w:rPr>
          <w:sz w:val="24"/>
          <w:lang w:eastAsia="ja-JP"/>
        </w:rPr>
        <w:t xml:space="preserve">measured by the </w:t>
      </w:r>
      <w:r>
        <w:rPr>
          <w:rFonts w:hint="eastAsia"/>
          <w:sz w:val="24"/>
          <w:lang w:eastAsia="ja-JP"/>
        </w:rPr>
        <w:t>C/A</w:t>
      </w:r>
      <w:r>
        <w:rPr>
          <w:sz w:val="24"/>
          <w:lang w:eastAsia="ja-JP"/>
        </w:rPr>
        <w:t>-</w:t>
      </w:r>
      <w:r>
        <w:rPr>
          <w:rFonts w:hint="eastAsia"/>
          <w:sz w:val="24"/>
          <w:lang w:eastAsia="ja-JP"/>
        </w:rPr>
        <w:t xml:space="preserve">ratio, influences the price levels and </w:t>
      </w:r>
      <w:r>
        <w:rPr>
          <w:sz w:val="24"/>
          <w:lang w:eastAsia="ja-JP"/>
        </w:rPr>
        <w:t>price</w:t>
      </w:r>
      <w:r>
        <w:rPr>
          <w:rFonts w:hint="eastAsia"/>
          <w:sz w:val="24"/>
          <w:lang w:eastAsia="ja-JP"/>
        </w:rPr>
        <w:t xml:space="preserve"> deviations from fundamentals in our ma</w:t>
      </w:r>
      <w:r>
        <w:rPr>
          <w:rFonts w:hint="eastAsia"/>
          <w:sz w:val="24"/>
          <w:lang w:eastAsia="ja-JP"/>
        </w:rPr>
        <w:t>r</w:t>
      </w:r>
      <w:r>
        <w:rPr>
          <w:rFonts w:hint="eastAsia"/>
          <w:sz w:val="24"/>
          <w:lang w:eastAsia="ja-JP"/>
        </w:rPr>
        <w:t xml:space="preserve">kets. </w:t>
      </w:r>
      <w:r>
        <w:rPr>
          <w:sz w:val="24"/>
          <w:lang w:eastAsia="ja-JP"/>
        </w:rPr>
        <w:t>We set up the following null and alternative hypotheses:</w:t>
      </w:r>
    </w:p>
    <w:p w14:paraId="1702AD78" w14:textId="77777777" w:rsidR="006D26A1" w:rsidRDefault="006D26A1" w:rsidP="006D26A1">
      <w:pPr>
        <w:spacing w:afterLines="50" w:after="120" w:line="480" w:lineRule="auto"/>
        <w:ind w:left="1559" w:right="-45" w:hangingChars="647" w:hanging="1559"/>
        <w:jc w:val="both"/>
        <w:rPr>
          <w:i/>
          <w:sz w:val="24"/>
          <w:lang w:eastAsia="ja-JP"/>
        </w:rPr>
      </w:pPr>
      <w:r w:rsidRPr="005C0D20">
        <w:rPr>
          <w:b/>
          <w:i/>
          <w:sz w:val="24"/>
          <w:lang w:eastAsia="ja-JP"/>
        </w:rPr>
        <w:t>H</w:t>
      </w:r>
      <w:r>
        <w:rPr>
          <w:rFonts w:hint="eastAsia"/>
          <w:b/>
          <w:i/>
          <w:sz w:val="24"/>
          <w:lang w:eastAsia="ja-JP"/>
        </w:rPr>
        <w:t>ypothesis I</w:t>
      </w:r>
      <w:r>
        <w:rPr>
          <w:b/>
          <w:i/>
          <w:sz w:val="24"/>
          <w:lang w:eastAsia="ja-JP"/>
        </w:rPr>
        <w:t>I</w:t>
      </w:r>
      <w:r>
        <w:rPr>
          <w:rFonts w:hint="eastAsia"/>
          <w:b/>
          <w:i/>
          <w:sz w:val="24"/>
          <w:lang w:eastAsia="ja-JP"/>
        </w:rPr>
        <w:t>I</w:t>
      </w:r>
      <w:r w:rsidRPr="00224E7A">
        <w:rPr>
          <w:rFonts w:hint="eastAsia"/>
          <w:b/>
          <w:i/>
          <w:sz w:val="24"/>
          <w:vertAlign w:val="subscript"/>
          <w:lang w:eastAsia="ja-JP"/>
        </w:rPr>
        <w:t>0</w:t>
      </w:r>
      <w:r w:rsidRPr="007E1129">
        <w:rPr>
          <w:i/>
          <w:sz w:val="24"/>
          <w:lang w:eastAsia="ja-JP"/>
        </w:rPr>
        <w:t xml:space="preserve">: </w:t>
      </w:r>
      <w:r>
        <w:rPr>
          <w:i/>
          <w:sz w:val="24"/>
          <w:lang w:eastAsia="ja-JP"/>
        </w:rPr>
        <w:t>Prices will be the same irrespective of the C/A-ratio in the market.</w:t>
      </w:r>
    </w:p>
    <w:p w14:paraId="5CC58179" w14:textId="2B14D3E2" w:rsidR="006D26A1" w:rsidRDefault="006D26A1" w:rsidP="006D26A1">
      <w:pPr>
        <w:spacing w:afterLines="50" w:after="120" w:line="480" w:lineRule="auto"/>
        <w:ind w:left="1559" w:right="-45" w:hangingChars="647" w:hanging="1559"/>
        <w:jc w:val="both"/>
        <w:rPr>
          <w:i/>
          <w:sz w:val="24"/>
          <w:lang w:eastAsia="ja-JP"/>
        </w:rPr>
      </w:pPr>
      <w:r w:rsidRPr="005C0D20">
        <w:rPr>
          <w:b/>
          <w:i/>
          <w:sz w:val="24"/>
          <w:lang w:eastAsia="ja-JP"/>
        </w:rPr>
        <w:t>H</w:t>
      </w:r>
      <w:r>
        <w:rPr>
          <w:rFonts w:hint="eastAsia"/>
          <w:b/>
          <w:i/>
          <w:sz w:val="24"/>
          <w:lang w:eastAsia="ja-JP"/>
        </w:rPr>
        <w:t>ypothesis I</w:t>
      </w:r>
      <w:r>
        <w:rPr>
          <w:b/>
          <w:i/>
          <w:sz w:val="24"/>
          <w:lang w:eastAsia="ja-JP"/>
        </w:rPr>
        <w:t>I</w:t>
      </w:r>
      <w:r>
        <w:rPr>
          <w:rFonts w:hint="eastAsia"/>
          <w:b/>
          <w:i/>
          <w:sz w:val="24"/>
          <w:lang w:eastAsia="ja-JP"/>
        </w:rPr>
        <w:t>I</w:t>
      </w:r>
      <w:r>
        <w:rPr>
          <w:b/>
          <w:i/>
          <w:sz w:val="24"/>
          <w:vertAlign w:val="subscript"/>
          <w:lang w:eastAsia="ja-JP"/>
        </w:rPr>
        <w:t>A</w:t>
      </w:r>
      <w:r w:rsidRPr="007E1129">
        <w:rPr>
          <w:i/>
          <w:sz w:val="24"/>
          <w:lang w:eastAsia="ja-JP"/>
        </w:rPr>
        <w:t>:</w:t>
      </w:r>
      <w:r w:rsidR="00EC3972" w:rsidRPr="00791421">
        <w:rPr>
          <w:sz w:val="24"/>
          <w:lang w:eastAsia="ja-JP"/>
        </w:rPr>
        <w:t xml:space="preserve"> </w:t>
      </w:r>
      <w:r w:rsidR="00EC3972" w:rsidRPr="00F175B9">
        <w:rPr>
          <w:i/>
          <w:sz w:val="24"/>
          <w:szCs w:val="24"/>
          <w:lang w:eastAsia="ja-JP"/>
        </w:rPr>
        <w:t>P</w:t>
      </w:r>
      <w:r w:rsidR="00EC3972" w:rsidRPr="00F175B9">
        <w:rPr>
          <w:i/>
          <w:sz w:val="24"/>
          <w:szCs w:val="24"/>
        </w:rPr>
        <w:t>rices will be different in markets with different C/A-ratios.</w:t>
      </w:r>
    </w:p>
    <w:p w14:paraId="0DF3ACD1" w14:textId="1F6D393A" w:rsidR="001515A3" w:rsidRPr="00D859DA" w:rsidRDefault="00791421" w:rsidP="00D859DA">
      <w:pPr>
        <w:spacing w:line="480" w:lineRule="auto"/>
        <w:ind w:firstLine="720"/>
        <w:jc w:val="both"/>
        <w:rPr>
          <w:sz w:val="24"/>
          <w:lang w:eastAsia="ja-JP"/>
        </w:rPr>
      </w:pPr>
      <w:r>
        <w:rPr>
          <w:sz w:val="24"/>
          <w:lang w:eastAsia="ja-JP"/>
        </w:rPr>
        <w:t>Past e</w:t>
      </w:r>
      <w:r w:rsidR="00794579">
        <w:rPr>
          <w:sz w:val="24"/>
          <w:lang w:eastAsia="ja-JP"/>
        </w:rPr>
        <w:t>xperimental asset market</w:t>
      </w:r>
      <w:r>
        <w:rPr>
          <w:sz w:val="24"/>
          <w:lang w:eastAsia="ja-JP"/>
        </w:rPr>
        <w:t xml:space="preserve"> prices tend to exhibit significant within-period vari</w:t>
      </w:r>
      <w:r>
        <w:rPr>
          <w:sz w:val="24"/>
          <w:lang w:eastAsia="ja-JP"/>
        </w:rPr>
        <w:t>a</w:t>
      </w:r>
      <w:r>
        <w:rPr>
          <w:sz w:val="24"/>
          <w:lang w:eastAsia="ja-JP"/>
        </w:rPr>
        <w:t>tion. H</w:t>
      </w:r>
      <w:r w:rsidR="00794579">
        <w:rPr>
          <w:sz w:val="24"/>
          <w:lang w:eastAsia="ja-JP"/>
        </w:rPr>
        <w:t xml:space="preserve">owever, </w:t>
      </w:r>
      <w:r w:rsidR="000E6A78">
        <w:rPr>
          <w:sz w:val="24"/>
          <w:lang w:eastAsia="ja-JP"/>
        </w:rPr>
        <w:t xml:space="preserve">we do not know if </w:t>
      </w:r>
      <w:r w:rsidR="00794579">
        <w:rPr>
          <w:sz w:val="24"/>
          <w:lang w:eastAsia="ja-JP"/>
        </w:rPr>
        <w:t>the volatility of price changes will be the same when only speculating investors or when also dividend-collecting investors are present. In our laboratory, a</w:t>
      </w:r>
      <w:r w:rsidR="00D859DA">
        <w:rPr>
          <w:sz w:val="24"/>
          <w:lang w:eastAsia="ja-JP"/>
        </w:rPr>
        <w:t xml:space="preserve">s the fundamental value is constant </w:t>
      </w:r>
      <w:r w:rsidR="00794579">
        <w:rPr>
          <w:sz w:val="24"/>
          <w:lang w:eastAsia="ja-JP"/>
        </w:rPr>
        <w:t>(50)</w:t>
      </w:r>
      <w:r w:rsidR="0044134B">
        <w:rPr>
          <w:sz w:val="24"/>
          <w:lang w:eastAsia="ja-JP"/>
        </w:rPr>
        <w:t>,</w:t>
      </w:r>
      <w:r w:rsidR="00D859DA">
        <w:rPr>
          <w:sz w:val="24"/>
          <w:lang w:eastAsia="ja-JP"/>
        </w:rPr>
        <w:t xml:space="preserve"> </w:t>
      </w:r>
      <w:r w:rsidR="00123E66">
        <w:rPr>
          <w:sz w:val="24"/>
          <w:lang w:eastAsia="ja-JP"/>
        </w:rPr>
        <w:t>REE</w:t>
      </w:r>
      <w:r w:rsidR="00D859DA">
        <w:rPr>
          <w:sz w:val="24"/>
          <w:lang w:eastAsia="ja-JP"/>
        </w:rPr>
        <w:t xml:space="preserve"> </w:t>
      </w:r>
      <w:r w:rsidR="00390DF4">
        <w:rPr>
          <w:sz w:val="24"/>
          <w:lang w:eastAsia="ja-JP"/>
        </w:rPr>
        <w:t>predict</w:t>
      </w:r>
      <w:r w:rsidR="000E6A78">
        <w:rPr>
          <w:sz w:val="24"/>
          <w:lang w:eastAsia="ja-JP"/>
        </w:rPr>
        <w:t>s</w:t>
      </w:r>
      <w:r w:rsidR="00390DF4">
        <w:rPr>
          <w:sz w:val="24"/>
          <w:lang w:eastAsia="ja-JP"/>
        </w:rPr>
        <w:t xml:space="preserve"> </w:t>
      </w:r>
      <w:r w:rsidR="00D859DA">
        <w:rPr>
          <w:sz w:val="24"/>
          <w:lang w:eastAsia="ja-JP"/>
        </w:rPr>
        <w:t xml:space="preserve">no price variation and thus no </w:t>
      </w:r>
      <w:r w:rsidR="0044134B">
        <w:rPr>
          <w:sz w:val="24"/>
          <w:lang w:eastAsia="ja-JP"/>
        </w:rPr>
        <w:t>price volatility</w:t>
      </w:r>
      <w:r w:rsidR="00D859DA">
        <w:rPr>
          <w:sz w:val="24"/>
          <w:lang w:eastAsia="ja-JP"/>
        </w:rPr>
        <w:t xml:space="preserve">, </w:t>
      </w:r>
      <w:r w:rsidR="000E6A78">
        <w:rPr>
          <w:sz w:val="24"/>
          <w:lang w:eastAsia="ja-JP"/>
        </w:rPr>
        <w:t xml:space="preserve">irrespective of the kinds of traders present in the market. </w:t>
      </w:r>
      <w:r w:rsidR="00D859DA">
        <w:rPr>
          <w:sz w:val="24"/>
          <w:lang w:eastAsia="ja-JP"/>
        </w:rPr>
        <w:t xml:space="preserve">However, </w:t>
      </w:r>
      <w:r w:rsidR="00BE301E">
        <w:rPr>
          <w:sz w:val="24"/>
          <w:lang w:eastAsia="ja-JP"/>
        </w:rPr>
        <w:t>when REE a</w:t>
      </w:r>
      <w:r w:rsidR="00BE301E">
        <w:rPr>
          <w:sz w:val="24"/>
          <w:lang w:eastAsia="ja-JP"/>
        </w:rPr>
        <w:t>s</w:t>
      </w:r>
      <w:r w:rsidR="00BE301E">
        <w:rPr>
          <w:sz w:val="24"/>
          <w:lang w:eastAsia="ja-JP"/>
        </w:rPr>
        <w:t xml:space="preserve">sumptions do not hold, speculating </w:t>
      </w:r>
      <w:r w:rsidR="001B6AF3">
        <w:rPr>
          <w:sz w:val="24"/>
          <w:lang w:eastAsia="ja-JP"/>
        </w:rPr>
        <w:t xml:space="preserve">investors </w:t>
      </w:r>
      <w:r w:rsidR="00BE301E">
        <w:rPr>
          <w:sz w:val="24"/>
          <w:lang w:eastAsia="ja-JP"/>
        </w:rPr>
        <w:t>may</w:t>
      </w:r>
      <w:r w:rsidR="001B6AF3">
        <w:rPr>
          <w:sz w:val="24"/>
          <w:lang w:eastAsia="ja-JP"/>
        </w:rPr>
        <w:t xml:space="preserve"> </w:t>
      </w:r>
      <w:r w:rsidR="00794579">
        <w:rPr>
          <w:sz w:val="24"/>
          <w:lang w:eastAsia="ja-JP"/>
        </w:rPr>
        <w:t xml:space="preserve">engage in </w:t>
      </w:r>
      <w:r w:rsidR="00BE301E">
        <w:rPr>
          <w:sz w:val="24"/>
          <w:lang w:eastAsia="ja-JP"/>
        </w:rPr>
        <w:t xml:space="preserve">short-term </w:t>
      </w:r>
      <w:r w:rsidR="00794579">
        <w:rPr>
          <w:sz w:val="24"/>
          <w:lang w:eastAsia="ja-JP"/>
        </w:rPr>
        <w:t xml:space="preserve">trading </w:t>
      </w:r>
      <w:r w:rsidR="00BE301E">
        <w:rPr>
          <w:sz w:val="24"/>
          <w:lang w:eastAsia="ja-JP"/>
        </w:rPr>
        <w:t xml:space="preserve">on the </w:t>
      </w:r>
      <w:r w:rsidR="001B6AF3">
        <w:rPr>
          <w:sz w:val="24"/>
          <w:lang w:eastAsia="ja-JP"/>
        </w:rPr>
        <w:t>expe</w:t>
      </w:r>
      <w:r w:rsidR="001B6AF3">
        <w:rPr>
          <w:sz w:val="24"/>
          <w:lang w:eastAsia="ja-JP"/>
        </w:rPr>
        <w:t>c</w:t>
      </w:r>
      <w:r w:rsidR="001B6AF3">
        <w:rPr>
          <w:sz w:val="24"/>
          <w:lang w:eastAsia="ja-JP"/>
        </w:rPr>
        <w:t>t</w:t>
      </w:r>
      <w:r w:rsidR="00BE301E">
        <w:rPr>
          <w:sz w:val="24"/>
          <w:lang w:eastAsia="ja-JP"/>
        </w:rPr>
        <w:t xml:space="preserve">ation of the </w:t>
      </w:r>
      <w:r w:rsidR="00794579">
        <w:rPr>
          <w:sz w:val="24"/>
          <w:lang w:eastAsia="ja-JP"/>
        </w:rPr>
        <w:t xml:space="preserve">future price </w:t>
      </w:r>
      <w:r w:rsidR="00B8705F">
        <w:rPr>
          <w:sz w:val="24"/>
          <w:lang w:eastAsia="ja-JP"/>
        </w:rPr>
        <w:t xml:space="preserve">changes even </w:t>
      </w:r>
      <w:r w:rsidR="00794579">
        <w:rPr>
          <w:sz w:val="24"/>
          <w:lang w:eastAsia="ja-JP"/>
        </w:rPr>
        <w:t>within a period</w:t>
      </w:r>
      <w:r w:rsidR="00BE301E">
        <w:rPr>
          <w:sz w:val="24"/>
          <w:lang w:eastAsia="ja-JP"/>
        </w:rPr>
        <w:t>, and</w:t>
      </w:r>
      <w:r w:rsidR="0097262C">
        <w:rPr>
          <w:sz w:val="24"/>
          <w:lang w:eastAsia="ja-JP"/>
        </w:rPr>
        <w:t xml:space="preserve"> prices become more volatile </w:t>
      </w:r>
      <w:r w:rsidR="006D77B8">
        <w:rPr>
          <w:sz w:val="24"/>
          <w:lang w:eastAsia="ja-JP"/>
        </w:rPr>
        <w:t>du</w:t>
      </w:r>
      <w:r w:rsidR="006D77B8">
        <w:rPr>
          <w:sz w:val="24"/>
          <w:lang w:eastAsia="ja-JP"/>
        </w:rPr>
        <w:t>r</w:t>
      </w:r>
      <w:r w:rsidR="006D77B8">
        <w:rPr>
          <w:sz w:val="24"/>
          <w:lang w:eastAsia="ja-JP"/>
        </w:rPr>
        <w:lastRenderedPageBreak/>
        <w:t>ing periods</w:t>
      </w:r>
      <w:r w:rsidR="0097262C">
        <w:rPr>
          <w:sz w:val="24"/>
          <w:lang w:eastAsia="ja-JP"/>
        </w:rPr>
        <w:t xml:space="preserve"> with only speculating investors </w:t>
      </w:r>
      <w:r w:rsidR="00FE12AA">
        <w:rPr>
          <w:sz w:val="24"/>
          <w:lang w:eastAsia="ja-JP"/>
        </w:rPr>
        <w:t>compared to</w:t>
      </w:r>
      <w:r w:rsidR="0097262C">
        <w:rPr>
          <w:sz w:val="24"/>
          <w:lang w:eastAsia="ja-JP"/>
        </w:rPr>
        <w:t xml:space="preserve"> </w:t>
      </w:r>
      <w:r w:rsidR="006D77B8">
        <w:rPr>
          <w:sz w:val="24"/>
          <w:lang w:eastAsia="ja-JP"/>
        </w:rPr>
        <w:t xml:space="preserve">periods </w:t>
      </w:r>
      <w:r w:rsidR="0097262C">
        <w:rPr>
          <w:sz w:val="24"/>
          <w:lang w:eastAsia="ja-JP"/>
        </w:rPr>
        <w:t xml:space="preserve">with dividend-collecting investors. </w:t>
      </w:r>
      <w:r w:rsidR="000E6A78">
        <w:rPr>
          <w:sz w:val="24"/>
          <w:lang w:eastAsia="ja-JP"/>
        </w:rPr>
        <w:t>This leads to</w:t>
      </w:r>
      <w:r w:rsidR="00D859DA">
        <w:rPr>
          <w:sz w:val="24"/>
          <w:lang w:eastAsia="ja-JP"/>
        </w:rPr>
        <w:t xml:space="preserve"> </w:t>
      </w:r>
      <w:r w:rsidR="0044134B">
        <w:rPr>
          <w:sz w:val="24"/>
          <w:lang w:eastAsia="ja-JP"/>
        </w:rPr>
        <w:t>the following null and alternative hypotheses:</w:t>
      </w:r>
    </w:p>
    <w:p w14:paraId="282DFF8A" w14:textId="40CDB5B8" w:rsidR="00D859DA" w:rsidRPr="00D859DA" w:rsidRDefault="00D859DA" w:rsidP="008157CF">
      <w:pPr>
        <w:spacing w:afterLines="50" w:after="120" w:line="480" w:lineRule="auto"/>
        <w:ind w:left="1559" w:right="-45" w:hangingChars="647" w:hanging="1559"/>
        <w:jc w:val="both"/>
        <w:rPr>
          <w:i/>
          <w:sz w:val="24"/>
          <w:lang w:eastAsia="ja-JP"/>
        </w:rPr>
      </w:pPr>
      <w:r w:rsidRPr="00D859DA">
        <w:rPr>
          <w:b/>
          <w:i/>
          <w:sz w:val="24"/>
          <w:lang w:eastAsia="ja-JP"/>
        </w:rPr>
        <w:t>Hypothes</w:t>
      </w:r>
      <w:r>
        <w:rPr>
          <w:b/>
          <w:i/>
          <w:sz w:val="24"/>
          <w:lang w:eastAsia="ja-JP"/>
        </w:rPr>
        <w:t>i</w:t>
      </w:r>
      <w:r w:rsidRPr="00D859DA">
        <w:rPr>
          <w:b/>
          <w:i/>
          <w:sz w:val="24"/>
          <w:lang w:eastAsia="ja-JP"/>
        </w:rPr>
        <w:t xml:space="preserve">s </w:t>
      </w:r>
      <w:r>
        <w:rPr>
          <w:b/>
          <w:i/>
          <w:sz w:val="24"/>
          <w:lang w:eastAsia="ja-JP"/>
        </w:rPr>
        <w:t>IV</w:t>
      </w:r>
      <w:r>
        <w:rPr>
          <w:b/>
          <w:i/>
          <w:sz w:val="24"/>
          <w:vertAlign w:val="subscript"/>
          <w:lang w:eastAsia="ja-JP"/>
        </w:rPr>
        <w:t>0</w:t>
      </w:r>
      <w:r w:rsidRPr="00D859DA">
        <w:rPr>
          <w:i/>
          <w:sz w:val="24"/>
          <w:lang w:eastAsia="ja-JP"/>
        </w:rPr>
        <w:t>:</w:t>
      </w:r>
      <w:r w:rsidRPr="00D859DA">
        <w:rPr>
          <w:b/>
          <w:i/>
          <w:sz w:val="24"/>
          <w:lang w:eastAsia="ja-JP"/>
        </w:rPr>
        <w:t xml:space="preserve"> </w:t>
      </w:r>
      <w:r w:rsidRPr="00D859DA">
        <w:rPr>
          <w:i/>
          <w:sz w:val="24"/>
          <w:lang w:eastAsia="ja-JP"/>
        </w:rPr>
        <w:t>V</w:t>
      </w:r>
      <w:r>
        <w:rPr>
          <w:i/>
          <w:sz w:val="24"/>
          <w:lang w:eastAsia="ja-JP"/>
        </w:rPr>
        <w:t>olatility of price</w:t>
      </w:r>
      <w:r w:rsidR="00D2443E">
        <w:rPr>
          <w:i/>
          <w:sz w:val="24"/>
          <w:lang w:eastAsia="ja-JP"/>
        </w:rPr>
        <w:t xml:space="preserve"> changes</w:t>
      </w:r>
      <w:r>
        <w:rPr>
          <w:i/>
          <w:sz w:val="24"/>
          <w:lang w:eastAsia="ja-JP"/>
        </w:rPr>
        <w:t xml:space="preserve"> is the same </w:t>
      </w:r>
      <w:r w:rsidR="0044134B">
        <w:rPr>
          <w:i/>
          <w:sz w:val="24"/>
          <w:lang w:eastAsia="ja-JP"/>
        </w:rPr>
        <w:t xml:space="preserve">during periods when only </w:t>
      </w:r>
      <w:r w:rsidR="0044134B">
        <w:rPr>
          <w:rFonts w:hint="eastAsia"/>
          <w:i/>
          <w:sz w:val="24"/>
          <w:lang w:eastAsia="ja-JP"/>
        </w:rPr>
        <w:t xml:space="preserve">speculating </w:t>
      </w:r>
      <w:r w:rsidR="0044134B">
        <w:rPr>
          <w:i/>
          <w:sz w:val="24"/>
          <w:lang w:eastAsia="ja-JP"/>
        </w:rPr>
        <w:t>investors</w:t>
      </w:r>
      <w:r w:rsidR="0044134B">
        <w:rPr>
          <w:rFonts w:hint="eastAsia"/>
          <w:i/>
          <w:sz w:val="24"/>
          <w:lang w:eastAsia="ja-JP"/>
        </w:rPr>
        <w:t xml:space="preserve"> </w:t>
      </w:r>
      <w:r w:rsidR="0044134B">
        <w:rPr>
          <w:i/>
          <w:sz w:val="24"/>
          <w:lang w:eastAsia="ja-JP"/>
        </w:rPr>
        <w:t xml:space="preserve">are present compared to periods when </w:t>
      </w:r>
      <w:r w:rsidR="0044134B">
        <w:rPr>
          <w:rFonts w:hint="eastAsia"/>
          <w:i/>
          <w:sz w:val="24"/>
          <w:lang w:eastAsia="ja-JP"/>
        </w:rPr>
        <w:t>dividend</w:t>
      </w:r>
      <w:r w:rsidR="0044134B">
        <w:rPr>
          <w:i/>
          <w:sz w:val="24"/>
          <w:lang w:eastAsia="ja-JP"/>
        </w:rPr>
        <w:t>-</w:t>
      </w:r>
      <w:r w:rsidR="0044134B">
        <w:rPr>
          <w:rFonts w:hint="eastAsia"/>
          <w:i/>
          <w:sz w:val="24"/>
          <w:lang w:eastAsia="ja-JP"/>
        </w:rPr>
        <w:t xml:space="preserve">collecting </w:t>
      </w:r>
      <w:r w:rsidR="0044134B">
        <w:rPr>
          <w:i/>
          <w:sz w:val="24"/>
          <w:lang w:eastAsia="ja-JP"/>
        </w:rPr>
        <w:t>investors are also present in the market</w:t>
      </w:r>
      <w:r w:rsidR="0044134B">
        <w:rPr>
          <w:rFonts w:hint="eastAsia"/>
          <w:i/>
          <w:sz w:val="24"/>
          <w:lang w:eastAsia="ja-JP"/>
        </w:rPr>
        <w:t>.</w:t>
      </w:r>
      <w:r w:rsidR="0044134B">
        <w:rPr>
          <w:i/>
          <w:sz w:val="24"/>
          <w:lang w:eastAsia="ja-JP"/>
        </w:rPr>
        <w:t xml:space="preserve"> </w:t>
      </w:r>
    </w:p>
    <w:p w14:paraId="6B54C531" w14:textId="43CBC6B4" w:rsidR="001C281C" w:rsidRPr="00D859DA" w:rsidRDefault="001C281C" w:rsidP="008157CF">
      <w:pPr>
        <w:spacing w:afterLines="50" w:after="120" w:line="480" w:lineRule="auto"/>
        <w:ind w:left="1559" w:right="-45" w:hangingChars="647" w:hanging="1559"/>
        <w:jc w:val="both"/>
        <w:rPr>
          <w:i/>
          <w:sz w:val="24"/>
          <w:lang w:eastAsia="ja-JP"/>
        </w:rPr>
      </w:pPr>
      <w:r w:rsidRPr="00D859DA">
        <w:rPr>
          <w:b/>
          <w:i/>
          <w:sz w:val="24"/>
          <w:lang w:eastAsia="ja-JP"/>
        </w:rPr>
        <w:t>Hypothes</w:t>
      </w:r>
      <w:r w:rsidR="00D859DA">
        <w:rPr>
          <w:b/>
          <w:i/>
          <w:sz w:val="24"/>
          <w:lang w:eastAsia="ja-JP"/>
        </w:rPr>
        <w:t>i</w:t>
      </w:r>
      <w:r w:rsidRPr="00D859DA">
        <w:rPr>
          <w:b/>
          <w:i/>
          <w:sz w:val="24"/>
          <w:lang w:eastAsia="ja-JP"/>
        </w:rPr>
        <w:t xml:space="preserve">s </w:t>
      </w:r>
      <w:r w:rsidR="00D859DA">
        <w:rPr>
          <w:b/>
          <w:i/>
          <w:sz w:val="24"/>
          <w:lang w:eastAsia="ja-JP"/>
        </w:rPr>
        <w:t>IV</w:t>
      </w:r>
      <w:r w:rsidR="00D859DA" w:rsidRPr="00D859DA">
        <w:rPr>
          <w:b/>
          <w:i/>
          <w:sz w:val="24"/>
          <w:vertAlign w:val="subscript"/>
          <w:lang w:eastAsia="ja-JP"/>
        </w:rPr>
        <w:t>A</w:t>
      </w:r>
      <w:r w:rsidR="00D859DA" w:rsidRPr="00D859DA">
        <w:rPr>
          <w:i/>
          <w:sz w:val="24"/>
          <w:lang w:eastAsia="ja-JP"/>
        </w:rPr>
        <w:t>:</w:t>
      </w:r>
      <w:r w:rsidRPr="00D859DA">
        <w:rPr>
          <w:b/>
          <w:i/>
          <w:sz w:val="24"/>
          <w:lang w:eastAsia="ja-JP"/>
        </w:rPr>
        <w:t xml:space="preserve"> </w:t>
      </w:r>
      <w:r w:rsidR="00D859DA" w:rsidRPr="00D859DA">
        <w:rPr>
          <w:i/>
          <w:sz w:val="24"/>
          <w:lang w:eastAsia="ja-JP"/>
        </w:rPr>
        <w:t>V</w:t>
      </w:r>
      <w:r w:rsidRPr="00D859DA">
        <w:rPr>
          <w:i/>
          <w:sz w:val="24"/>
          <w:lang w:eastAsia="ja-JP"/>
        </w:rPr>
        <w:t>olatility of price</w:t>
      </w:r>
      <w:r w:rsidR="00D2443E">
        <w:rPr>
          <w:i/>
          <w:sz w:val="24"/>
          <w:lang w:eastAsia="ja-JP"/>
        </w:rPr>
        <w:t xml:space="preserve"> changes</w:t>
      </w:r>
      <w:r w:rsidRPr="00D859DA">
        <w:rPr>
          <w:i/>
          <w:sz w:val="24"/>
          <w:lang w:eastAsia="ja-JP"/>
        </w:rPr>
        <w:t xml:space="preserve"> is higher </w:t>
      </w:r>
      <w:r w:rsidR="0044134B">
        <w:rPr>
          <w:i/>
          <w:sz w:val="24"/>
          <w:lang w:eastAsia="ja-JP"/>
        </w:rPr>
        <w:t xml:space="preserve">during periods when only </w:t>
      </w:r>
      <w:r w:rsidR="0044134B">
        <w:rPr>
          <w:rFonts w:hint="eastAsia"/>
          <w:i/>
          <w:sz w:val="24"/>
          <w:lang w:eastAsia="ja-JP"/>
        </w:rPr>
        <w:t xml:space="preserve">speculating </w:t>
      </w:r>
      <w:r w:rsidR="0044134B">
        <w:rPr>
          <w:i/>
          <w:sz w:val="24"/>
          <w:lang w:eastAsia="ja-JP"/>
        </w:rPr>
        <w:t>investors</w:t>
      </w:r>
      <w:r w:rsidR="0044134B">
        <w:rPr>
          <w:rFonts w:hint="eastAsia"/>
          <w:i/>
          <w:sz w:val="24"/>
          <w:lang w:eastAsia="ja-JP"/>
        </w:rPr>
        <w:t xml:space="preserve"> </w:t>
      </w:r>
      <w:r w:rsidR="0044134B">
        <w:rPr>
          <w:i/>
          <w:sz w:val="24"/>
          <w:lang w:eastAsia="ja-JP"/>
        </w:rPr>
        <w:t xml:space="preserve">are present compared to periods when </w:t>
      </w:r>
      <w:r w:rsidR="0044134B">
        <w:rPr>
          <w:rFonts w:hint="eastAsia"/>
          <w:i/>
          <w:sz w:val="24"/>
          <w:lang w:eastAsia="ja-JP"/>
        </w:rPr>
        <w:t>dividend</w:t>
      </w:r>
      <w:r w:rsidR="0044134B">
        <w:rPr>
          <w:i/>
          <w:sz w:val="24"/>
          <w:lang w:eastAsia="ja-JP"/>
        </w:rPr>
        <w:t>-</w:t>
      </w:r>
      <w:r w:rsidR="0044134B">
        <w:rPr>
          <w:rFonts w:hint="eastAsia"/>
          <w:i/>
          <w:sz w:val="24"/>
          <w:lang w:eastAsia="ja-JP"/>
        </w:rPr>
        <w:t>collecting</w:t>
      </w:r>
      <w:r w:rsidR="0044134B">
        <w:rPr>
          <w:i/>
          <w:sz w:val="24"/>
          <w:lang w:eastAsia="ja-JP"/>
        </w:rPr>
        <w:t xml:space="preserve"> </w:t>
      </w:r>
      <w:r w:rsidR="0044134B">
        <w:rPr>
          <w:rFonts w:hint="eastAsia"/>
          <w:i/>
          <w:sz w:val="24"/>
          <w:lang w:eastAsia="ja-JP"/>
        </w:rPr>
        <w:t xml:space="preserve">investors </w:t>
      </w:r>
      <w:r w:rsidR="0044134B">
        <w:rPr>
          <w:i/>
          <w:sz w:val="24"/>
          <w:lang w:eastAsia="ja-JP"/>
        </w:rPr>
        <w:t>are also present in the market</w:t>
      </w:r>
      <w:r w:rsidR="0044134B">
        <w:rPr>
          <w:rFonts w:hint="eastAsia"/>
          <w:i/>
          <w:sz w:val="24"/>
          <w:lang w:eastAsia="ja-JP"/>
        </w:rPr>
        <w:t>.</w:t>
      </w:r>
      <w:r w:rsidR="0044134B">
        <w:rPr>
          <w:i/>
          <w:sz w:val="24"/>
          <w:lang w:eastAsia="ja-JP"/>
        </w:rPr>
        <w:t xml:space="preserve"> </w:t>
      </w:r>
    </w:p>
    <w:p w14:paraId="3E8609FD" w14:textId="3C392888" w:rsidR="00FE12AA" w:rsidRDefault="00FE12AA">
      <w:pPr>
        <w:rPr>
          <w:b/>
          <w:bCs/>
          <w:sz w:val="24"/>
          <w:lang w:eastAsia="ja-JP"/>
        </w:rPr>
      </w:pPr>
    </w:p>
    <w:p w14:paraId="583978EF" w14:textId="7125499D" w:rsidR="0001724B" w:rsidRDefault="00593F4E" w:rsidP="00C36C79">
      <w:pPr>
        <w:pStyle w:val="berschrift7"/>
        <w:spacing w:afterLines="0"/>
      </w:pPr>
      <w:r>
        <w:t>4</w:t>
      </w:r>
      <w:r w:rsidR="00C36C79">
        <w:t xml:space="preserve">. </w:t>
      </w:r>
      <w:r w:rsidR="0001724B">
        <w:t>Results</w:t>
      </w:r>
      <w:r w:rsidR="00AA7D9C">
        <w:rPr>
          <w:rStyle w:val="Funotenzeichen"/>
        </w:rPr>
        <w:footnoteReference w:id="29"/>
      </w:r>
    </w:p>
    <w:p w14:paraId="2FE14CB4" w14:textId="77777777" w:rsidR="00546CE8" w:rsidRDefault="00593F4E" w:rsidP="00546CE8">
      <w:pPr>
        <w:spacing w:line="480" w:lineRule="auto"/>
        <w:jc w:val="both"/>
        <w:rPr>
          <w:sz w:val="24"/>
          <w:lang w:eastAsia="ja-JP"/>
        </w:rPr>
      </w:pPr>
      <w:r>
        <w:rPr>
          <w:sz w:val="24"/>
          <w:lang w:eastAsia="ja-JP"/>
        </w:rPr>
        <w:t>4</w:t>
      </w:r>
      <w:r w:rsidR="00546CE8">
        <w:rPr>
          <w:rFonts w:hint="eastAsia"/>
          <w:sz w:val="24"/>
          <w:lang w:eastAsia="ja-JP"/>
        </w:rPr>
        <w:t xml:space="preserve">.1 </w:t>
      </w:r>
      <w:r w:rsidR="00C93010">
        <w:rPr>
          <w:sz w:val="24"/>
          <w:lang w:eastAsia="ja-JP"/>
        </w:rPr>
        <w:t>Evolution of prices</w:t>
      </w:r>
    </w:p>
    <w:p w14:paraId="71487419" w14:textId="4DAC6FD5" w:rsidR="00B0398D" w:rsidRDefault="002942B0" w:rsidP="00B0398D">
      <w:pPr>
        <w:spacing w:line="480" w:lineRule="auto"/>
        <w:ind w:firstLine="720"/>
        <w:jc w:val="both"/>
        <w:rPr>
          <w:sz w:val="24"/>
          <w:lang w:eastAsia="ja-JP"/>
        </w:rPr>
      </w:pPr>
      <w:r>
        <w:rPr>
          <w:sz w:val="24"/>
          <w:lang w:eastAsia="ja-JP"/>
        </w:rPr>
        <w:t xml:space="preserve">Figures 2 and 3 </w:t>
      </w:r>
      <w:r w:rsidR="00712FF4">
        <w:rPr>
          <w:sz w:val="24"/>
          <w:lang w:eastAsia="ja-JP"/>
        </w:rPr>
        <w:t>give a descriptive illustration of dynamic</w:t>
      </w:r>
      <w:r>
        <w:rPr>
          <w:sz w:val="24"/>
          <w:lang w:eastAsia="ja-JP"/>
        </w:rPr>
        <w:t xml:space="preserve"> evolution of transaction price</w:t>
      </w:r>
      <w:r w:rsidR="00712FF4">
        <w:rPr>
          <w:sz w:val="24"/>
          <w:lang w:eastAsia="ja-JP"/>
        </w:rPr>
        <w:t xml:space="preserve">s in our experiment </w:t>
      </w:r>
      <w:r w:rsidR="0095619C">
        <w:rPr>
          <w:sz w:val="24"/>
          <w:lang w:eastAsia="ja-JP"/>
        </w:rPr>
        <w:t xml:space="preserve">for each </w:t>
      </w:r>
      <w:r w:rsidR="005A4A14">
        <w:rPr>
          <w:sz w:val="24"/>
          <w:lang w:eastAsia="ja-JP"/>
        </w:rPr>
        <w:t xml:space="preserve">of the six independent </w:t>
      </w:r>
      <w:r w:rsidR="0095619C">
        <w:rPr>
          <w:sz w:val="24"/>
          <w:lang w:eastAsia="ja-JP"/>
        </w:rPr>
        <w:t>session</w:t>
      </w:r>
      <w:r w:rsidR="005A4A14">
        <w:rPr>
          <w:sz w:val="24"/>
          <w:lang w:eastAsia="ja-JP"/>
        </w:rPr>
        <w:t>s</w:t>
      </w:r>
      <w:r w:rsidR="00A514C8">
        <w:rPr>
          <w:sz w:val="24"/>
          <w:lang w:eastAsia="ja-JP"/>
        </w:rPr>
        <w:t xml:space="preserve"> (</w:t>
      </w:r>
      <w:r w:rsidR="00114713">
        <w:rPr>
          <w:sz w:val="24"/>
          <w:lang w:eastAsia="ja-JP"/>
        </w:rPr>
        <w:t xml:space="preserve">mean </w:t>
      </w:r>
      <w:r w:rsidR="0095619C">
        <w:rPr>
          <w:sz w:val="24"/>
          <w:lang w:eastAsia="ja-JP"/>
        </w:rPr>
        <w:t xml:space="preserve">transaction </w:t>
      </w:r>
      <w:r w:rsidR="00271D86">
        <w:rPr>
          <w:rFonts w:hint="eastAsia"/>
          <w:sz w:val="24"/>
          <w:lang w:eastAsia="ja-JP"/>
        </w:rPr>
        <w:t>prices</w:t>
      </w:r>
      <w:r w:rsidR="00E37FB0">
        <w:rPr>
          <w:rFonts w:hint="eastAsia"/>
          <w:sz w:val="24"/>
          <w:lang w:eastAsia="ja-JP"/>
        </w:rPr>
        <w:t xml:space="preserve"> by period</w:t>
      </w:r>
      <w:r w:rsidR="0095619C">
        <w:rPr>
          <w:sz w:val="24"/>
          <w:lang w:eastAsia="ja-JP"/>
        </w:rPr>
        <w:t xml:space="preserve"> in</w:t>
      </w:r>
      <w:r w:rsidR="00271D86">
        <w:rPr>
          <w:rFonts w:hint="eastAsia"/>
          <w:sz w:val="24"/>
          <w:lang w:eastAsia="ja-JP"/>
        </w:rPr>
        <w:t xml:space="preserve"> </w:t>
      </w:r>
      <w:r w:rsidR="0095619C">
        <w:rPr>
          <w:sz w:val="24"/>
          <w:lang w:eastAsia="ja-JP"/>
        </w:rPr>
        <w:t xml:space="preserve">thin </w:t>
      </w:r>
      <w:r w:rsidR="00A514C8">
        <w:rPr>
          <w:sz w:val="24"/>
          <w:lang w:eastAsia="ja-JP"/>
        </w:rPr>
        <w:t xml:space="preserve">grey lines) </w:t>
      </w:r>
      <w:r w:rsidR="00271D86">
        <w:rPr>
          <w:rFonts w:hint="eastAsia"/>
          <w:sz w:val="24"/>
          <w:lang w:eastAsia="ja-JP"/>
        </w:rPr>
        <w:t>and the fundamental value (</w:t>
      </w:r>
      <w:r w:rsidR="00A514C8">
        <w:rPr>
          <w:sz w:val="24"/>
          <w:lang w:eastAsia="ja-JP"/>
        </w:rPr>
        <w:t xml:space="preserve">red </w:t>
      </w:r>
      <w:r w:rsidR="00F57072" w:rsidRPr="00F57072">
        <w:rPr>
          <w:sz w:val="24"/>
          <w:lang w:eastAsia="ja-JP"/>
        </w:rPr>
        <w:t xml:space="preserve">bold line) for </w:t>
      </w:r>
      <w:r w:rsidR="000076F9">
        <w:rPr>
          <w:rFonts w:hint="eastAsia"/>
          <w:sz w:val="24"/>
          <w:lang w:eastAsia="ja-JP"/>
        </w:rPr>
        <w:t>high-liquidity trea</w:t>
      </w:r>
      <w:r w:rsidR="000076F9">
        <w:rPr>
          <w:rFonts w:hint="eastAsia"/>
          <w:sz w:val="24"/>
          <w:lang w:eastAsia="ja-JP"/>
        </w:rPr>
        <w:t>t</w:t>
      </w:r>
      <w:r w:rsidR="000076F9">
        <w:rPr>
          <w:rFonts w:hint="eastAsia"/>
          <w:sz w:val="24"/>
          <w:lang w:eastAsia="ja-JP"/>
        </w:rPr>
        <w:t>ment</w:t>
      </w:r>
      <w:r w:rsidR="00A514C8">
        <w:rPr>
          <w:rFonts w:hint="eastAsia"/>
          <w:sz w:val="24"/>
          <w:lang w:eastAsia="ja-JP"/>
        </w:rPr>
        <w:t xml:space="preserve">s </w:t>
      </w:r>
      <w:r w:rsidR="00A514C8">
        <w:rPr>
          <w:sz w:val="24"/>
          <w:lang w:eastAsia="ja-JP"/>
        </w:rPr>
        <w:t>(</w:t>
      </w:r>
      <w:r w:rsidR="00A514C8">
        <w:rPr>
          <w:rFonts w:hint="eastAsia"/>
          <w:sz w:val="24"/>
          <w:lang w:eastAsia="ja-JP"/>
        </w:rPr>
        <w:t>T1</w:t>
      </w:r>
      <w:r w:rsidR="00546CE8">
        <w:rPr>
          <w:rFonts w:hint="eastAsia"/>
          <w:sz w:val="24"/>
          <w:lang w:eastAsia="ja-JP"/>
        </w:rPr>
        <w:t>H</w:t>
      </w:r>
      <w:r w:rsidR="00A514C8">
        <w:rPr>
          <w:rFonts w:hint="eastAsia"/>
          <w:sz w:val="24"/>
          <w:lang w:eastAsia="ja-JP"/>
        </w:rPr>
        <w:t>, T2</w:t>
      </w:r>
      <w:r w:rsidR="00546CE8">
        <w:rPr>
          <w:rFonts w:hint="eastAsia"/>
          <w:sz w:val="24"/>
          <w:lang w:eastAsia="ja-JP"/>
        </w:rPr>
        <w:t>H</w:t>
      </w:r>
      <w:r w:rsidR="00A514C8">
        <w:rPr>
          <w:rFonts w:hint="eastAsia"/>
          <w:sz w:val="24"/>
          <w:lang w:eastAsia="ja-JP"/>
        </w:rPr>
        <w:t>, T4</w:t>
      </w:r>
      <w:r w:rsidR="00546CE8">
        <w:rPr>
          <w:rFonts w:hint="eastAsia"/>
          <w:sz w:val="24"/>
          <w:lang w:eastAsia="ja-JP"/>
        </w:rPr>
        <w:t>H</w:t>
      </w:r>
      <w:r w:rsidR="00A514C8">
        <w:rPr>
          <w:rFonts w:hint="eastAsia"/>
          <w:sz w:val="24"/>
          <w:lang w:eastAsia="ja-JP"/>
        </w:rPr>
        <w:t>, and T8</w:t>
      </w:r>
      <w:r w:rsidR="00546CE8">
        <w:rPr>
          <w:rFonts w:hint="eastAsia"/>
          <w:sz w:val="24"/>
          <w:lang w:eastAsia="ja-JP"/>
        </w:rPr>
        <w:t>H</w:t>
      </w:r>
      <w:r w:rsidR="00A514C8">
        <w:rPr>
          <w:sz w:val="24"/>
          <w:lang w:eastAsia="ja-JP"/>
        </w:rPr>
        <w:t xml:space="preserve">) and </w:t>
      </w:r>
      <w:r w:rsidR="000076F9">
        <w:rPr>
          <w:rFonts w:hint="eastAsia"/>
          <w:sz w:val="24"/>
          <w:lang w:eastAsia="ja-JP"/>
        </w:rPr>
        <w:t>low-liquidity treatment</w:t>
      </w:r>
      <w:r w:rsidR="00A514C8">
        <w:rPr>
          <w:rFonts w:hint="eastAsia"/>
          <w:sz w:val="24"/>
          <w:lang w:eastAsia="ja-JP"/>
        </w:rPr>
        <w:t xml:space="preserve">s </w:t>
      </w:r>
      <w:r w:rsidR="00A514C8">
        <w:rPr>
          <w:sz w:val="24"/>
          <w:lang w:eastAsia="ja-JP"/>
        </w:rPr>
        <w:t>(</w:t>
      </w:r>
      <w:r w:rsidR="00A514C8">
        <w:rPr>
          <w:rFonts w:hint="eastAsia"/>
          <w:sz w:val="24"/>
          <w:lang w:eastAsia="ja-JP"/>
        </w:rPr>
        <w:t>T1</w:t>
      </w:r>
      <w:r w:rsidR="00546CE8">
        <w:rPr>
          <w:rFonts w:hint="eastAsia"/>
          <w:sz w:val="24"/>
          <w:lang w:eastAsia="ja-JP"/>
        </w:rPr>
        <w:t>L</w:t>
      </w:r>
      <w:r w:rsidR="00A514C8">
        <w:rPr>
          <w:rFonts w:hint="eastAsia"/>
          <w:sz w:val="24"/>
          <w:lang w:eastAsia="ja-JP"/>
        </w:rPr>
        <w:t>, T2</w:t>
      </w:r>
      <w:r w:rsidR="00546CE8">
        <w:rPr>
          <w:rFonts w:hint="eastAsia"/>
          <w:sz w:val="24"/>
          <w:lang w:eastAsia="ja-JP"/>
        </w:rPr>
        <w:t>L</w:t>
      </w:r>
      <w:r w:rsidR="00A514C8">
        <w:rPr>
          <w:rFonts w:hint="eastAsia"/>
          <w:sz w:val="24"/>
          <w:lang w:eastAsia="ja-JP"/>
        </w:rPr>
        <w:t>, T4</w:t>
      </w:r>
      <w:r w:rsidR="00546CE8">
        <w:rPr>
          <w:rFonts w:hint="eastAsia"/>
          <w:sz w:val="24"/>
          <w:lang w:eastAsia="ja-JP"/>
        </w:rPr>
        <w:t>L</w:t>
      </w:r>
      <w:r w:rsidR="00A514C8">
        <w:rPr>
          <w:rFonts w:hint="eastAsia"/>
          <w:sz w:val="24"/>
          <w:lang w:eastAsia="ja-JP"/>
        </w:rPr>
        <w:t>, and T8</w:t>
      </w:r>
      <w:r w:rsidR="00546CE8">
        <w:rPr>
          <w:rFonts w:hint="eastAsia"/>
          <w:sz w:val="24"/>
          <w:lang w:eastAsia="ja-JP"/>
        </w:rPr>
        <w:t>L</w:t>
      </w:r>
      <w:r w:rsidR="00A514C8">
        <w:rPr>
          <w:sz w:val="24"/>
          <w:lang w:eastAsia="ja-JP"/>
        </w:rPr>
        <w:t>), respectively.</w:t>
      </w:r>
      <w:r w:rsidR="00A514C8">
        <w:rPr>
          <w:rStyle w:val="Funotenzeichen"/>
          <w:sz w:val="24"/>
          <w:lang w:eastAsia="ja-JP"/>
        </w:rPr>
        <w:footnoteReference w:id="30"/>
      </w:r>
      <w:r w:rsidR="00A514C8">
        <w:rPr>
          <w:sz w:val="24"/>
          <w:lang w:eastAsia="ja-JP"/>
        </w:rPr>
        <w:t xml:space="preserve"> </w:t>
      </w:r>
      <w:r w:rsidR="00271D86">
        <w:rPr>
          <w:rFonts w:hint="eastAsia"/>
          <w:sz w:val="24"/>
          <w:lang w:eastAsia="ja-JP"/>
        </w:rPr>
        <w:t>Note that the fundamental value</w:t>
      </w:r>
      <w:r w:rsidR="00A60613">
        <w:rPr>
          <w:sz w:val="24"/>
          <w:lang w:eastAsia="ja-JP"/>
        </w:rPr>
        <w:t xml:space="preserve"> – t</w:t>
      </w:r>
      <w:r w:rsidR="0095619C">
        <w:rPr>
          <w:sz w:val="24"/>
          <w:lang w:eastAsia="ja-JP"/>
        </w:rPr>
        <w:t>he terminal dividend of 50</w:t>
      </w:r>
      <w:r w:rsidR="00A60613">
        <w:rPr>
          <w:sz w:val="24"/>
          <w:lang w:eastAsia="ja-JP"/>
        </w:rPr>
        <w:t xml:space="preserve"> – i</w:t>
      </w:r>
      <w:r w:rsidR="0095619C">
        <w:rPr>
          <w:sz w:val="24"/>
          <w:lang w:eastAsia="ja-JP"/>
        </w:rPr>
        <w:t xml:space="preserve">s </w:t>
      </w:r>
      <w:r w:rsidR="00E37FB0">
        <w:rPr>
          <w:rFonts w:hint="eastAsia"/>
          <w:sz w:val="24"/>
          <w:lang w:eastAsia="ja-JP"/>
        </w:rPr>
        <w:t xml:space="preserve">constant across </w:t>
      </w:r>
      <w:r w:rsidR="0095619C">
        <w:rPr>
          <w:sz w:val="24"/>
          <w:lang w:eastAsia="ja-JP"/>
        </w:rPr>
        <w:t xml:space="preserve">all </w:t>
      </w:r>
      <w:r w:rsidR="00E37FB0">
        <w:rPr>
          <w:sz w:val="24"/>
          <w:lang w:eastAsia="ja-JP"/>
        </w:rPr>
        <w:t>periods</w:t>
      </w:r>
      <w:r w:rsidR="00E37FB0">
        <w:rPr>
          <w:rFonts w:hint="eastAsia"/>
          <w:sz w:val="24"/>
          <w:lang w:eastAsia="ja-JP"/>
        </w:rPr>
        <w:t xml:space="preserve"> </w:t>
      </w:r>
      <w:r w:rsidR="00A2019C">
        <w:rPr>
          <w:rFonts w:hint="eastAsia"/>
          <w:sz w:val="24"/>
          <w:lang w:eastAsia="ja-JP"/>
        </w:rPr>
        <w:t>throughout our experiment</w:t>
      </w:r>
      <w:r w:rsidR="00AB3D56">
        <w:rPr>
          <w:sz w:val="24"/>
          <w:lang w:eastAsia="ja-JP"/>
        </w:rPr>
        <w:t xml:space="preserve">. </w:t>
      </w:r>
      <w:r w:rsidR="004D2199">
        <w:rPr>
          <w:sz w:val="24"/>
          <w:lang w:eastAsia="ja-JP"/>
        </w:rPr>
        <w:t xml:space="preserve">The thick blue line with </w:t>
      </w:r>
      <w:r w:rsidR="00FA0BCD">
        <w:rPr>
          <w:sz w:val="24"/>
          <w:lang w:eastAsia="ja-JP"/>
        </w:rPr>
        <w:t xml:space="preserve">hollow </w:t>
      </w:r>
      <w:r w:rsidR="004D2199">
        <w:rPr>
          <w:sz w:val="24"/>
          <w:lang w:eastAsia="ja-JP"/>
        </w:rPr>
        <w:t>circular mar</w:t>
      </w:r>
      <w:r w:rsidR="004D2199">
        <w:rPr>
          <w:sz w:val="24"/>
          <w:lang w:eastAsia="ja-JP"/>
        </w:rPr>
        <w:t>k</w:t>
      </w:r>
      <w:r w:rsidR="004D2199">
        <w:rPr>
          <w:sz w:val="24"/>
          <w:lang w:eastAsia="ja-JP"/>
        </w:rPr>
        <w:t>ers is the average of six sessions in each panel.</w:t>
      </w:r>
    </w:p>
    <w:p w14:paraId="039AD3B4" w14:textId="77777777" w:rsidR="00A60613" w:rsidRPr="00A60613" w:rsidRDefault="00CC4386" w:rsidP="00A60613">
      <w:pPr>
        <w:spacing w:line="480" w:lineRule="auto"/>
        <w:ind w:firstLine="720"/>
        <w:jc w:val="center"/>
        <w:rPr>
          <w:i/>
          <w:sz w:val="24"/>
          <w:lang w:eastAsia="ja-JP"/>
        </w:rPr>
      </w:pPr>
      <w:r>
        <w:rPr>
          <w:rFonts w:hint="eastAsia"/>
          <w:i/>
          <w:sz w:val="24"/>
          <w:lang w:eastAsia="ja-JP"/>
        </w:rPr>
        <w:t>(</w:t>
      </w:r>
      <w:r w:rsidR="00A60613" w:rsidRPr="00A60613">
        <w:rPr>
          <w:i/>
          <w:sz w:val="24"/>
          <w:lang w:eastAsia="ja-JP"/>
        </w:rPr>
        <w:t>Figures 2 and 3 about here</w:t>
      </w:r>
      <w:r>
        <w:rPr>
          <w:rFonts w:hint="eastAsia"/>
          <w:i/>
          <w:sz w:val="24"/>
          <w:lang w:eastAsia="ja-JP"/>
        </w:rPr>
        <w:t>)</w:t>
      </w:r>
    </w:p>
    <w:p w14:paraId="483C37E4" w14:textId="6B4B1A8A" w:rsidR="00306E94" w:rsidRDefault="001A69E9" w:rsidP="00CE5F03">
      <w:pPr>
        <w:spacing w:line="480" w:lineRule="auto"/>
        <w:ind w:firstLine="720"/>
        <w:jc w:val="both"/>
        <w:rPr>
          <w:sz w:val="24"/>
          <w:lang w:eastAsia="ja-JP"/>
        </w:rPr>
      </w:pPr>
      <w:r>
        <w:rPr>
          <w:rFonts w:hint="eastAsia"/>
          <w:sz w:val="24"/>
          <w:lang w:eastAsia="ja-JP"/>
        </w:rPr>
        <w:lastRenderedPageBreak/>
        <w:t xml:space="preserve">Figure </w:t>
      </w:r>
      <w:r w:rsidR="00282005">
        <w:rPr>
          <w:rFonts w:hint="eastAsia"/>
          <w:sz w:val="24"/>
          <w:lang w:eastAsia="ja-JP"/>
        </w:rPr>
        <w:t>2</w:t>
      </w:r>
      <w:r>
        <w:rPr>
          <w:rFonts w:hint="eastAsia"/>
          <w:sz w:val="24"/>
          <w:lang w:eastAsia="ja-JP"/>
        </w:rPr>
        <w:t xml:space="preserve"> </w:t>
      </w:r>
      <w:r w:rsidR="005A4A14">
        <w:rPr>
          <w:sz w:val="24"/>
          <w:lang w:eastAsia="ja-JP"/>
        </w:rPr>
        <w:t xml:space="preserve">for </w:t>
      </w:r>
      <w:r w:rsidR="00F85140">
        <w:rPr>
          <w:rFonts w:hint="eastAsia"/>
          <w:sz w:val="24"/>
          <w:lang w:eastAsia="ja-JP"/>
        </w:rPr>
        <w:t>high-liquidity</w:t>
      </w:r>
      <w:r>
        <w:rPr>
          <w:rFonts w:hint="eastAsia"/>
          <w:sz w:val="24"/>
          <w:lang w:eastAsia="ja-JP"/>
        </w:rPr>
        <w:t xml:space="preserve"> sessions</w:t>
      </w:r>
      <w:r w:rsidR="005A4A14">
        <w:rPr>
          <w:sz w:val="24"/>
          <w:lang w:eastAsia="ja-JP"/>
        </w:rPr>
        <w:t xml:space="preserve"> shows </w:t>
      </w:r>
      <w:r>
        <w:rPr>
          <w:rFonts w:hint="eastAsia"/>
          <w:sz w:val="24"/>
          <w:lang w:eastAsia="ja-JP"/>
        </w:rPr>
        <w:t>that in T1H markets (the upper left panel) whe</w:t>
      </w:r>
      <w:r w:rsidR="00121434">
        <w:rPr>
          <w:sz w:val="24"/>
          <w:lang w:eastAsia="ja-JP"/>
        </w:rPr>
        <w:t>n</w:t>
      </w:r>
      <w:r>
        <w:rPr>
          <w:rFonts w:hint="eastAsia"/>
          <w:sz w:val="24"/>
          <w:lang w:eastAsia="ja-JP"/>
        </w:rPr>
        <w:t xml:space="preserve"> the </w:t>
      </w:r>
      <w:r w:rsidR="008C73A8">
        <w:rPr>
          <w:rFonts w:hint="eastAsia"/>
          <w:sz w:val="24"/>
          <w:lang w:eastAsia="ja-JP"/>
        </w:rPr>
        <w:t>dividend-collecting</w:t>
      </w:r>
      <w:r w:rsidR="00282005">
        <w:rPr>
          <w:rFonts w:hint="eastAsia"/>
          <w:sz w:val="24"/>
          <w:lang w:eastAsia="ja-JP"/>
        </w:rPr>
        <w:t xml:space="preserve"> </w:t>
      </w:r>
      <w:r>
        <w:rPr>
          <w:rFonts w:hint="eastAsia"/>
          <w:sz w:val="24"/>
          <w:lang w:eastAsia="ja-JP"/>
        </w:rPr>
        <w:t xml:space="preserve">generation (G1) </w:t>
      </w:r>
      <w:r w:rsidR="00121434">
        <w:rPr>
          <w:sz w:val="24"/>
          <w:lang w:eastAsia="ja-JP"/>
        </w:rPr>
        <w:t>is</w:t>
      </w:r>
      <w:r w:rsidR="00121434">
        <w:rPr>
          <w:rFonts w:hint="eastAsia"/>
          <w:sz w:val="24"/>
          <w:lang w:eastAsia="ja-JP"/>
        </w:rPr>
        <w:t xml:space="preserve"> </w:t>
      </w:r>
      <w:r w:rsidR="00CE5F03">
        <w:rPr>
          <w:sz w:val="24"/>
          <w:lang w:eastAsia="ja-JP"/>
        </w:rPr>
        <w:t xml:space="preserve">always </w:t>
      </w:r>
      <w:r w:rsidR="00282005">
        <w:rPr>
          <w:rFonts w:hint="eastAsia"/>
          <w:sz w:val="24"/>
          <w:lang w:eastAsia="ja-JP"/>
        </w:rPr>
        <w:t>present</w:t>
      </w:r>
      <w:r>
        <w:rPr>
          <w:rFonts w:hint="eastAsia"/>
          <w:sz w:val="24"/>
          <w:lang w:eastAsia="ja-JP"/>
        </w:rPr>
        <w:t xml:space="preserve">, prices are </w:t>
      </w:r>
      <w:r w:rsidR="005228B1">
        <w:rPr>
          <w:sz w:val="24"/>
          <w:lang w:eastAsia="ja-JP"/>
        </w:rPr>
        <w:t>usu</w:t>
      </w:r>
      <w:r w:rsidR="005228B1">
        <w:rPr>
          <w:rFonts w:hint="eastAsia"/>
          <w:sz w:val="24"/>
          <w:lang w:eastAsia="ja-JP"/>
        </w:rPr>
        <w:t xml:space="preserve">ally </w:t>
      </w:r>
      <w:r>
        <w:rPr>
          <w:rFonts w:hint="eastAsia"/>
          <w:sz w:val="24"/>
          <w:lang w:eastAsia="ja-JP"/>
        </w:rPr>
        <w:t xml:space="preserve">close to fundamentals (50) </w:t>
      </w:r>
      <w:r>
        <w:rPr>
          <w:sz w:val="24"/>
          <w:lang w:eastAsia="ja-JP"/>
        </w:rPr>
        <w:t>throughout</w:t>
      </w:r>
      <w:r>
        <w:rPr>
          <w:rFonts w:hint="eastAsia"/>
          <w:sz w:val="24"/>
          <w:lang w:eastAsia="ja-JP"/>
        </w:rPr>
        <w:t xml:space="preserve"> the session. While prices are relatively high in </w:t>
      </w:r>
      <w:r w:rsidR="00E71E9F">
        <w:rPr>
          <w:sz w:val="24"/>
          <w:lang w:eastAsia="ja-JP"/>
        </w:rPr>
        <w:t>p</w:t>
      </w:r>
      <w:r>
        <w:rPr>
          <w:rFonts w:hint="eastAsia"/>
          <w:sz w:val="24"/>
          <w:lang w:eastAsia="ja-JP"/>
        </w:rPr>
        <w:t xml:space="preserve">eriod 1, they </w:t>
      </w:r>
      <w:r w:rsidR="005A4A14">
        <w:rPr>
          <w:sz w:val="24"/>
          <w:lang w:eastAsia="ja-JP"/>
        </w:rPr>
        <w:t>tend towards</w:t>
      </w:r>
      <w:r>
        <w:rPr>
          <w:rFonts w:hint="eastAsia"/>
          <w:sz w:val="24"/>
          <w:lang w:eastAsia="ja-JP"/>
        </w:rPr>
        <w:t xml:space="preserve"> fundamentals </w:t>
      </w:r>
      <w:r w:rsidR="005A4A14">
        <w:rPr>
          <w:sz w:val="24"/>
          <w:lang w:eastAsia="ja-JP"/>
        </w:rPr>
        <w:t>with time</w:t>
      </w:r>
      <w:r>
        <w:rPr>
          <w:rFonts w:hint="eastAsia"/>
          <w:sz w:val="24"/>
          <w:lang w:eastAsia="ja-JP"/>
        </w:rPr>
        <w:t xml:space="preserve"> (except </w:t>
      </w:r>
      <w:r w:rsidR="005A4A14">
        <w:rPr>
          <w:sz w:val="24"/>
          <w:lang w:eastAsia="ja-JP"/>
        </w:rPr>
        <w:t xml:space="preserve">in </w:t>
      </w:r>
      <w:r>
        <w:rPr>
          <w:rFonts w:hint="eastAsia"/>
          <w:sz w:val="24"/>
          <w:lang w:eastAsia="ja-JP"/>
        </w:rPr>
        <w:t xml:space="preserve">one </w:t>
      </w:r>
      <w:r w:rsidR="005A4A14">
        <w:rPr>
          <w:sz w:val="24"/>
          <w:lang w:eastAsia="ja-JP"/>
        </w:rPr>
        <w:t>session</w:t>
      </w:r>
      <w:r>
        <w:rPr>
          <w:rFonts w:hint="eastAsia"/>
          <w:sz w:val="24"/>
          <w:lang w:eastAsia="ja-JP"/>
        </w:rPr>
        <w:t>), and they converge to the fu</w:t>
      </w:r>
      <w:r>
        <w:rPr>
          <w:rFonts w:hint="eastAsia"/>
          <w:sz w:val="24"/>
          <w:lang w:eastAsia="ja-JP"/>
        </w:rPr>
        <w:t>n</w:t>
      </w:r>
      <w:r>
        <w:rPr>
          <w:rFonts w:hint="eastAsia"/>
          <w:sz w:val="24"/>
          <w:lang w:eastAsia="ja-JP"/>
        </w:rPr>
        <w:t>damental</w:t>
      </w:r>
      <w:r w:rsidR="00024EF1">
        <w:rPr>
          <w:sz w:val="24"/>
          <w:lang w:eastAsia="ja-JP"/>
        </w:rPr>
        <w:t xml:space="preserve"> value</w:t>
      </w:r>
      <w:r>
        <w:rPr>
          <w:rFonts w:hint="eastAsia"/>
          <w:sz w:val="24"/>
          <w:lang w:eastAsia="ja-JP"/>
        </w:rPr>
        <w:t xml:space="preserve"> in the last period (Period 16) in four of the six markets. </w:t>
      </w:r>
      <w:r w:rsidR="00890589">
        <w:rPr>
          <w:rFonts w:hint="eastAsia"/>
          <w:sz w:val="24"/>
          <w:lang w:eastAsia="ja-JP"/>
        </w:rPr>
        <w:t>This result is co</w:t>
      </w:r>
      <w:r w:rsidR="00890589">
        <w:rPr>
          <w:rFonts w:hint="eastAsia"/>
          <w:sz w:val="24"/>
          <w:lang w:eastAsia="ja-JP"/>
        </w:rPr>
        <w:t>n</w:t>
      </w:r>
      <w:r w:rsidR="00890589">
        <w:rPr>
          <w:rFonts w:hint="eastAsia"/>
          <w:sz w:val="24"/>
          <w:lang w:eastAsia="ja-JP"/>
        </w:rPr>
        <w:t xml:space="preserve">sistent with </w:t>
      </w:r>
      <w:r w:rsidR="00E44B0A">
        <w:rPr>
          <w:sz w:val="24"/>
          <w:lang w:eastAsia="ja-JP"/>
        </w:rPr>
        <w:t xml:space="preserve">results of </w:t>
      </w:r>
      <w:r w:rsidR="00706E49">
        <w:rPr>
          <w:rFonts w:hint="eastAsia"/>
          <w:sz w:val="24"/>
          <w:lang w:eastAsia="ja-JP"/>
        </w:rPr>
        <w:t>earlier</w:t>
      </w:r>
      <w:r w:rsidR="00890589">
        <w:rPr>
          <w:rFonts w:hint="eastAsia"/>
          <w:sz w:val="24"/>
          <w:lang w:eastAsia="ja-JP"/>
        </w:rPr>
        <w:t xml:space="preserve"> experimental studies with constant fundamental values which report that prices tend to converge to fundamentals </w:t>
      </w:r>
      <w:r w:rsidR="00890589" w:rsidRPr="00890589">
        <w:rPr>
          <w:rFonts w:hint="eastAsia"/>
          <w:sz w:val="24"/>
          <w:szCs w:val="24"/>
          <w:lang w:eastAsia="ja-JP"/>
        </w:rPr>
        <w:t>(</w:t>
      </w:r>
      <w:r w:rsidR="00890589" w:rsidRPr="00890589">
        <w:rPr>
          <w:sz w:val="24"/>
          <w:szCs w:val="24"/>
        </w:rPr>
        <w:t>Porter and Smith 1995, Smith et al. 2000, Noussair et al. 2001, Kirchler et al. 2012, Stöckl et al. 2015</w:t>
      </w:r>
      <w:r w:rsidR="00890589" w:rsidRPr="00890589">
        <w:rPr>
          <w:rFonts w:hint="eastAsia"/>
          <w:sz w:val="24"/>
          <w:szCs w:val="24"/>
          <w:lang w:eastAsia="ja-JP"/>
        </w:rPr>
        <w:t>).</w:t>
      </w:r>
      <w:r w:rsidR="00B54B35">
        <w:rPr>
          <w:rStyle w:val="Funotenzeichen"/>
          <w:sz w:val="24"/>
          <w:lang w:eastAsia="ja-JP"/>
        </w:rPr>
        <w:footnoteReference w:id="31"/>
      </w:r>
      <w:r w:rsidR="00306E94">
        <w:rPr>
          <w:sz w:val="24"/>
          <w:lang w:eastAsia="ja-JP"/>
        </w:rPr>
        <w:t xml:space="preserve"> </w:t>
      </w:r>
      <w:r w:rsidR="00CE5F03">
        <w:rPr>
          <w:sz w:val="24"/>
          <w:lang w:eastAsia="ja-JP"/>
        </w:rPr>
        <w:t xml:space="preserve">In contrast, </w:t>
      </w:r>
      <w:r>
        <w:rPr>
          <w:rFonts w:hint="eastAsia"/>
          <w:sz w:val="24"/>
          <w:lang w:eastAsia="ja-JP"/>
        </w:rPr>
        <w:t>in treatments T2H, T4H, T8H</w:t>
      </w:r>
      <w:r w:rsidR="00711D4A">
        <w:rPr>
          <w:sz w:val="24"/>
          <w:lang w:eastAsia="ja-JP"/>
        </w:rPr>
        <w:t>,</w:t>
      </w:r>
      <w:r>
        <w:rPr>
          <w:rFonts w:hint="eastAsia"/>
          <w:sz w:val="24"/>
          <w:lang w:eastAsia="ja-JP"/>
        </w:rPr>
        <w:t xml:space="preserve"> where </w:t>
      </w:r>
      <w:r w:rsidR="009973AF">
        <w:rPr>
          <w:sz w:val="24"/>
          <w:lang w:eastAsia="ja-JP"/>
        </w:rPr>
        <w:t xml:space="preserve">many </w:t>
      </w:r>
      <w:r w:rsidR="00E44B0A">
        <w:rPr>
          <w:sz w:val="24"/>
          <w:lang w:eastAsia="ja-JP"/>
        </w:rPr>
        <w:t>periods without dividend-collecting</w:t>
      </w:r>
      <w:r>
        <w:rPr>
          <w:rFonts w:hint="eastAsia"/>
          <w:sz w:val="24"/>
          <w:lang w:eastAsia="ja-JP"/>
        </w:rPr>
        <w:t xml:space="preserve"> generations </w:t>
      </w:r>
      <w:r w:rsidR="00E44B0A">
        <w:rPr>
          <w:sz w:val="24"/>
          <w:lang w:eastAsia="ja-JP"/>
        </w:rPr>
        <w:t xml:space="preserve">exist, </w:t>
      </w:r>
      <w:r w:rsidR="00024EF1">
        <w:rPr>
          <w:sz w:val="24"/>
          <w:lang w:eastAsia="ja-JP"/>
        </w:rPr>
        <w:t>deviation</w:t>
      </w:r>
      <w:r w:rsidR="00E44B0A">
        <w:rPr>
          <w:sz w:val="24"/>
          <w:lang w:eastAsia="ja-JP"/>
        </w:rPr>
        <w:t>s</w:t>
      </w:r>
      <w:r w:rsidR="00024EF1">
        <w:rPr>
          <w:sz w:val="24"/>
          <w:lang w:eastAsia="ja-JP"/>
        </w:rPr>
        <w:t xml:space="preserve"> of </w:t>
      </w:r>
      <w:r>
        <w:rPr>
          <w:rFonts w:hint="eastAsia"/>
          <w:sz w:val="24"/>
          <w:lang w:eastAsia="ja-JP"/>
        </w:rPr>
        <w:t>prices from fundamentals</w:t>
      </w:r>
      <w:r w:rsidR="00024EF1">
        <w:rPr>
          <w:sz w:val="24"/>
          <w:lang w:eastAsia="ja-JP"/>
        </w:rPr>
        <w:t xml:space="preserve"> </w:t>
      </w:r>
      <w:r w:rsidR="00E44B0A">
        <w:rPr>
          <w:sz w:val="24"/>
          <w:lang w:eastAsia="ja-JP"/>
        </w:rPr>
        <w:t>are</w:t>
      </w:r>
      <w:r w:rsidR="00024EF1">
        <w:rPr>
          <w:sz w:val="24"/>
          <w:lang w:eastAsia="ja-JP"/>
        </w:rPr>
        <w:t xml:space="preserve"> greater and more persistent</w:t>
      </w:r>
      <w:r>
        <w:rPr>
          <w:rFonts w:hint="eastAsia"/>
          <w:sz w:val="24"/>
          <w:lang w:eastAsia="ja-JP"/>
        </w:rPr>
        <w:t xml:space="preserve">. </w:t>
      </w:r>
      <w:r w:rsidR="00711D4A">
        <w:rPr>
          <w:sz w:val="24"/>
          <w:lang w:eastAsia="ja-JP"/>
        </w:rPr>
        <w:t xml:space="preserve">Usually prices </w:t>
      </w:r>
      <w:r w:rsidR="00E16360">
        <w:rPr>
          <w:sz w:val="24"/>
          <w:lang w:eastAsia="ja-JP"/>
        </w:rPr>
        <w:t xml:space="preserve">appear to </w:t>
      </w:r>
      <w:r w:rsidR="00711D4A">
        <w:rPr>
          <w:sz w:val="24"/>
          <w:lang w:eastAsia="ja-JP"/>
        </w:rPr>
        <w:t>only co</w:t>
      </w:r>
      <w:r w:rsidR="00711D4A">
        <w:rPr>
          <w:sz w:val="24"/>
          <w:lang w:eastAsia="ja-JP"/>
        </w:rPr>
        <w:t>n</w:t>
      </w:r>
      <w:r w:rsidR="00711D4A">
        <w:rPr>
          <w:sz w:val="24"/>
          <w:lang w:eastAsia="ja-JP"/>
        </w:rPr>
        <w:t xml:space="preserve">verge towards fundamentals once </w:t>
      </w:r>
      <w:r w:rsidR="004D2199">
        <w:rPr>
          <w:sz w:val="24"/>
          <w:lang w:eastAsia="ja-JP"/>
        </w:rPr>
        <w:t xml:space="preserve">the </w:t>
      </w:r>
      <w:r w:rsidR="0043187A">
        <w:rPr>
          <w:rFonts w:hint="eastAsia"/>
          <w:sz w:val="24"/>
          <w:lang w:eastAsia="ja-JP"/>
        </w:rPr>
        <w:t>dividend</w:t>
      </w:r>
      <w:r w:rsidR="004D2199">
        <w:rPr>
          <w:sz w:val="24"/>
          <w:lang w:eastAsia="ja-JP"/>
        </w:rPr>
        <w:t>-</w:t>
      </w:r>
      <w:r w:rsidR="0043187A">
        <w:rPr>
          <w:rFonts w:hint="eastAsia"/>
          <w:sz w:val="24"/>
          <w:lang w:eastAsia="ja-JP"/>
        </w:rPr>
        <w:t>collecting investors (</w:t>
      </w:r>
      <w:r w:rsidR="004D2199">
        <w:rPr>
          <w:sz w:val="24"/>
          <w:lang w:eastAsia="ja-JP"/>
        </w:rPr>
        <w:t xml:space="preserve">of </w:t>
      </w:r>
      <w:r w:rsidR="00711D4A">
        <w:rPr>
          <w:sz w:val="24"/>
          <w:lang w:eastAsia="ja-JP"/>
        </w:rPr>
        <w:t xml:space="preserve">the </w:t>
      </w:r>
      <w:r>
        <w:rPr>
          <w:rFonts w:hint="eastAsia"/>
          <w:sz w:val="24"/>
          <w:lang w:eastAsia="ja-JP"/>
        </w:rPr>
        <w:t>last generation</w:t>
      </w:r>
      <w:r w:rsidR="0043187A">
        <w:rPr>
          <w:rFonts w:hint="eastAsia"/>
          <w:sz w:val="24"/>
          <w:lang w:eastAsia="ja-JP"/>
        </w:rPr>
        <w:t>)</w:t>
      </w:r>
      <w:r>
        <w:rPr>
          <w:rFonts w:hint="eastAsia"/>
          <w:sz w:val="24"/>
          <w:lang w:eastAsia="ja-JP"/>
        </w:rPr>
        <w:t xml:space="preserve"> enter</w:t>
      </w:r>
      <w:r w:rsidR="00F70A8E">
        <w:rPr>
          <w:sz w:val="24"/>
          <w:lang w:eastAsia="ja-JP"/>
        </w:rPr>
        <w:t xml:space="preserve"> the market</w:t>
      </w:r>
      <w:r w:rsidR="00711D4A">
        <w:rPr>
          <w:sz w:val="24"/>
          <w:lang w:eastAsia="ja-JP"/>
        </w:rPr>
        <w:t xml:space="preserve">. </w:t>
      </w:r>
    </w:p>
    <w:p w14:paraId="3F38B496" w14:textId="77777777" w:rsidR="00306E94" w:rsidRDefault="00D007E1" w:rsidP="001A69E9">
      <w:pPr>
        <w:spacing w:line="480" w:lineRule="auto"/>
        <w:ind w:firstLine="720"/>
        <w:jc w:val="both"/>
        <w:rPr>
          <w:sz w:val="24"/>
          <w:lang w:eastAsia="ja-JP"/>
        </w:rPr>
      </w:pPr>
      <w:r>
        <w:rPr>
          <w:sz w:val="24"/>
          <w:lang w:eastAsia="ja-JP"/>
        </w:rPr>
        <w:t xml:space="preserve">The </w:t>
      </w:r>
      <w:r w:rsidR="00F85140">
        <w:rPr>
          <w:sz w:val="24"/>
          <w:lang w:eastAsia="ja-JP"/>
        </w:rPr>
        <w:t>low-liquidity</w:t>
      </w:r>
      <w:r>
        <w:rPr>
          <w:sz w:val="24"/>
          <w:lang w:eastAsia="ja-JP"/>
        </w:rPr>
        <w:t xml:space="preserve"> sessions </w:t>
      </w:r>
      <w:r w:rsidR="00A27AF4">
        <w:rPr>
          <w:sz w:val="24"/>
          <w:lang w:eastAsia="ja-JP"/>
        </w:rPr>
        <w:t xml:space="preserve">depicted </w:t>
      </w:r>
      <w:r>
        <w:rPr>
          <w:sz w:val="24"/>
          <w:lang w:eastAsia="ja-JP"/>
        </w:rPr>
        <w:t xml:space="preserve">in </w:t>
      </w:r>
      <w:r w:rsidR="001A69E9">
        <w:rPr>
          <w:rFonts w:hint="eastAsia"/>
          <w:sz w:val="24"/>
          <w:lang w:eastAsia="ja-JP"/>
        </w:rPr>
        <w:t xml:space="preserve">Figure </w:t>
      </w:r>
      <w:r w:rsidR="00282005">
        <w:rPr>
          <w:rFonts w:hint="eastAsia"/>
          <w:sz w:val="24"/>
          <w:lang w:eastAsia="ja-JP"/>
        </w:rPr>
        <w:t>3</w:t>
      </w:r>
      <w:r w:rsidR="00690F25">
        <w:rPr>
          <w:rFonts w:hint="eastAsia"/>
          <w:sz w:val="24"/>
          <w:lang w:eastAsia="ja-JP"/>
        </w:rPr>
        <w:t xml:space="preserve"> </w:t>
      </w:r>
      <w:r>
        <w:rPr>
          <w:sz w:val="24"/>
          <w:lang w:eastAsia="ja-JP"/>
        </w:rPr>
        <w:t>exhibit a similar</w:t>
      </w:r>
      <w:r w:rsidR="001A69E9">
        <w:rPr>
          <w:rFonts w:hint="eastAsia"/>
          <w:sz w:val="24"/>
          <w:lang w:eastAsia="ja-JP"/>
        </w:rPr>
        <w:t xml:space="preserve"> tendency</w:t>
      </w:r>
      <w:r w:rsidR="00E71E9F">
        <w:rPr>
          <w:sz w:val="24"/>
          <w:lang w:eastAsia="ja-JP"/>
        </w:rPr>
        <w:t xml:space="preserve"> of more </w:t>
      </w:r>
      <w:r w:rsidR="00AA7D9C">
        <w:rPr>
          <w:sz w:val="24"/>
          <w:lang w:eastAsia="ja-JP"/>
        </w:rPr>
        <w:t>i</w:t>
      </w:r>
      <w:r w:rsidR="00AA7D9C">
        <w:rPr>
          <w:sz w:val="24"/>
          <w:lang w:eastAsia="ja-JP"/>
        </w:rPr>
        <w:t>n</w:t>
      </w:r>
      <w:r w:rsidR="00AA7D9C">
        <w:rPr>
          <w:sz w:val="24"/>
          <w:lang w:eastAsia="ja-JP"/>
        </w:rPr>
        <w:t>efficiency</w:t>
      </w:r>
      <w:r w:rsidR="00E71E9F">
        <w:rPr>
          <w:sz w:val="24"/>
          <w:lang w:eastAsia="ja-JP"/>
        </w:rPr>
        <w:t xml:space="preserve"> in period</w:t>
      </w:r>
      <w:r w:rsidR="00306E94">
        <w:rPr>
          <w:sz w:val="24"/>
          <w:lang w:eastAsia="ja-JP"/>
        </w:rPr>
        <w:t>s</w:t>
      </w:r>
      <w:r w:rsidR="00E71E9F">
        <w:rPr>
          <w:sz w:val="24"/>
          <w:lang w:eastAsia="ja-JP"/>
        </w:rPr>
        <w:t xml:space="preserve"> with only speculating investors active</w:t>
      </w:r>
      <w:r w:rsidR="001A69E9">
        <w:rPr>
          <w:rFonts w:hint="eastAsia"/>
          <w:sz w:val="24"/>
          <w:lang w:eastAsia="ja-JP"/>
        </w:rPr>
        <w:t>. While prices are close to fund</w:t>
      </w:r>
      <w:r w:rsidR="001A69E9">
        <w:rPr>
          <w:rFonts w:hint="eastAsia"/>
          <w:sz w:val="24"/>
          <w:lang w:eastAsia="ja-JP"/>
        </w:rPr>
        <w:t>a</w:t>
      </w:r>
      <w:r w:rsidR="001A69E9">
        <w:rPr>
          <w:rFonts w:hint="eastAsia"/>
          <w:sz w:val="24"/>
          <w:lang w:eastAsia="ja-JP"/>
        </w:rPr>
        <w:t xml:space="preserve">mentals in </w:t>
      </w:r>
      <w:r w:rsidR="00A27AF4">
        <w:rPr>
          <w:sz w:val="24"/>
          <w:lang w:eastAsia="ja-JP"/>
        </w:rPr>
        <w:t>periods</w:t>
      </w:r>
      <w:r w:rsidR="001A69E9">
        <w:rPr>
          <w:rFonts w:hint="eastAsia"/>
          <w:sz w:val="24"/>
          <w:lang w:eastAsia="ja-JP"/>
        </w:rPr>
        <w:t xml:space="preserve"> with </w:t>
      </w:r>
      <w:r w:rsidR="001C2A7A">
        <w:rPr>
          <w:rFonts w:hint="eastAsia"/>
          <w:sz w:val="24"/>
          <w:lang w:eastAsia="ja-JP"/>
        </w:rPr>
        <w:t>dividend</w:t>
      </w:r>
      <w:r w:rsidR="004D2199">
        <w:rPr>
          <w:sz w:val="24"/>
          <w:lang w:eastAsia="ja-JP"/>
        </w:rPr>
        <w:t>-</w:t>
      </w:r>
      <w:r w:rsidR="001C2A7A">
        <w:rPr>
          <w:rFonts w:hint="eastAsia"/>
          <w:sz w:val="24"/>
          <w:lang w:eastAsia="ja-JP"/>
        </w:rPr>
        <w:t>collecting</w:t>
      </w:r>
      <w:r w:rsidR="001A69E9">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1A69E9">
        <w:rPr>
          <w:rFonts w:hint="eastAsia"/>
          <w:sz w:val="24"/>
          <w:lang w:eastAsia="ja-JP"/>
        </w:rPr>
        <w:t xml:space="preserve"> (</w:t>
      </w:r>
      <w:r w:rsidR="004D2199">
        <w:rPr>
          <w:sz w:val="24"/>
          <w:lang w:eastAsia="ja-JP"/>
        </w:rPr>
        <w:t>of</w:t>
      </w:r>
      <w:r w:rsidR="004D2199">
        <w:rPr>
          <w:rFonts w:hint="eastAsia"/>
          <w:sz w:val="24"/>
          <w:lang w:eastAsia="ja-JP"/>
        </w:rPr>
        <w:t xml:space="preserve"> </w:t>
      </w:r>
      <w:r w:rsidR="001A69E9">
        <w:rPr>
          <w:rFonts w:hint="eastAsia"/>
          <w:sz w:val="24"/>
          <w:lang w:eastAsia="ja-JP"/>
        </w:rPr>
        <w:t>the last generation)</w:t>
      </w:r>
      <w:r w:rsidR="00A27AF4">
        <w:rPr>
          <w:sz w:val="24"/>
          <w:lang w:eastAsia="ja-JP"/>
        </w:rPr>
        <w:t xml:space="preserve"> present</w:t>
      </w:r>
      <w:r w:rsidR="001A69E9">
        <w:rPr>
          <w:rFonts w:hint="eastAsia"/>
          <w:sz w:val="24"/>
          <w:lang w:eastAsia="ja-JP"/>
        </w:rPr>
        <w:t xml:space="preserve">, they deviate from fundamentals in </w:t>
      </w:r>
      <w:r w:rsidR="00A27AF4">
        <w:rPr>
          <w:sz w:val="24"/>
          <w:lang w:eastAsia="ja-JP"/>
        </w:rPr>
        <w:t>periods</w:t>
      </w:r>
      <w:r w:rsidR="001A69E9">
        <w:rPr>
          <w:rFonts w:hint="eastAsia"/>
          <w:sz w:val="24"/>
          <w:lang w:eastAsia="ja-JP"/>
        </w:rPr>
        <w:t xml:space="preserve"> with only </w:t>
      </w:r>
      <w:r w:rsidR="001C2A7A">
        <w:rPr>
          <w:rFonts w:hint="eastAsia"/>
          <w:sz w:val="24"/>
          <w:lang w:eastAsia="ja-JP"/>
        </w:rPr>
        <w:t>speculating</w:t>
      </w:r>
      <w:r w:rsidR="001A69E9">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E44B0A">
        <w:rPr>
          <w:sz w:val="24"/>
          <w:lang w:eastAsia="ja-JP"/>
        </w:rPr>
        <w:t xml:space="preserve"> present</w:t>
      </w:r>
      <w:r w:rsidR="001A69E9">
        <w:rPr>
          <w:rFonts w:hint="eastAsia"/>
          <w:sz w:val="24"/>
          <w:lang w:eastAsia="ja-JP"/>
        </w:rPr>
        <w:t xml:space="preserve">. </w:t>
      </w:r>
      <w:r>
        <w:rPr>
          <w:sz w:val="24"/>
          <w:lang w:eastAsia="ja-JP"/>
        </w:rPr>
        <w:t>I</w:t>
      </w:r>
      <w:r w:rsidR="001A69E9">
        <w:rPr>
          <w:rFonts w:hint="eastAsia"/>
          <w:sz w:val="24"/>
          <w:lang w:eastAsia="ja-JP"/>
        </w:rPr>
        <w:t xml:space="preserve">n all periods in T1L, </w:t>
      </w:r>
      <w:r w:rsidR="00E71E9F">
        <w:rPr>
          <w:sz w:val="24"/>
          <w:lang w:eastAsia="ja-JP"/>
        </w:rPr>
        <w:t>p</w:t>
      </w:r>
      <w:r w:rsidR="001A69E9">
        <w:rPr>
          <w:rFonts w:hint="eastAsia"/>
          <w:sz w:val="24"/>
          <w:lang w:eastAsia="ja-JP"/>
        </w:rPr>
        <w:t xml:space="preserve">eriods 9-16 in T2L, </w:t>
      </w:r>
      <w:r w:rsidR="00E71E9F">
        <w:rPr>
          <w:sz w:val="24"/>
          <w:lang w:eastAsia="ja-JP"/>
        </w:rPr>
        <w:t>p</w:t>
      </w:r>
      <w:r w:rsidR="001A69E9">
        <w:rPr>
          <w:rFonts w:hint="eastAsia"/>
          <w:sz w:val="24"/>
          <w:lang w:eastAsia="ja-JP"/>
        </w:rPr>
        <w:t xml:space="preserve">eriods 13-16 in T4L, and </w:t>
      </w:r>
      <w:r w:rsidR="00E71E9F">
        <w:rPr>
          <w:sz w:val="24"/>
          <w:lang w:eastAsia="ja-JP"/>
        </w:rPr>
        <w:t>p</w:t>
      </w:r>
      <w:r w:rsidR="001A69E9">
        <w:rPr>
          <w:rFonts w:hint="eastAsia"/>
          <w:sz w:val="24"/>
          <w:lang w:eastAsia="ja-JP"/>
        </w:rPr>
        <w:t>eriods 15-16 in T8L</w:t>
      </w:r>
      <w:r w:rsidR="00E71E9F">
        <w:rPr>
          <w:sz w:val="24"/>
          <w:lang w:eastAsia="ja-JP"/>
        </w:rPr>
        <w:t>,</w:t>
      </w:r>
      <w:r w:rsidR="001A69E9">
        <w:rPr>
          <w:rFonts w:hint="eastAsia"/>
          <w:sz w:val="24"/>
          <w:lang w:eastAsia="ja-JP"/>
        </w:rPr>
        <w:t xml:space="preserve"> where the</w:t>
      </w:r>
      <w:r w:rsidR="009A0014">
        <w:rPr>
          <w:sz w:val="24"/>
          <w:lang w:eastAsia="ja-JP"/>
        </w:rPr>
        <w:t xml:space="preserve"> respe</w:t>
      </w:r>
      <w:r w:rsidR="009A0014">
        <w:rPr>
          <w:sz w:val="24"/>
          <w:lang w:eastAsia="ja-JP"/>
        </w:rPr>
        <w:t>c</w:t>
      </w:r>
      <w:r w:rsidR="009A0014">
        <w:rPr>
          <w:sz w:val="24"/>
          <w:lang w:eastAsia="ja-JP"/>
        </w:rPr>
        <w:t xml:space="preserve">tive </w:t>
      </w:r>
      <w:r w:rsidR="001C2A7A">
        <w:rPr>
          <w:rFonts w:hint="eastAsia"/>
          <w:sz w:val="24"/>
          <w:lang w:eastAsia="ja-JP"/>
        </w:rPr>
        <w:t>(</w:t>
      </w:r>
      <w:r>
        <w:rPr>
          <w:sz w:val="24"/>
          <w:lang w:eastAsia="ja-JP"/>
        </w:rPr>
        <w:t>dividend</w:t>
      </w:r>
      <w:r w:rsidR="004D2199">
        <w:rPr>
          <w:sz w:val="24"/>
          <w:lang w:eastAsia="ja-JP"/>
        </w:rPr>
        <w:t>-</w:t>
      </w:r>
      <w:r>
        <w:rPr>
          <w:sz w:val="24"/>
          <w:lang w:eastAsia="ja-JP"/>
        </w:rPr>
        <w:t xml:space="preserve">collecting) </w:t>
      </w:r>
      <w:r w:rsidR="001A69E9">
        <w:rPr>
          <w:rFonts w:hint="eastAsia"/>
          <w:sz w:val="24"/>
          <w:lang w:eastAsia="ja-JP"/>
        </w:rPr>
        <w:t>last gene</w:t>
      </w:r>
      <w:r>
        <w:rPr>
          <w:sz w:val="24"/>
          <w:lang w:eastAsia="ja-JP"/>
        </w:rPr>
        <w:t>r</w:t>
      </w:r>
      <w:r w:rsidR="001A69E9">
        <w:rPr>
          <w:rFonts w:hint="eastAsia"/>
          <w:sz w:val="24"/>
          <w:lang w:eastAsia="ja-JP"/>
        </w:rPr>
        <w:t xml:space="preserve">ation </w:t>
      </w:r>
      <w:r w:rsidR="009A0014">
        <w:rPr>
          <w:sz w:val="24"/>
          <w:lang w:eastAsia="ja-JP"/>
        </w:rPr>
        <w:t>is</w:t>
      </w:r>
      <w:r w:rsidR="001A69E9">
        <w:rPr>
          <w:rFonts w:hint="eastAsia"/>
          <w:sz w:val="24"/>
          <w:lang w:eastAsia="ja-JP"/>
        </w:rPr>
        <w:t xml:space="preserve"> present, prices are close to or converge </w:t>
      </w:r>
      <w:r w:rsidR="00F37290">
        <w:rPr>
          <w:sz w:val="24"/>
          <w:lang w:eastAsia="ja-JP"/>
        </w:rPr>
        <w:t xml:space="preserve">to </w:t>
      </w:r>
      <w:r w:rsidR="00690F25">
        <w:rPr>
          <w:sz w:val="24"/>
          <w:lang w:eastAsia="ja-JP"/>
        </w:rPr>
        <w:t>near</w:t>
      </w:r>
      <w:r w:rsidR="00690F25">
        <w:rPr>
          <w:rFonts w:hint="eastAsia"/>
          <w:sz w:val="24"/>
          <w:lang w:eastAsia="ja-JP"/>
        </w:rPr>
        <w:t xml:space="preserve"> </w:t>
      </w:r>
      <w:r w:rsidR="001A69E9">
        <w:rPr>
          <w:rFonts w:hint="eastAsia"/>
          <w:sz w:val="24"/>
          <w:lang w:eastAsia="ja-JP"/>
        </w:rPr>
        <w:t>the fundamental</w:t>
      </w:r>
      <w:r w:rsidR="00690F25">
        <w:rPr>
          <w:sz w:val="24"/>
          <w:lang w:eastAsia="ja-JP"/>
        </w:rPr>
        <w:t xml:space="preserve"> value. </w:t>
      </w:r>
      <w:r w:rsidR="00E44B0A">
        <w:rPr>
          <w:sz w:val="24"/>
          <w:lang w:eastAsia="ja-JP"/>
        </w:rPr>
        <w:t>Prices</w:t>
      </w:r>
      <w:r w:rsidR="001A69E9">
        <w:rPr>
          <w:rFonts w:hint="eastAsia"/>
          <w:sz w:val="24"/>
          <w:lang w:eastAsia="ja-JP"/>
        </w:rPr>
        <w:t xml:space="preserve"> </w:t>
      </w:r>
      <w:r w:rsidR="001A69E9">
        <w:rPr>
          <w:sz w:val="24"/>
          <w:lang w:eastAsia="ja-JP"/>
        </w:rPr>
        <w:t>significantly</w:t>
      </w:r>
      <w:r w:rsidR="001A69E9">
        <w:rPr>
          <w:rFonts w:hint="eastAsia"/>
          <w:sz w:val="24"/>
          <w:lang w:eastAsia="ja-JP"/>
        </w:rPr>
        <w:t xml:space="preserve"> deviate from the fundamentals in other periods. </w:t>
      </w:r>
    </w:p>
    <w:p w14:paraId="6B34F3BD" w14:textId="7BA019C8" w:rsidR="001A69E9" w:rsidRDefault="00306E94" w:rsidP="001A69E9">
      <w:pPr>
        <w:spacing w:line="480" w:lineRule="auto"/>
        <w:ind w:firstLine="720"/>
        <w:jc w:val="both"/>
        <w:rPr>
          <w:sz w:val="24"/>
          <w:lang w:eastAsia="ja-JP"/>
        </w:rPr>
      </w:pPr>
      <w:r>
        <w:rPr>
          <w:sz w:val="24"/>
          <w:lang w:eastAsia="ja-JP"/>
        </w:rPr>
        <w:t xml:space="preserve">Visual inspection therefore </w:t>
      </w:r>
      <w:r>
        <w:rPr>
          <w:rFonts w:hint="eastAsia"/>
          <w:sz w:val="24"/>
          <w:lang w:eastAsia="ja-JP"/>
        </w:rPr>
        <w:t>suggests that (</w:t>
      </w:r>
      <w:proofErr w:type="spellStart"/>
      <w:r>
        <w:rPr>
          <w:rFonts w:hint="eastAsia"/>
          <w:sz w:val="24"/>
          <w:lang w:eastAsia="ja-JP"/>
        </w:rPr>
        <w:t>i</w:t>
      </w:r>
      <w:proofErr w:type="spellEnd"/>
      <w:r>
        <w:rPr>
          <w:rFonts w:hint="eastAsia"/>
          <w:sz w:val="24"/>
          <w:lang w:eastAsia="ja-JP"/>
        </w:rPr>
        <w:t xml:space="preserve">) price formation is different between </w:t>
      </w:r>
      <w:r>
        <w:rPr>
          <w:sz w:val="24"/>
          <w:lang w:eastAsia="ja-JP"/>
        </w:rPr>
        <w:t>per</w:t>
      </w:r>
      <w:r>
        <w:rPr>
          <w:sz w:val="24"/>
          <w:lang w:eastAsia="ja-JP"/>
        </w:rPr>
        <w:t>i</w:t>
      </w:r>
      <w:r>
        <w:rPr>
          <w:sz w:val="24"/>
          <w:lang w:eastAsia="ja-JP"/>
        </w:rPr>
        <w:t>ods</w:t>
      </w:r>
      <w:r>
        <w:rPr>
          <w:rFonts w:hint="eastAsia"/>
          <w:sz w:val="24"/>
          <w:lang w:eastAsia="ja-JP"/>
        </w:rPr>
        <w:t xml:space="preserve"> </w:t>
      </w:r>
      <w:r>
        <w:rPr>
          <w:sz w:val="24"/>
          <w:lang w:eastAsia="ja-JP"/>
        </w:rPr>
        <w:t xml:space="preserve">in which </w:t>
      </w:r>
      <w:r>
        <w:rPr>
          <w:rFonts w:hint="eastAsia"/>
          <w:sz w:val="24"/>
          <w:lang w:eastAsia="ja-JP"/>
        </w:rPr>
        <w:t>dividend</w:t>
      </w:r>
      <w:r>
        <w:rPr>
          <w:sz w:val="24"/>
          <w:lang w:eastAsia="ja-JP"/>
        </w:rPr>
        <w:t>-</w:t>
      </w:r>
      <w:r>
        <w:rPr>
          <w:rFonts w:hint="eastAsia"/>
          <w:sz w:val="24"/>
          <w:lang w:eastAsia="ja-JP"/>
        </w:rPr>
        <w:t>collecting investors</w:t>
      </w:r>
      <w:r>
        <w:rPr>
          <w:sz w:val="24"/>
          <w:lang w:eastAsia="ja-JP"/>
        </w:rPr>
        <w:t xml:space="preserve"> (of the last generation) are present </w:t>
      </w:r>
      <w:r>
        <w:rPr>
          <w:rFonts w:hint="eastAsia"/>
          <w:sz w:val="24"/>
          <w:lang w:eastAsia="ja-JP"/>
        </w:rPr>
        <w:t xml:space="preserve">and </w:t>
      </w:r>
      <w:r>
        <w:rPr>
          <w:sz w:val="24"/>
          <w:lang w:eastAsia="ja-JP"/>
        </w:rPr>
        <w:t>periods</w:t>
      </w:r>
      <w:r>
        <w:rPr>
          <w:rFonts w:hint="eastAsia"/>
          <w:sz w:val="24"/>
          <w:lang w:eastAsia="ja-JP"/>
        </w:rPr>
        <w:t xml:space="preserve"> </w:t>
      </w:r>
      <w:r>
        <w:rPr>
          <w:sz w:val="24"/>
          <w:lang w:eastAsia="ja-JP"/>
        </w:rPr>
        <w:t xml:space="preserve">with </w:t>
      </w:r>
      <w:r>
        <w:rPr>
          <w:rFonts w:hint="eastAsia"/>
          <w:sz w:val="24"/>
          <w:lang w:eastAsia="ja-JP"/>
        </w:rPr>
        <w:t xml:space="preserve">only speculating investors </w:t>
      </w:r>
      <w:r>
        <w:rPr>
          <w:sz w:val="24"/>
          <w:lang w:eastAsia="ja-JP"/>
        </w:rPr>
        <w:t>present</w:t>
      </w:r>
      <w:r>
        <w:rPr>
          <w:rFonts w:hint="eastAsia"/>
          <w:sz w:val="24"/>
          <w:lang w:eastAsia="ja-JP"/>
        </w:rPr>
        <w:t xml:space="preserve">, and </w:t>
      </w:r>
      <w:r>
        <w:rPr>
          <w:sz w:val="24"/>
          <w:lang w:eastAsia="ja-JP"/>
        </w:rPr>
        <w:t xml:space="preserve">that </w:t>
      </w:r>
      <w:r>
        <w:rPr>
          <w:rFonts w:hint="eastAsia"/>
          <w:sz w:val="24"/>
          <w:lang w:eastAsia="ja-JP"/>
        </w:rPr>
        <w:t>(ii) the same securities (with the same div</w:t>
      </w:r>
      <w:r>
        <w:rPr>
          <w:rFonts w:hint="eastAsia"/>
          <w:sz w:val="24"/>
          <w:lang w:eastAsia="ja-JP"/>
        </w:rPr>
        <w:t>i</w:t>
      </w:r>
      <w:r>
        <w:rPr>
          <w:rFonts w:hint="eastAsia"/>
          <w:sz w:val="24"/>
          <w:lang w:eastAsia="ja-JP"/>
        </w:rPr>
        <w:lastRenderedPageBreak/>
        <w:t xml:space="preserve">dend and the same maturity) </w:t>
      </w:r>
      <w:r>
        <w:rPr>
          <w:sz w:val="24"/>
          <w:lang w:eastAsia="ja-JP"/>
        </w:rPr>
        <w:t>exhibit</w:t>
      </w:r>
      <w:r>
        <w:rPr>
          <w:rFonts w:hint="eastAsia"/>
          <w:sz w:val="24"/>
          <w:lang w:eastAsia="ja-JP"/>
        </w:rPr>
        <w:t xml:space="preserve"> different price paths </w:t>
      </w:r>
      <w:r>
        <w:rPr>
          <w:sz w:val="24"/>
          <w:lang w:eastAsia="ja-JP"/>
        </w:rPr>
        <w:t>across</w:t>
      </w:r>
      <w:r>
        <w:rPr>
          <w:rFonts w:hint="eastAsia"/>
          <w:sz w:val="24"/>
          <w:lang w:eastAsia="ja-JP"/>
        </w:rPr>
        <w:t xml:space="preserve"> </w:t>
      </w:r>
      <w:r>
        <w:rPr>
          <w:sz w:val="24"/>
          <w:lang w:eastAsia="ja-JP"/>
        </w:rPr>
        <w:t xml:space="preserve">the </w:t>
      </w:r>
      <w:r>
        <w:rPr>
          <w:rFonts w:hint="eastAsia"/>
          <w:sz w:val="24"/>
          <w:lang w:eastAsia="ja-JP"/>
        </w:rPr>
        <w:t xml:space="preserve">four treatments. These </w:t>
      </w:r>
      <w:r>
        <w:rPr>
          <w:sz w:val="24"/>
          <w:lang w:eastAsia="ja-JP"/>
        </w:rPr>
        <w:t xml:space="preserve">results </w:t>
      </w:r>
      <w:r>
        <w:rPr>
          <w:rFonts w:hint="eastAsia"/>
          <w:sz w:val="24"/>
          <w:lang w:eastAsia="ja-JP"/>
        </w:rPr>
        <w:t xml:space="preserve">are inconsistent with the </w:t>
      </w:r>
      <w:r>
        <w:rPr>
          <w:sz w:val="24"/>
          <w:lang w:eastAsia="ja-JP"/>
        </w:rPr>
        <w:t>prediction</w:t>
      </w:r>
      <w:r>
        <w:rPr>
          <w:rFonts w:hint="eastAsia"/>
          <w:sz w:val="24"/>
          <w:lang w:eastAsia="ja-JP"/>
        </w:rPr>
        <w:t xml:space="preserve"> of REE</w:t>
      </w:r>
      <w:r>
        <w:rPr>
          <w:sz w:val="24"/>
          <w:lang w:eastAsia="ja-JP"/>
        </w:rPr>
        <w:t xml:space="preserve"> and </w:t>
      </w:r>
      <w:r>
        <w:rPr>
          <w:rFonts w:hint="eastAsia"/>
          <w:sz w:val="24"/>
          <w:lang w:eastAsia="ja-JP"/>
        </w:rPr>
        <w:t xml:space="preserve">appear to </w:t>
      </w:r>
      <w:r>
        <w:rPr>
          <w:sz w:val="24"/>
          <w:lang w:eastAsia="ja-JP"/>
        </w:rPr>
        <w:t>reject h</w:t>
      </w:r>
      <w:r>
        <w:rPr>
          <w:rFonts w:hint="eastAsia"/>
          <w:sz w:val="24"/>
          <w:lang w:eastAsia="ja-JP"/>
        </w:rPr>
        <w:t>ypotheses I</w:t>
      </w:r>
      <w:r w:rsidRPr="00711D4A">
        <w:rPr>
          <w:rFonts w:hint="eastAsia"/>
          <w:sz w:val="24"/>
          <w:vertAlign w:val="subscript"/>
          <w:lang w:eastAsia="ja-JP"/>
        </w:rPr>
        <w:t>0</w:t>
      </w:r>
      <w:r>
        <w:rPr>
          <w:sz w:val="24"/>
          <w:lang w:eastAsia="ja-JP"/>
        </w:rPr>
        <w:t xml:space="preserve"> and II</w:t>
      </w:r>
      <w:r w:rsidRPr="00711D4A">
        <w:rPr>
          <w:sz w:val="24"/>
          <w:vertAlign w:val="subscript"/>
          <w:lang w:eastAsia="ja-JP"/>
        </w:rPr>
        <w:t>0</w:t>
      </w:r>
      <w:r>
        <w:rPr>
          <w:sz w:val="24"/>
          <w:lang w:eastAsia="ja-JP"/>
        </w:rPr>
        <w:t xml:space="preserve"> in favor of I</w:t>
      </w:r>
      <w:r w:rsidRPr="00711D4A">
        <w:rPr>
          <w:sz w:val="24"/>
          <w:vertAlign w:val="subscript"/>
          <w:lang w:eastAsia="ja-JP"/>
        </w:rPr>
        <w:t>A</w:t>
      </w:r>
      <w:r>
        <w:rPr>
          <w:rFonts w:hint="eastAsia"/>
          <w:sz w:val="24"/>
          <w:lang w:eastAsia="ja-JP"/>
        </w:rPr>
        <w:t xml:space="preserve"> and II</w:t>
      </w:r>
      <w:r w:rsidRPr="00711D4A">
        <w:rPr>
          <w:rFonts w:hint="eastAsia"/>
          <w:sz w:val="24"/>
          <w:vertAlign w:val="subscript"/>
          <w:lang w:eastAsia="ja-JP"/>
        </w:rPr>
        <w:t>A</w:t>
      </w:r>
      <w:r>
        <w:rPr>
          <w:rFonts w:hint="eastAsia"/>
          <w:sz w:val="24"/>
          <w:lang w:eastAsia="ja-JP"/>
        </w:rPr>
        <w:t xml:space="preserve"> </w:t>
      </w:r>
      <w:r>
        <w:rPr>
          <w:sz w:val="24"/>
          <w:lang w:eastAsia="ja-JP"/>
        </w:rPr>
        <w:t xml:space="preserve">for high </w:t>
      </w:r>
      <w:r w:rsidR="000974AC">
        <w:rPr>
          <w:sz w:val="24"/>
          <w:lang w:eastAsia="ja-JP"/>
        </w:rPr>
        <w:t xml:space="preserve">as well as </w:t>
      </w:r>
      <w:r>
        <w:rPr>
          <w:sz w:val="24"/>
          <w:lang w:eastAsia="ja-JP"/>
        </w:rPr>
        <w:t xml:space="preserve">low-liquidity treatments. </w:t>
      </w:r>
      <w:r w:rsidR="00E8369A">
        <w:rPr>
          <w:rFonts w:hint="eastAsia"/>
          <w:sz w:val="24"/>
          <w:lang w:eastAsia="ja-JP"/>
        </w:rPr>
        <w:t>In addition, w</w:t>
      </w:r>
      <w:r w:rsidR="00690F25">
        <w:rPr>
          <w:sz w:val="24"/>
          <w:lang w:eastAsia="ja-JP"/>
        </w:rPr>
        <w:t>hile price deviations from the fundamental value tend t</w:t>
      </w:r>
      <w:r w:rsidR="009A0014">
        <w:rPr>
          <w:sz w:val="24"/>
          <w:lang w:eastAsia="ja-JP"/>
        </w:rPr>
        <w:t xml:space="preserve">o be positive in </w:t>
      </w:r>
      <w:r w:rsidR="002A16CE">
        <w:rPr>
          <w:sz w:val="24"/>
          <w:lang w:eastAsia="ja-JP"/>
        </w:rPr>
        <w:t xml:space="preserve">the </w:t>
      </w:r>
      <w:r w:rsidR="00F85140">
        <w:rPr>
          <w:sz w:val="24"/>
          <w:lang w:eastAsia="ja-JP"/>
        </w:rPr>
        <w:t xml:space="preserve">high-liquidity </w:t>
      </w:r>
      <w:r w:rsidR="009A0014">
        <w:rPr>
          <w:sz w:val="24"/>
          <w:lang w:eastAsia="ja-JP"/>
        </w:rPr>
        <w:t xml:space="preserve">treatment </w:t>
      </w:r>
      <w:r w:rsidR="000974AC">
        <w:rPr>
          <w:sz w:val="24"/>
          <w:lang w:eastAsia="ja-JP"/>
        </w:rPr>
        <w:t>(</w:t>
      </w:r>
      <w:r w:rsidR="001A69E9">
        <w:rPr>
          <w:rFonts w:hint="eastAsia"/>
          <w:sz w:val="24"/>
          <w:lang w:eastAsia="ja-JP"/>
        </w:rPr>
        <w:t xml:space="preserve">Figure </w:t>
      </w:r>
      <w:r w:rsidR="00282005">
        <w:rPr>
          <w:rFonts w:hint="eastAsia"/>
          <w:sz w:val="24"/>
          <w:lang w:eastAsia="ja-JP"/>
        </w:rPr>
        <w:t>2</w:t>
      </w:r>
      <w:r w:rsidR="000974AC">
        <w:rPr>
          <w:sz w:val="24"/>
          <w:lang w:eastAsia="ja-JP"/>
        </w:rPr>
        <w:t>)</w:t>
      </w:r>
      <w:r w:rsidR="00690F25">
        <w:rPr>
          <w:sz w:val="24"/>
          <w:lang w:eastAsia="ja-JP"/>
        </w:rPr>
        <w:t xml:space="preserve">, they tend to be negative for the </w:t>
      </w:r>
      <w:r w:rsidR="00F85140">
        <w:rPr>
          <w:sz w:val="24"/>
          <w:lang w:eastAsia="ja-JP"/>
        </w:rPr>
        <w:t>low-liquidity</w:t>
      </w:r>
      <w:r w:rsidR="00690F25">
        <w:rPr>
          <w:sz w:val="24"/>
          <w:lang w:eastAsia="ja-JP"/>
        </w:rPr>
        <w:t xml:space="preserve"> sessions </w:t>
      </w:r>
      <w:r w:rsidR="000974AC">
        <w:rPr>
          <w:sz w:val="24"/>
          <w:lang w:eastAsia="ja-JP"/>
        </w:rPr>
        <w:t>(</w:t>
      </w:r>
      <w:r w:rsidR="001A69E9">
        <w:rPr>
          <w:rFonts w:hint="eastAsia"/>
          <w:sz w:val="24"/>
          <w:lang w:eastAsia="ja-JP"/>
        </w:rPr>
        <w:t xml:space="preserve">Figure </w:t>
      </w:r>
      <w:r w:rsidR="00282005">
        <w:rPr>
          <w:rFonts w:hint="eastAsia"/>
          <w:sz w:val="24"/>
          <w:lang w:eastAsia="ja-JP"/>
        </w:rPr>
        <w:t>3</w:t>
      </w:r>
      <w:r w:rsidR="000974AC">
        <w:rPr>
          <w:sz w:val="24"/>
          <w:lang w:eastAsia="ja-JP"/>
        </w:rPr>
        <w:t>)</w:t>
      </w:r>
      <w:r w:rsidR="001A69E9">
        <w:rPr>
          <w:rFonts w:hint="eastAsia"/>
          <w:sz w:val="24"/>
          <w:lang w:eastAsia="ja-JP"/>
        </w:rPr>
        <w:t xml:space="preserve">. </w:t>
      </w:r>
      <w:r w:rsidR="009A0014">
        <w:rPr>
          <w:sz w:val="24"/>
          <w:lang w:eastAsia="ja-JP"/>
        </w:rPr>
        <w:t xml:space="preserve">This </w:t>
      </w:r>
      <w:r w:rsidR="00422867">
        <w:rPr>
          <w:sz w:val="24"/>
          <w:lang w:eastAsia="ja-JP"/>
        </w:rPr>
        <w:t>observation favors rejecting the null hypothesis III</w:t>
      </w:r>
      <w:r w:rsidR="00422867" w:rsidRPr="009A0014">
        <w:rPr>
          <w:sz w:val="24"/>
          <w:vertAlign w:val="subscript"/>
          <w:lang w:eastAsia="ja-JP"/>
        </w:rPr>
        <w:t>0</w:t>
      </w:r>
      <w:r w:rsidR="009A0014">
        <w:rPr>
          <w:sz w:val="24"/>
          <w:lang w:eastAsia="ja-JP"/>
        </w:rPr>
        <w:t xml:space="preserve"> </w:t>
      </w:r>
      <w:r w:rsidR="000974AC">
        <w:rPr>
          <w:sz w:val="24"/>
          <w:lang w:eastAsia="ja-JP"/>
        </w:rPr>
        <w:t xml:space="preserve">in favor of </w:t>
      </w:r>
      <w:r w:rsidR="009A0014">
        <w:rPr>
          <w:sz w:val="24"/>
          <w:lang w:eastAsia="ja-JP"/>
        </w:rPr>
        <w:t>alternative III</w:t>
      </w:r>
      <w:r w:rsidR="009A0014" w:rsidRPr="009A0014">
        <w:rPr>
          <w:sz w:val="24"/>
          <w:vertAlign w:val="subscript"/>
          <w:lang w:eastAsia="ja-JP"/>
        </w:rPr>
        <w:t>A</w:t>
      </w:r>
      <w:r w:rsidR="00422867">
        <w:rPr>
          <w:sz w:val="24"/>
          <w:lang w:eastAsia="ja-JP"/>
        </w:rPr>
        <w:t>.</w:t>
      </w:r>
    </w:p>
    <w:p w14:paraId="1A508F07" w14:textId="3015921D" w:rsidR="00F97587" w:rsidRDefault="00306E94" w:rsidP="008179E0">
      <w:pPr>
        <w:spacing w:line="480" w:lineRule="auto"/>
        <w:ind w:firstLine="720"/>
        <w:jc w:val="both"/>
        <w:rPr>
          <w:sz w:val="24"/>
          <w:lang w:eastAsia="ja-JP"/>
        </w:rPr>
      </w:pPr>
      <w:r>
        <w:rPr>
          <w:sz w:val="24"/>
          <w:lang w:eastAsia="ja-JP"/>
        </w:rPr>
        <w:t xml:space="preserve">A closer look at Figures 2 and 3 reveal some </w:t>
      </w:r>
      <w:r w:rsidR="00416D8A">
        <w:rPr>
          <w:sz w:val="24"/>
          <w:lang w:eastAsia="ja-JP"/>
        </w:rPr>
        <w:t>interesting</w:t>
      </w:r>
      <w:r>
        <w:rPr>
          <w:sz w:val="24"/>
          <w:lang w:eastAsia="ja-JP"/>
        </w:rPr>
        <w:t xml:space="preserve"> details. First, </w:t>
      </w:r>
      <w:r w:rsidR="00416D8A">
        <w:rPr>
          <w:sz w:val="24"/>
          <w:lang w:eastAsia="ja-JP"/>
        </w:rPr>
        <w:t xml:space="preserve">in Figure 2 (high-liquidity treatments) </w:t>
      </w:r>
      <w:r w:rsidR="008179E0" w:rsidRPr="008179E0">
        <w:rPr>
          <w:sz w:val="24"/>
          <w:lang w:eastAsia="ja-JP"/>
        </w:rPr>
        <w:t xml:space="preserve">prices </w:t>
      </w:r>
      <w:r w:rsidR="00321485">
        <w:rPr>
          <w:sz w:val="24"/>
          <w:lang w:eastAsia="ja-JP"/>
        </w:rPr>
        <w:t xml:space="preserve">tend to </w:t>
      </w:r>
      <w:r w:rsidR="008179E0" w:rsidRPr="008179E0">
        <w:rPr>
          <w:sz w:val="24"/>
          <w:lang w:eastAsia="ja-JP"/>
        </w:rPr>
        <w:t xml:space="preserve">start at </w:t>
      </w:r>
      <w:r w:rsidR="00416D8A">
        <w:rPr>
          <w:sz w:val="24"/>
          <w:lang w:eastAsia="ja-JP"/>
        </w:rPr>
        <w:t xml:space="preserve">particularly high </w:t>
      </w:r>
      <w:r w:rsidR="002B25BA">
        <w:rPr>
          <w:sz w:val="24"/>
          <w:lang w:eastAsia="ja-JP"/>
        </w:rPr>
        <w:t xml:space="preserve">levels and </w:t>
      </w:r>
      <w:r w:rsidR="008179E0" w:rsidRPr="008179E0">
        <w:rPr>
          <w:sz w:val="24"/>
          <w:lang w:eastAsia="ja-JP"/>
        </w:rPr>
        <w:t xml:space="preserve">price bubbles </w:t>
      </w:r>
      <w:r w:rsidR="00F93AE5">
        <w:rPr>
          <w:sz w:val="24"/>
          <w:lang w:eastAsia="ja-JP"/>
        </w:rPr>
        <w:t xml:space="preserve">occur in </w:t>
      </w:r>
      <w:r w:rsidR="008179E0" w:rsidRPr="008179E0">
        <w:rPr>
          <w:sz w:val="24"/>
          <w:lang w:eastAsia="ja-JP"/>
        </w:rPr>
        <w:t xml:space="preserve">early </w:t>
      </w:r>
      <w:r w:rsidR="00F93AE5">
        <w:rPr>
          <w:sz w:val="24"/>
          <w:lang w:eastAsia="ja-JP"/>
        </w:rPr>
        <w:t xml:space="preserve">periods </w:t>
      </w:r>
      <w:r w:rsidR="008179E0" w:rsidRPr="008179E0">
        <w:rPr>
          <w:sz w:val="24"/>
          <w:lang w:eastAsia="ja-JP"/>
        </w:rPr>
        <w:t>in most sessions</w:t>
      </w:r>
      <w:r w:rsidR="00D063A5">
        <w:rPr>
          <w:sz w:val="24"/>
          <w:lang w:eastAsia="ja-JP"/>
        </w:rPr>
        <w:t>.</w:t>
      </w:r>
      <w:r w:rsidR="00F97587">
        <w:rPr>
          <w:sz w:val="24"/>
          <w:lang w:eastAsia="ja-JP"/>
        </w:rPr>
        <w:t xml:space="preserve"> </w:t>
      </w:r>
      <w:r w:rsidR="0062255A">
        <w:rPr>
          <w:sz w:val="24"/>
          <w:lang w:eastAsia="ja-JP"/>
        </w:rPr>
        <w:t>Second, in Figure 3 (low-liquidity treatments), there is a substantial price drop within the periods where the 2</w:t>
      </w:r>
      <w:r w:rsidR="0062255A" w:rsidRPr="0062255A">
        <w:rPr>
          <w:sz w:val="24"/>
          <w:lang w:eastAsia="ja-JP"/>
        </w:rPr>
        <w:t>nd</w:t>
      </w:r>
      <w:r w:rsidR="0062255A">
        <w:rPr>
          <w:sz w:val="24"/>
          <w:lang w:eastAsia="ja-JP"/>
        </w:rPr>
        <w:t>-to-last generation and the 3</w:t>
      </w:r>
      <w:r w:rsidR="0062255A" w:rsidRPr="0062255A">
        <w:rPr>
          <w:sz w:val="24"/>
          <w:lang w:eastAsia="ja-JP"/>
        </w:rPr>
        <w:t>rd</w:t>
      </w:r>
      <w:r w:rsidR="0062255A">
        <w:rPr>
          <w:sz w:val="24"/>
          <w:lang w:eastAsia="ja-JP"/>
        </w:rPr>
        <w:t xml:space="preserve">-to-last generation interact (periods </w:t>
      </w:r>
      <w:r w:rsidR="002B25BA">
        <w:rPr>
          <w:sz w:val="24"/>
          <w:lang w:eastAsia="ja-JP"/>
        </w:rPr>
        <w:t>1</w:t>
      </w:r>
      <w:r w:rsidR="0062255A">
        <w:rPr>
          <w:sz w:val="24"/>
          <w:lang w:eastAsia="ja-JP"/>
        </w:rPr>
        <w:t xml:space="preserve">-8 in T2L, periods 9-12 in T4L, periods 13-14 in T8L) and where the 3rd-to-last generation and the 4th-to-last generation interact (periods 5-8 in T4L, and periods 11-12 in T8L). </w:t>
      </w:r>
      <w:r w:rsidR="00321485">
        <w:rPr>
          <w:sz w:val="24"/>
          <w:lang w:eastAsia="ja-JP"/>
        </w:rPr>
        <w:t>Both these</w:t>
      </w:r>
      <w:r w:rsidR="00F93AE5">
        <w:rPr>
          <w:sz w:val="24"/>
          <w:lang w:eastAsia="ja-JP"/>
        </w:rPr>
        <w:t xml:space="preserve"> </w:t>
      </w:r>
      <w:r w:rsidR="002B25BA">
        <w:rPr>
          <w:sz w:val="24"/>
          <w:lang w:eastAsia="ja-JP"/>
        </w:rPr>
        <w:t>observations</w:t>
      </w:r>
      <w:r w:rsidR="00F93AE5">
        <w:rPr>
          <w:sz w:val="24"/>
          <w:lang w:eastAsia="ja-JP"/>
        </w:rPr>
        <w:t>, price bubbles in high-liquidity trea</w:t>
      </w:r>
      <w:r w:rsidR="00F93AE5">
        <w:rPr>
          <w:sz w:val="24"/>
          <w:lang w:eastAsia="ja-JP"/>
        </w:rPr>
        <w:t>t</w:t>
      </w:r>
      <w:r w:rsidR="00F93AE5">
        <w:rPr>
          <w:sz w:val="24"/>
          <w:lang w:eastAsia="ja-JP"/>
        </w:rPr>
        <w:t xml:space="preserve">ments and price drops in low-liquidity </w:t>
      </w:r>
      <w:r w:rsidR="002B25BA">
        <w:rPr>
          <w:sz w:val="24"/>
          <w:lang w:eastAsia="ja-JP"/>
        </w:rPr>
        <w:t>treatments</w:t>
      </w:r>
      <w:r w:rsidR="00F93AE5">
        <w:rPr>
          <w:sz w:val="24"/>
          <w:lang w:eastAsia="ja-JP"/>
        </w:rPr>
        <w:t xml:space="preserve">, </w:t>
      </w:r>
      <w:r w:rsidR="002B25BA">
        <w:rPr>
          <w:sz w:val="24"/>
          <w:lang w:eastAsia="ja-JP"/>
        </w:rPr>
        <w:t xml:space="preserve">are counter evidence to REE and </w:t>
      </w:r>
      <w:r w:rsidR="00321485">
        <w:rPr>
          <w:sz w:val="24"/>
          <w:lang w:eastAsia="ja-JP"/>
        </w:rPr>
        <w:t>are</w:t>
      </w:r>
      <w:r w:rsidR="00F93AE5">
        <w:rPr>
          <w:sz w:val="24"/>
          <w:lang w:eastAsia="ja-JP"/>
        </w:rPr>
        <w:t xml:space="preserve"> di</w:t>
      </w:r>
      <w:r w:rsidR="00F93AE5">
        <w:rPr>
          <w:sz w:val="24"/>
          <w:lang w:eastAsia="ja-JP"/>
        </w:rPr>
        <w:t>s</w:t>
      </w:r>
      <w:r w:rsidR="00F93AE5">
        <w:rPr>
          <w:sz w:val="24"/>
          <w:lang w:eastAsia="ja-JP"/>
        </w:rPr>
        <w:t>cussed in detail later.</w:t>
      </w:r>
    </w:p>
    <w:p w14:paraId="373353A3" w14:textId="77777777" w:rsidR="003D580D" w:rsidRDefault="003D580D" w:rsidP="003D580D">
      <w:pPr>
        <w:spacing w:line="480" w:lineRule="auto"/>
        <w:ind w:firstLine="720"/>
        <w:jc w:val="both"/>
        <w:rPr>
          <w:sz w:val="24"/>
          <w:szCs w:val="24"/>
          <w:lang w:eastAsia="ja-JP"/>
        </w:rPr>
      </w:pPr>
    </w:p>
    <w:p w14:paraId="795B1E10" w14:textId="372F571B" w:rsidR="001A69E9" w:rsidRDefault="00593F4E" w:rsidP="001A69E9">
      <w:pPr>
        <w:spacing w:line="480" w:lineRule="auto"/>
        <w:jc w:val="both"/>
        <w:rPr>
          <w:sz w:val="24"/>
          <w:lang w:eastAsia="ja-JP"/>
        </w:rPr>
      </w:pPr>
      <w:r>
        <w:rPr>
          <w:sz w:val="24"/>
          <w:lang w:eastAsia="ja-JP"/>
        </w:rPr>
        <w:t>4</w:t>
      </w:r>
      <w:r w:rsidR="001A69E9">
        <w:rPr>
          <w:rFonts w:hint="eastAsia"/>
          <w:sz w:val="24"/>
          <w:lang w:eastAsia="ja-JP"/>
        </w:rPr>
        <w:t>.</w:t>
      </w:r>
      <w:r w:rsidR="009653C7">
        <w:rPr>
          <w:sz w:val="24"/>
          <w:lang w:eastAsia="ja-JP"/>
        </w:rPr>
        <w:t>2</w:t>
      </w:r>
      <w:r w:rsidR="001A69E9">
        <w:rPr>
          <w:rFonts w:hint="eastAsia"/>
          <w:sz w:val="24"/>
          <w:lang w:eastAsia="ja-JP"/>
        </w:rPr>
        <w:t xml:space="preserve"> Analyses of price deviations</w:t>
      </w:r>
      <w:r w:rsidR="0000765D">
        <w:rPr>
          <w:sz w:val="24"/>
          <w:lang w:eastAsia="ja-JP"/>
        </w:rPr>
        <w:t xml:space="preserve"> from the fundamental value</w:t>
      </w:r>
    </w:p>
    <w:p w14:paraId="379D57A1" w14:textId="41476AC3" w:rsidR="001A69E9" w:rsidRDefault="001A69E9" w:rsidP="001A69E9">
      <w:pPr>
        <w:spacing w:line="480" w:lineRule="auto"/>
        <w:ind w:firstLine="720"/>
        <w:jc w:val="both"/>
        <w:rPr>
          <w:sz w:val="24"/>
          <w:lang w:eastAsia="ja-JP"/>
        </w:rPr>
      </w:pPr>
      <w:r>
        <w:rPr>
          <w:rFonts w:hint="eastAsia"/>
          <w:sz w:val="24"/>
          <w:lang w:eastAsia="ja-JP"/>
        </w:rPr>
        <w:t xml:space="preserve">To examine </w:t>
      </w:r>
      <w:r w:rsidR="00E8369A">
        <w:rPr>
          <w:rFonts w:hint="eastAsia"/>
          <w:sz w:val="24"/>
          <w:lang w:eastAsia="ja-JP"/>
        </w:rPr>
        <w:t>h</w:t>
      </w:r>
      <w:r w:rsidR="009A0014">
        <w:rPr>
          <w:sz w:val="24"/>
          <w:lang w:eastAsia="ja-JP"/>
        </w:rPr>
        <w:t>ypothes</w:t>
      </w:r>
      <w:r w:rsidR="00235159">
        <w:rPr>
          <w:rFonts w:hint="eastAsia"/>
          <w:sz w:val="24"/>
          <w:lang w:eastAsia="ja-JP"/>
        </w:rPr>
        <w:t>e</w:t>
      </w:r>
      <w:r w:rsidR="009A0014">
        <w:rPr>
          <w:sz w:val="24"/>
          <w:lang w:eastAsia="ja-JP"/>
        </w:rPr>
        <w:t>s I</w:t>
      </w:r>
      <w:r w:rsidR="00235159">
        <w:rPr>
          <w:rFonts w:hint="eastAsia"/>
          <w:sz w:val="24"/>
          <w:lang w:eastAsia="ja-JP"/>
        </w:rPr>
        <w:t xml:space="preserve"> and II</w:t>
      </w:r>
      <w:r>
        <w:rPr>
          <w:rFonts w:hint="eastAsia"/>
          <w:sz w:val="24"/>
          <w:lang w:eastAsia="ja-JP"/>
        </w:rPr>
        <w:t xml:space="preserve"> </w:t>
      </w:r>
      <w:r w:rsidR="00E44B0A">
        <w:rPr>
          <w:sz w:val="24"/>
          <w:lang w:eastAsia="ja-JP"/>
        </w:rPr>
        <w:t xml:space="preserve">econometrically </w:t>
      </w:r>
      <w:r w:rsidR="00303F70">
        <w:rPr>
          <w:sz w:val="24"/>
          <w:lang w:eastAsia="ja-JP"/>
        </w:rPr>
        <w:t xml:space="preserve">we calculate </w:t>
      </w:r>
      <w:r w:rsidR="00303F70">
        <w:rPr>
          <w:rFonts w:hint="eastAsia"/>
          <w:sz w:val="24"/>
          <w:lang w:eastAsia="ja-JP"/>
        </w:rPr>
        <w:t xml:space="preserve">deviations </w:t>
      </w:r>
      <w:r w:rsidR="00303F70">
        <w:rPr>
          <w:sz w:val="24"/>
          <w:lang w:eastAsia="ja-JP"/>
        </w:rPr>
        <w:t xml:space="preserve">of </w:t>
      </w:r>
      <w:r>
        <w:rPr>
          <w:rFonts w:hint="eastAsia"/>
          <w:sz w:val="24"/>
          <w:lang w:eastAsia="ja-JP"/>
        </w:rPr>
        <w:t>price</w:t>
      </w:r>
      <w:r w:rsidR="00303F70">
        <w:rPr>
          <w:sz w:val="24"/>
          <w:lang w:eastAsia="ja-JP"/>
        </w:rPr>
        <w:t>s from the fundamental value</w:t>
      </w:r>
      <w:r>
        <w:rPr>
          <w:rFonts w:hint="eastAsia"/>
          <w:sz w:val="24"/>
          <w:lang w:eastAsia="ja-JP"/>
        </w:rPr>
        <w:t xml:space="preserve"> </w:t>
      </w:r>
      <w:r w:rsidR="005E1C7D">
        <w:rPr>
          <w:sz w:val="24"/>
          <w:lang w:eastAsia="ja-JP"/>
        </w:rPr>
        <w:t>applying</w:t>
      </w:r>
      <w:r>
        <w:rPr>
          <w:rFonts w:hint="eastAsia"/>
          <w:sz w:val="24"/>
          <w:lang w:eastAsia="ja-JP"/>
        </w:rPr>
        <w:t xml:space="preserve"> a measure of mispricing</w:t>
      </w:r>
      <w:r w:rsidR="00A2019C">
        <w:rPr>
          <w:rFonts w:hint="eastAsia"/>
          <w:sz w:val="24"/>
          <w:lang w:eastAsia="ja-JP"/>
        </w:rPr>
        <w:t xml:space="preserve"> per period</w:t>
      </w:r>
      <w:r w:rsidR="0043538C">
        <w:rPr>
          <w:sz w:val="24"/>
          <w:lang w:eastAsia="ja-JP"/>
        </w:rPr>
        <w:t>. In the recent expe</w:t>
      </w:r>
      <w:r w:rsidR="0043538C">
        <w:rPr>
          <w:sz w:val="24"/>
          <w:lang w:eastAsia="ja-JP"/>
        </w:rPr>
        <w:t>r</w:t>
      </w:r>
      <w:r w:rsidR="0043538C">
        <w:rPr>
          <w:sz w:val="24"/>
          <w:lang w:eastAsia="ja-JP"/>
        </w:rPr>
        <w:t xml:space="preserve">imental security market literature, the degree of mispricing is usually measured by </w:t>
      </w:r>
      <w:r>
        <w:rPr>
          <w:rFonts w:hint="eastAsia"/>
          <w:sz w:val="24"/>
          <w:lang w:eastAsia="ja-JP"/>
        </w:rPr>
        <w:t>Relative Absolute Deviation (</w:t>
      </w:r>
      <w:r w:rsidRPr="0080376C">
        <w:rPr>
          <w:rFonts w:hint="eastAsia"/>
          <w:i/>
          <w:sz w:val="24"/>
          <w:lang w:eastAsia="ja-JP"/>
        </w:rPr>
        <w:t>RAD</w:t>
      </w:r>
      <w:r>
        <w:rPr>
          <w:rFonts w:hint="eastAsia"/>
          <w:sz w:val="24"/>
          <w:lang w:eastAsia="ja-JP"/>
        </w:rPr>
        <w:t xml:space="preserve">) proposed by </w:t>
      </w:r>
      <w:r w:rsidR="001A0AE5">
        <w:rPr>
          <w:rFonts w:hint="eastAsia"/>
          <w:sz w:val="24"/>
          <w:lang w:eastAsia="ja-JP"/>
        </w:rPr>
        <w:t>St</w:t>
      </w:r>
      <w:r w:rsidR="00303F70">
        <w:rPr>
          <w:sz w:val="24"/>
          <w:lang w:eastAsia="ja-JP"/>
        </w:rPr>
        <w:t>ö</w:t>
      </w:r>
      <w:r w:rsidR="00600777">
        <w:rPr>
          <w:rFonts w:hint="eastAsia"/>
          <w:sz w:val="24"/>
          <w:lang w:eastAsia="ja-JP"/>
        </w:rPr>
        <w:t>ckl</w:t>
      </w:r>
      <w:r w:rsidR="00600777">
        <w:rPr>
          <w:sz w:val="24"/>
          <w:lang w:eastAsia="ja-JP"/>
        </w:rPr>
        <w:t xml:space="preserve"> et al. </w:t>
      </w:r>
      <w:r w:rsidR="001A0AE5">
        <w:rPr>
          <w:rFonts w:hint="eastAsia"/>
          <w:sz w:val="24"/>
          <w:lang w:eastAsia="ja-JP"/>
        </w:rPr>
        <w:t>(2010)</w:t>
      </w:r>
      <w:r w:rsidR="00C16A7D">
        <w:rPr>
          <w:sz w:val="24"/>
          <w:lang w:eastAsia="ja-JP"/>
        </w:rPr>
        <w:t>;</w:t>
      </w:r>
    </w:p>
    <w:p w14:paraId="2A37933B" w14:textId="295E12B0" w:rsidR="00CB5809" w:rsidRPr="00E647AF" w:rsidRDefault="00FD2D84" w:rsidP="00B60A8C">
      <w:pPr>
        <w:tabs>
          <w:tab w:val="right" w:pos="9072"/>
        </w:tabs>
        <w:spacing w:line="480" w:lineRule="auto"/>
        <w:ind w:firstLine="720"/>
        <w:jc w:val="both"/>
        <w:rPr>
          <w:sz w:val="24"/>
          <w:szCs w:val="24"/>
          <w:lang w:eastAsia="ja-JP"/>
        </w:rPr>
      </w:pPr>
      <w:r w:rsidRPr="00E647AF">
        <w:rPr>
          <w:i/>
          <w:sz w:val="24"/>
          <w:szCs w:val="24"/>
          <w:lang w:eastAsia="ja-JP"/>
        </w:rPr>
        <w:t>RAD</w:t>
      </w:r>
      <w:r w:rsidRPr="00E647AF">
        <w:rPr>
          <w:sz w:val="24"/>
          <w:szCs w:val="24"/>
          <w:lang w:eastAsia="ja-JP"/>
        </w:rPr>
        <w:t xml:space="preserve"> = </w:t>
      </w:r>
      <m:oMath>
        <m:f>
          <m:fPr>
            <m:ctrlPr>
              <w:rPr>
                <w:rFonts w:ascii="Cambria Math" w:hAnsi="Cambria Math"/>
                <w:i/>
                <w:sz w:val="24"/>
                <w:szCs w:val="24"/>
                <w:lang w:eastAsia="ja-JP"/>
              </w:rPr>
            </m:ctrlPr>
          </m:fPr>
          <m:num>
            <m:r>
              <w:rPr>
                <w:rFonts w:ascii="Cambria Math" w:hAnsi="Cambria Math" w:hint="eastAsia"/>
                <w:sz w:val="24"/>
                <w:szCs w:val="24"/>
                <w:lang w:eastAsia="ja-JP"/>
              </w:rPr>
              <m:t>1</m:t>
            </m:r>
          </m:num>
          <m:den>
            <m:r>
              <w:rPr>
                <w:rFonts w:ascii="Cambria Math" w:hAnsi="Cambria Math"/>
                <w:sz w:val="24"/>
                <w:szCs w:val="24"/>
                <w:lang w:eastAsia="ja-JP"/>
              </w:rPr>
              <m:t>N</m:t>
            </m:r>
          </m:den>
        </m:f>
        <m:nary>
          <m:naryPr>
            <m:chr m:val="∑"/>
            <m:limLoc m:val="subSup"/>
            <m:ctrlPr>
              <w:rPr>
                <w:rFonts w:ascii="Cambria Math" w:hAnsi="Cambria Math"/>
                <w:i/>
                <w:sz w:val="24"/>
                <w:szCs w:val="24"/>
                <w:lang w:eastAsia="ja-JP"/>
              </w:rPr>
            </m:ctrlPr>
          </m:naryPr>
          <m:sub>
            <m:r>
              <w:rPr>
                <w:rFonts w:ascii="Cambria Math" w:hAnsi="Cambria Math"/>
                <w:sz w:val="24"/>
                <w:szCs w:val="24"/>
                <w:lang w:eastAsia="ja-JP"/>
              </w:rPr>
              <m:t>t</m:t>
            </m:r>
            <m:r>
              <w:rPr>
                <w:rFonts w:ascii="Cambria Math" w:hAnsi="Cambria Math" w:hint="eastAsia"/>
                <w:sz w:val="24"/>
                <w:szCs w:val="24"/>
                <w:lang w:eastAsia="ja-JP"/>
              </w:rPr>
              <m:t>=1</m:t>
            </m:r>
          </m:sub>
          <m:sup>
            <m:r>
              <w:rPr>
                <w:rFonts w:ascii="Cambria Math" w:hAnsi="Cambria Math"/>
                <w:sz w:val="24"/>
                <w:szCs w:val="24"/>
                <w:lang w:eastAsia="ja-JP"/>
              </w:rPr>
              <m:t>N</m:t>
            </m:r>
          </m:sup>
          <m:e>
            <m:d>
              <m:dPr>
                <m:begChr m:val="|"/>
                <m:endChr m:val="|"/>
                <m:ctrlPr>
                  <w:rPr>
                    <w:rFonts w:ascii="Cambria Math" w:hAnsi="Cambria Math"/>
                    <w:i/>
                    <w:sz w:val="24"/>
                    <w:szCs w:val="24"/>
                    <w:lang w:eastAsia="ja-JP"/>
                  </w:rPr>
                </m:ctrlPr>
              </m:dPr>
              <m:e>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e>
            </m:d>
            <m:r>
              <w:rPr>
                <w:rFonts w:ascii="Cambria Math" w:hAnsi="Cambria Math" w:hint="eastAsia"/>
                <w:sz w:val="24"/>
                <w:szCs w:val="24"/>
                <w:lang w:eastAsia="ja-JP"/>
              </w:rPr>
              <m:t>/</m:t>
            </m:r>
            <m:d>
              <m:dPr>
                <m:begChr m:val="|"/>
                <m:endChr m:val="|"/>
                <m:ctrlPr>
                  <w:rPr>
                    <w:rFonts w:ascii="Cambria Math" w:hAnsi="Cambria Math"/>
                    <w:i/>
                    <w:sz w:val="24"/>
                    <w:szCs w:val="24"/>
                    <w:lang w:eastAsia="ja-JP"/>
                  </w:rPr>
                </m:ctrlPr>
              </m:dPr>
              <m:e>
                <m:acc>
                  <m:accPr>
                    <m:chr m:val="̅"/>
                    <m:ctrlPr>
                      <w:rPr>
                        <w:rFonts w:ascii="Cambria Math" w:hAnsi="Cambria Math"/>
                        <w:i/>
                        <w:sz w:val="24"/>
                        <w:szCs w:val="24"/>
                        <w:lang w:eastAsia="ja-JP"/>
                      </w:rPr>
                    </m:ctrlPr>
                  </m:accPr>
                  <m:e>
                    <m:r>
                      <w:rPr>
                        <w:rFonts w:ascii="Cambria Math" w:hAnsi="Cambria Math"/>
                        <w:sz w:val="24"/>
                        <w:szCs w:val="24"/>
                        <w:lang w:eastAsia="ja-JP"/>
                      </w:rPr>
                      <m:t>F</m:t>
                    </m:r>
                  </m:e>
                </m:acc>
              </m:e>
            </m:d>
          </m:e>
        </m:nary>
      </m:oMath>
      <w:r w:rsidRPr="00E647AF">
        <w:rPr>
          <w:sz w:val="24"/>
          <w:szCs w:val="24"/>
          <w:lang w:eastAsia="ja-JP"/>
        </w:rPr>
        <w:tab/>
      </w:r>
      <w:r w:rsidR="007819FF" w:rsidRPr="00E647AF">
        <w:rPr>
          <w:sz w:val="24"/>
          <w:szCs w:val="24"/>
          <w:lang w:eastAsia="ja-JP"/>
        </w:rPr>
        <w:t>(7)</w:t>
      </w:r>
    </w:p>
    <w:p w14:paraId="31180CCF" w14:textId="23F92D42" w:rsidR="00CB5809" w:rsidRPr="00CB5809" w:rsidRDefault="0080376C" w:rsidP="00CB5809">
      <w:pPr>
        <w:spacing w:line="480" w:lineRule="auto"/>
        <w:jc w:val="both"/>
        <w:rPr>
          <w:sz w:val="24"/>
          <w:szCs w:val="24"/>
          <w:lang w:eastAsia="ja-JP"/>
        </w:rPr>
      </w:pPr>
      <w:proofErr w:type="gramStart"/>
      <w:r>
        <w:rPr>
          <w:rFonts w:hint="eastAsia"/>
          <w:sz w:val="24"/>
          <w:szCs w:val="24"/>
          <w:lang w:eastAsia="ja-JP"/>
        </w:rPr>
        <w:t>w</w:t>
      </w:r>
      <w:r w:rsidR="00CB5809">
        <w:rPr>
          <w:rFonts w:hint="eastAsia"/>
          <w:sz w:val="24"/>
          <w:szCs w:val="24"/>
          <w:lang w:eastAsia="ja-JP"/>
        </w:rPr>
        <w:t>here</w:t>
      </w:r>
      <w:proofErr w:type="gramEnd"/>
      <w:r w:rsidR="00CB5809">
        <w:rPr>
          <w:rFonts w:hint="eastAsia"/>
          <w:sz w:val="24"/>
          <w:szCs w:val="24"/>
          <w:lang w:eastAsia="ja-JP"/>
        </w:rPr>
        <w:t xml:space="preserve"> </w:t>
      </w:r>
      <m:oMath>
        <m:d>
          <m:dPr>
            <m:begChr m:val="|"/>
            <m:endChr m:val="|"/>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e>
        </m:d>
      </m:oMath>
      <w:r w:rsidR="00CB5809">
        <w:rPr>
          <w:rFonts w:hint="eastAsia"/>
          <w:sz w:val="24"/>
          <w:szCs w:val="24"/>
          <w:lang w:eastAsia="ja-JP"/>
        </w:rPr>
        <w:t xml:space="preserve"> </w:t>
      </w:r>
      <w:r w:rsidR="0052719A">
        <w:rPr>
          <w:sz w:val="24"/>
          <w:szCs w:val="24"/>
          <w:lang w:eastAsia="ja-JP"/>
        </w:rPr>
        <w:t>is</w:t>
      </w:r>
      <w:r>
        <w:rPr>
          <w:rFonts w:hint="eastAsia"/>
          <w:sz w:val="24"/>
          <w:szCs w:val="24"/>
          <w:lang w:eastAsia="ja-JP"/>
        </w:rPr>
        <w:t xml:space="preserve"> the deviation of </w:t>
      </w:r>
      <w:r w:rsidR="0052719A">
        <w:rPr>
          <w:sz w:val="24"/>
          <w:szCs w:val="24"/>
          <w:lang w:eastAsia="ja-JP"/>
        </w:rPr>
        <w:t xml:space="preserve">the </w:t>
      </w:r>
      <w:r>
        <w:rPr>
          <w:rFonts w:hint="eastAsia"/>
          <w:sz w:val="24"/>
          <w:szCs w:val="24"/>
          <w:lang w:eastAsia="ja-JP"/>
        </w:rPr>
        <w:t xml:space="preserve">(volume-weighted) mean price from the fundamental value </w:t>
      </w:r>
      <w:r w:rsidR="00FB23D7">
        <w:rPr>
          <w:sz w:val="24"/>
          <w:szCs w:val="24"/>
          <w:lang w:eastAsia="ja-JP"/>
        </w:rPr>
        <w:t>in</w:t>
      </w:r>
      <w:r w:rsidR="00FB23D7">
        <w:rPr>
          <w:rFonts w:hint="eastAsia"/>
          <w:sz w:val="24"/>
          <w:szCs w:val="24"/>
          <w:lang w:eastAsia="ja-JP"/>
        </w:rPr>
        <w:t xml:space="preserve"> </w:t>
      </w:r>
      <w:r>
        <w:rPr>
          <w:rFonts w:hint="eastAsia"/>
          <w:sz w:val="24"/>
          <w:szCs w:val="24"/>
          <w:lang w:eastAsia="ja-JP"/>
        </w:rPr>
        <w:t>period</w:t>
      </w:r>
      <w:r w:rsidR="00794D89">
        <w:rPr>
          <w:rFonts w:hint="eastAsia"/>
          <w:sz w:val="24"/>
          <w:szCs w:val="24"/>
          <w:lang w:eastAsia="ja-JP"/>
        </w:rPr>
        <w:t xml:space="preserve"> </w:t>
      </w:r>
      <w:r w:rsidR="00794D89" w:rsidRPr="00794D89">
        <w:rPr>
          <w:rFonts w:hint="eastAsia"/>
          <w:i/>
          <w:sz w:val="24"/>
          <w:szCs w:val="24"/>
          <w:lang w:eastAsia="ja-JP"/>
        </w:rPr>
        <w:t>t</w:t>
      </w:r>
      <w:r>
        <w:rPr>
          <w:rFonts w:hint="eastAsia"/>
          <w:sz w:val="24"/>
          <w:szCs w:val="24"/>
          <w:lang w:eastAsia="ja-JP"/>
        </w:rPr>
        <w:t xml:space="preserve">, </w:t>
      </w:r>
      <m:oMath>
        <m:d>
          <m:dPr>
            <m:begChr m:val="|"/>
            <m:endChr m:val="|"/>
            <m:ctrlPr>
              <w:rPr>
                <w:rFonts w:ascii="Cambria Math" w:hAnsi="Cambria Math"/>
                <w:i/>
                <w:sz w:val="24"/>
                <w:szCs w:val="24"/>
                <w:lang w:eastAsia="ja-JP"/>
              </w:rPr>
            </m:ctrlPr>
          </m:dPr>
          <m:e>
            <m:acc>
              <m:accPr>
                <m:chr m:val="̅"/>
                <m:ctrlPr>
                  <w:rPr>
                    <w:rFonts w:ascii="Cambria Math" w:hAnsi="Cambria Math"/>
                    <w:i/>
                    <w:sz w:val="24"/>
                    <w:szCs w:val="24"/>
                    <w:lang w:eastAsia="ja-JP"/>
                  </w:rPr>
                </m:ctrlPr>
              </m:accPr>
              <m:e>
                <m:r>
                  <w:rPr>
                    <w:rFonts w:ascii="Cambria Math" w:hAnsi="Cambria Math"/>
                    <w:sz w:val="24"/>
                    <w:szCs w:val="24"/>
                    <w:lang w:eastAsia="ja-JP"/>
                  </w:rPr>
                  <m:t>F</m:t>
                </m:r>
              </m:e>
            </m:acc>
          </m:e>
        </m:d>
      </m:oMath>
      <w:r>
        <w:rPr>
          <w:rFonts w:hint="eastAsia"/>
          <w:sz w:val="24"/>
          <w:szCs w:val="24"/>
          <w:lang w:eastAsia="ja-JP"/>
        </w:rPr>
        <w:t xml:space="preserve"> is the absolute average fundamental value in the session, </w:t>
      </w:r>
      <w:r w:rsidR="00794D89">
        <w:rPr>
          <w:rFonts w:hint="eastAsia"/>
          <w:i/>
          <w:sz w:val="24"/>
          <w:szCs w:val="24"/>
          <w:lang w:eastAsia="ja-JP"/>
        </w:rPr>
        <w:t>t</w:t>
      </w:r>
      <w:r>
        <w:rPr>
          <w:rFonts w:hint="eastAsia"/>
          <w:sz w:val="24"/>
          <w:szCs w:val="24"/>
          <w:lang w:eastAsia="ja-JP"/>
        </w:rPr>
        <w:t xml:space="preserve"> </w:t>
      </w:r>
      <w:r w:rsidR="00CB5809">
        <w:rPr>
          <w:rFonts w:hint="eastAsia"/>
          <w:sz w:val="24"/>
          <w:szCs w:val="24"/>
          <w:lang w:eastAsia="ja-JP"/>
        </w:rPr>
        <w:t>denotes per</w:t>
      </w:r>
      <w:r w:rsidR="00CB5809">
        <w:rPr>
          <w:rFonts w:hint="eastAsia"/>
          <w:sz w:val="24"/>
          <w:szCs w:val="24"/>
          <w:lang w:eastAsia="ja-JP"/>
        </w:rPr>
        <w:t>i</w:t>
      </w:r>
      <w:r w:rsidR="00CB5809">
        <w:rPr>
          <w:rFonts w:hint="eastAsia"/>
          <w:sz w:val="24"/>
          <w:szCs w:val="24"/>
          <w:lang w:eastAsia="ja-JP"/>
        </w:rPr>
        <w:lastRenderedPageBreak/>
        <w:t>od</w:t>
      </w:r>
      <w:r w:rsidR="00794D89">
        <w:rPr>
          <w:rFonts w:hint="eastAsia"/>
          <w:sz w:val="24"/>
          <w:szCs w:val="24"/>
          <w:lang w:eastAsia="ja-JP"/>
        </w:rPr>
        <w:t xml:space="preserve"> number</w:t>
      </w:r>
      <w:r>
        <w:rPr>
          <w:rFonts w:hint="eastAsia"/>
          <w:sz w:val="24"/>
          <w:szCs w:val="24"/>
          <w:lang w:eastAsia="ja-JP"/>
        </w:rPr>
        <w:t>,</w:t>
      </w:r>
      <w:r w:rsidR="00CB5809">
        <w:rPr>
          <w:rFonts w:hint="eastAsia"/>
          <w:sz w:val="24"/>
          <w:szCs w:val="24"/>
          <w:lang w:eastAsia="ja-JP"/>
        </w:rPr>
        <w:t xml:space="preserve"> and </w:t>
      </w:r>
      <w:r w:rsidR="00CB5809" w:rsidRPr="00CB5809">
        <w:rPr>
          <w:rFonts w:hint="eastAsia"/>
          <w:i/>
          <w:sz w:val="24"/>
          <w:szCs w:val="24"/>
          <w:lang w:eastAsia="ja-JP"/>
        </w:rPr>
        <w:t>N</w:t>
      </w:r>
      <w:r w:rsidR="00CB5809">
        <w:rPr>
          <w:rFonts w:hint="eastAsia"/>
          <w:sz w:val="24"/>
          <w:szCs w:val="24"/>
          <w:lang w:eastAsia="ja-JP"/>
        </w:rPr>
        <w:t xml:space="preserve"> stands for the total number of periods.</w:t>
      </w:r>
      <w:r>
        <w:rPr>
          <w:rFonts w:hint="eastAsia"/>
          <w:sz w:val="24"/>
          <w:szCs w:val="24"/>
          <w:lang w:eastAsia="ja-JP"/>
        </w:rPr>
        <w:t xml:space="preserve"> </w:t>
      </w:r>
      <w:r w:rsidR="00DA46CF" w:rsidRPr="00647277">
        <w:rPr>
          <w:rFonts w:hint="eastAsia"/>
          <w:i/>
          <w:sz w:val="24"/>
          <w:szCs w:val="24"/>
          <w:lang w:eastAsia="ja-JP"/>
        </w:rPr>
        <w:t>RAD</w:t>
      </w:r>
      <w:r w:rsidR="00DA46CF">
        <w:rPr>
          <w:rFonts w:hint="eastAsia"/>
          <w:sz w:val="24"/>
          <w:szCs w:val="24"/>
          <w:lang w:eastAsia="ja-JP"/>
        </w:rPr>
        <w:t xml:space="preserve"> measures the average level of mispricing across all periods </w:t>
      </w:r>
      <w:r w:rsidR="00334664">
        <w:rPr>
          <w:sz w:val="24"/>
          <w:szCs w:val="24"/>
          <w:lang w:eastAsia="ja-JP"/>
        </w:rPr>
        <w:t>of</w:t>
      </w:r>
      <w:r w:rsidR="00334664">
        <w:rPr>
          <w:rFonts w:hint="eastAsia"/>
          <w:sz w:val="24"/>
          <w:szCs w:val="24"/>
          <w:lang w:eastAsia="ja-JP"/>
        </w:rPr>
        <w:t xml:space="preserve"> </w:t>
      </w:r>
      <w:r w:rsidR="00A47CF7">
        <w:rPr>
          <w:rFonts w:hint="eastAsia"/>
          <w:sz w:val="24"/>
          <w:szCs w:val="24"/>
          <w:lang w:eastAsia="ja-JP"/>
        </w:rPr>
        <w:t xml:space="preserve">the </w:t>
      </w:r>
      <w:r w:rsidR="00DA46CF">
        <w:rPr>
          <w:rFonts w:hint="eastAsia"/>
          <w:sz w:val="24"/>
          <w:lang w:eastAsia="ja-JP"/>
        </w:rPr>
        <w:t>session.</w:t>
      </w:r>
    </w:p>
    <w:p w14:paraId="02B03AE4" w14:textId="77777777" w:rsidR="001A69E9" w:rsidRPr="00CB5809" w:rsidRDefault="00DA46CF" w:rsidP="001A69E9">
      <w:pPr>
        <w:spacing w:line="480" w:lineRule="auto"/>
        <w:ind w:firstLine="720"/>
        <w:jc w:val="both"/>
        <w:rPr>
          <w:sz w:val="24"/>
          <w:lang w:eastAsia="ja-JP"/>
        </w:rPr>
      </w:pPr>
      <w:r>
        <w:rPr>
          <w:rFonts w:hint="eastAsia"/>
          <w:sz w:val="24"/>
          <w:lang w:eastAsia="ja-JP"/>
        </w:rPr>
        <w:t xml:space="preserve">As we wish to compare the degree of price deviations among periods </w:t>
      </w:r>
      <w:r w:rsidR="003779ED">
        <w:rPr>
          <w:rFonts w:hint="eastAsia"/>
          <w:sz w:val="24"/>
          <w:lang w:eastAsia="ja-JP"/>
        </w:rPr>
        <w:t xml:space="preserve">even </w:t>
      </w:r>
      <w:r>
        <w:rPr>
          <w:rFonts w:hint="eastAsia"/>
          <w:sz w:val="24"/>
          <w:lang w:eastAsia="ja-JP"/>
        </w:rPr>
        <w:t xml:space="preserve">within a session (e.g., between the periods with </w:t>
      </w:r>
      <w:r w:rsidR="001A76D0">
        <w:rPr>
          <w:rFonts w:hint="eastAsia"/>
          <w:sz w:val="24"/>
          <w:lang w:eastAsia="ja-JP"/>
        </w:rPr>
        <w:t>dividend</w:t>
      </w:r>
      <w:r w:rsidR="00334664">
        <w:rPr>
          <w:sz w:val="24"/>
          <w:lang w:eastAsia="ja-JP"/>
        </w:rPr>
        <w:t>-</w:t>
      </w:r>
      <w:r w:rsidR="001A76D0">
        <w:rPr>
          <w:rFonts w:hint="eastAsia"/>
          <w:sz w:val="24"/>
          <w:lang w:eastAsia="ja-JP"/>
        </w:rPr>
        <w:t xml:space="preserve">collecting </w:t>
      </w:r>
      <w:r w:rsidR="00440147">
        <w:rPr>
          <w:rFonts w:hint="eastAsia"/>
          <w:sz w:val="24"/>
          <w:lang w:eastAsia="ja-JP"/>
        </w:rPr>
        <w:t>investor</w:t>
      </w:r>
      <w:r w:rsidR="00454369">
        <w:rPr>
          <w:rFonts w:hint="eastAsia"/>
          <w:sz w:val="24"/>
          <w:lang w:eastAsia="ja-JP"/>
        </w:rPr>
        <w:t>s</w:t>
      </w:r>
      <w:r>
        <w:rPr>
          <w:rFonts w:hint="eastAsia"/>
          <w:sz w:val="24"/>
          <w:lang w:eastAsia="ja-JP"/>
        </w:rPr>
        <w:t xml:space="preserve"> and those with only </w:t>
      </w:r>
      <w:r w:rsidR="001A76D0">
        <w:rPr>
          <w:rFonts w:hint="eastAsia"/>
          <w:sz w:val="24"/>
          <w:lang w:eastAsia="ja-JP"/>
        </w:rPr>
        <w:t>speculating</w:t>
      </w:r>
      <w:r>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Pr>
          <w:rFonts w:hint="eastAsia"/>
          <w:sz w:val="24"/>
          <w:lang w:eastAsia="ja-JP"/>
        </w:rPr>
        <w:t xml:space="preserve">), we propose </w:t>
      </w:r>
      <w:r w:rsidRPr="00DA46CF">
        <w:rPr>
          <w:rFonts w:hint="eastAsia"/>
          <w:i/>
          <w:sz w:val="24"/>
          <w:lang w:eastAsia="ja-JP"/>
        </w:rPr>
        <w:t>Period-RAD</w:t>
      </w:r>
      <w:r>
        <w:rPr>
          <w:rFonts w:hint="eastAsia"/>
          <w:sz w:val="24"/>
          <w:lang w:eastAsia="ja-JP"/>
        </w:rPr>
        <w:t xml:space="preserve">, </w:t>
      </w:r>
      <w:r w:rsidR="00A2019C">
        <w:rPr>
          <w:rFonts w:hint="eastAsia"/>
          <w:sz w:val="24"/>
          <w:lang w:eastAsia="ja-JP"/>
        </w:rPr>
        <w:t>a</w:t>
      </w:r>
      <w:r>
        <w:rPr>
          <w:rFonts w:hint="eastAsia"/>
          <w:sz w:val="24"/>
          <w:lang w:eastAsia="ja-JP"/>
        </w:rPr>
        <w:t xml:space="preserve"> measure of mispricing per period. </w:t>
      </w:r>
    </w:p>
    <w:p w14:paraId="3DD00090" w14:textId="0EE91FA6" w:rsidR="001A69E9" w:rsidRPr="00E551F6" w:rsidRDefault="00DA46CF" w:rsidP="00B60A8C">
      <w:pPr>
        <w:tabs>
          <w:tab w:val="right" w:pos="9072"/>
        </w:tabs>
        <w:spacing w:line="480" w:lineRule="auto"/>
        <w:ind w:firstLine="720"/>
        <w:jc w:val="both"/>
        <w:rPr>
          <w:sz w:val="24"/>
          <w:lang w:eastAsia="ja-JP"/>
        </w:rPr>
      </w:pPr>
      <w:r w:rsidRPr="00E551F6">
        <w:rPr>
          <w:rFonts w:hint="eastAsia"/>
          <w:i/>
          <w:sz w:val="24"/>
          <w:szCs w:val="24"/>
          <w:lang w:eastAsia="ja-JP"/>
        </w:rPr>
        <w:t>Period-</w:t>
      </w:r>
      <w:r w:rsidRPr="00E551F6">
        <w:rPr>
          <w:i/>
          <w:sz w:val="24"/>
          <w:szCs w:val="24"/>
          <w:lang w:eastAsia="ja-JP"/>
        </w:rPr>
        <w:t>RAD</w:t>
      </w:r>
      <w:r w:rsidRPr="00E551F6">
        <w:rPr>
          <w:sz w:val="24"/>
          <w:szCs w:val="24"/>
          <w:lang w:eastAsia="ja-JP"/>
        </w:rPr>
        <w:t xml:space="preserve"> = </w:t>
      </w:r>
      <m:oMath>
        <m:r>
          <w:rPr>
            <w:rFonts w:ascii="Cambria Math" w:hAnsi="Cambria Math"/>
            <w:sz w:val="24"/>
            <w:szCs w:val="24"/>
            <w:lang w:eastAsia="ja-JP"/>
          </w:rPr>
          <m:t xml:space="preserve"> </m:t>
        </m:r>
        <m:d>
          <m:dPr>
            <m:begChr m:val="|"/>
            <m:endChr m:val="|"/>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e>
        </m:d>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oMath>
      <w:r w:rsidR="00B60A8C">
        <w:rPr>
          <w:rFonts w:hint="eastAsia"/>
          <w:sz w:val="24"/>
          <w:szCs w:val="24"/>
          <w:lang w:eastAsia="ja-JP"/>
        </w:rPr>
        <w:t xml:space="preserve"> </w:t>
      </w:r>
      <w:r w:rsidR="00B60A8C">
        <w:rPr>
          <w:sz w:val="24"/>
          <w:szCs w:val="24"/>
          <w:lang w:eastAsia="ja-JP"/>
        </w:rPr>
        <w:tab/>
      </w:r>
      <w:r w:rsidR="007E62E4" w:rsidRPr="00E551F6">
        <w:rPr>
          <w:rFonts w:hint="eastAsia"/>
          <w:sz w:val="24"/>
          <w:szCs w:val="24"/>
          <w:lang w:eastAsia="ja-JP"/>
        </w:rPr>
        <w:t>(</w:t>
      </w:r>
      <w:r w:rsidR="007819FF">
        <w:rPr>
          <w:sz w:val="24"/>
          <w:szCs w:val="24"/>
          <w:lang w:eastAsia="ja-JP"/>
        </w:rPr>
        <w:t>8</w:t>
      </w:r>
      <w:r w:rsidR="007E62E4" w:rsidRPr="00E551F6">
        <w:rPr>
          <w:rFonts w:hint="eastAsia"/>
          <w:sz w:val="24"/>
          <w:szCs w:val="24"/>
          <w:lang w:eastAsia="ja-JP"/>
        </w:rPr>
        <w:t>)</w:t>
      </w:r>
    </w:p>
    <w:p w14:paraId="6FB275F2" w14:textId="206FDEA6" w:rsidR="001A69E9" w:rsidRDefault="007E62E4" w:rsidP="007E62E4">
      <w:pPr>
        <w:spacing w:line="480" w:lineRule="auto"/>
        <w:jc w:val="both"/>
        <w:rPr>
          <w:sz w:val="24"/>
          <w:lang w:eastAsia="ja-JP"/>
        </w:rPr>
      </w:pPr>
      <w:r>
        <w:rPr>
          <w:rFonts w:hint="eastAsia"/>
          <w:sz w:val="24"/>
          <w:lang w:eastAsia="ja-JP"/>
        </w:rPr>
        <w:t xml:space="preserve">In our experiment, </w:t>
      </w:r>
      <m:oMath>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oMath>
      <w:r w:rsidR="00A47CF7" w:rsidRPr="00E551F6">
        <w:rPr>
          <w:rFonts w:hint="eastAsia"/>
          <w:sz w:val="24"/>
          <w:szCs w:val="24"/>
          <w:lang w:eastAsia="ja-JP"/>
        </w:rPr>
        <w:t xml:space="preserve"> </w:t>
      </w:r>
      <w:r w:rsidR="00C16A7D">
        <w:rPr>
          <w:i/>
          <w:sz w:val="24"/>
          <w:szCs w:val="24"/>
          <w:lang w:eastAsia="ja-JP"/>
        </w:rPr>
        <w:t>= 50</w:t>
      </w:r>
      <w:r w:rsidR="0043538C">
        <w:rPr>
          <w:i/>
          <w:sz w:val="24"/>
          <w:szCs w:val="24"/>
          <w:lang w:eastAsia="ja-JP"/>
        </w:rPr>
        <w:t xml:space="preserve"> </w:t>
      </w:r>
      <w:r w:rsidR="0043538C">
        <w:rPr>
          <w:sz w:val="24"/>
          <w:szCs w:val="24"/>
          <w:lang w:eastAsia="ja-JP"/>
        </w:rPr>
        <w:t>throughout the session</w:t>
      </w:r>
      <w:r w:rsidR="00C16A7D">
        <w:rPr>
          <w:i/>
          <w:sz w:val="24"/>
          <w:szCs w:val="24"/>
          <w:lang w:eastAsia="ja-JP"/>
        </w:rPr>
        <w:t xml:space="preserve">, </w:t>
      </w:r>
      <w:r w:rsidR="00C16A7D">
        <w:rPr>
          <w:sz w:val="24"/>
          <w:szCs w:val="24"/>
          <w:lang w:eastAsia="ja-JP"/>
        </w:rPr>
        <w:t xml:space="preserve">and </w:t>
      </w:r>
      <w:r w:rsidR="00A2019C" w:rsidRPr="00A2019C">
        <w:rPr>
          <w:rFonts w:hint="eastAsia"/>
          <w:i/>
          <w:sz w:val="24"/>
          <w:lang w:eastAsia="ja-JP"/>
        </w:rPr>
        <w:t>Period-RAD</w:t>
      </w:r>
      <w:r w:rsidR="00A2019C">
        <w:rPr>
          <w:rFonts w:hint="eastAsia"/>
          <w:sz w:val="24"/>
          <w:lang w:eastAsia="ja-JP"/>
        </w:rPr>
        <w:t xml:space="preserve"> </w:t>
      </w:r>
      <w:r w:rsidR="00780414">
        <w:rPr>
          <w:sz w:val="24"/>
          <w:lang w:eastAsia="ja-JP"/>
        </w:rPr>
        <w:t>is</w:t>
      </w:r>
    </w:p>
    <w:p w14:paraId="2C63A965" w14:textId="294DF1FD" w:rsidR="00A2019C" w:rsidRPr="00E551F6" w:rsidRDefault="00A2019C" w:rsidP="00B60A8C">
      <w:pPr>
        <w:tabs>
          <w:tab w:val="right" w:pos="9072"/>
        </w:tabs>
        <w:spacing w:line="480" w:lineRule="auto"/>
        <w:ind w:firstLine="720"/>
        <w:jc w:val="both"/>
        <w:rPr>
          <w:sz w:val="24"/>
          <w:lang w:eastAsia="ja-JP"/>
        </w:rPr>
      </w:pPr>
      <w:r w:rsidRPr="00E551F6">
        <w:rPr>
          <w:rFonts w:hint="eastAsia"/>
          <w:i/>
          <w:sz w:val="24"/>
          <w:szCs w:val="24"/>
          <w:lang w:eastAsia="ja-JP"/>
        </w:rPr>
        <w:t>Period-</w:t>
      </w:r>
      <w:r w:rsidRPr="00E551F6">
        <w:rPr>
          <w:i/>
          <w:sz w:val="24"/>
          <w:szCs w:val="24"/>
          <w:lang w:eastAsia="ja-JP"/>
        </w:rPr>
        <w:t>RAD</w:t>
      </w:r>
      <w:r w:rsidRPr="00E551F6">
        <w:rPr>
          <w:sz w:val="24"/>
          <w:szCs w:val="24"/>
          <w:lang w:eastAsia="ja-JP"/>
        </w:rPr>
        <w:t xml:space="preserve"> =</w:t>
      </w:r>
      <m:oMath>
        <m:r>
          <w:rPr>
            <w:rFonts w:ascii="Cambria Math" w:hAnsi="Cambria Math"/>
            <w:sz w:val="24"/>
            <w:szCs w:val="24"/>
            <w:lang w:eastAsia="ja-JP"/>
          </w:rPr>
          <m:t xml:space="preserve"> </m:t>
        </m:r>
        <m:d>
          <m:dPr>
            <m:begChr m:val="|"/>
            <m:endChr m:val="|"/>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r>
              <w:rPr>
                <w:rFonts w:ascii="Cambria Math" w:hAnsi="Cambria Math"/>
                <w:sz w:val="24"/>
                <w:szCs w:val="24"/>
                <w:lang w:eastAsia="ja-JP"/>
              </w:rPr>
              <m:t>-50</m:t>
            </m:r>
          </m:e>
        </m:d>
        <m:r>
          <w:rPr>
            <w:rFonts w:ascii="Cambria Math" w:hAnsi="Cambria Math"/>
            <w:sz w:val="24"/>
            <w:szCs w:val="24"/>
            <w:lang w:eastAsia="ja-JP"/>
          </w:rPr>
          <m:t>/50</m:t>
        </m:r>
      </m:oMath>
      <w:r w:rsidRPr="00E551F6">
        <w:rPr>
          <w:rFonts w:hint="eastAsia"/>
          <w:sz w:val="24"/>
          <w:szCs w:val="24"/>
          <w:lang w:eastAsia="ja-JP"/>
        </w:rPr>
        <w:t xml:space="preserve">. </w:t>
      </w:r>
      <w:r w:rsidR="00B60A8C">
        <w:rPr>
          <w:sz w:val="24"/>
          <w:szCs w:val="24"/>
          <w:lang w:eastAsia="ja-JP"/>
        </w:rPr>
        <w:tab/>
      </w:r>
      <w:r w:rsidR="007819FF" w:rsidRPr="00E551F6">
        <w:rPr>
          <w:rFonts w:hint="eastAsia"/>
          <w:sz w:val="24"/>
          <w:szCs w:val="24"/>
          <w:lang w:eastAsia="ja-JP"/>
        </w:rPr>
        <w:t>(</w:t>
      </w:r>
      <w:r w:rsidR="007819FF" w:rsidRPr="00E647AF">
        <w:rPr>
          <w:sz w:val="24"/>
          <w:szCs w:val="24"/>
          <w:lang w:eastAsia="ja-JP"/>
        </w:rPr>
        <w:t>9</w:t>
      </w:r>
      <w:r w:rsidR="007819FF" w:rsidRPr="00E551F6">
        <w:rPr>
          <w:rFonts w:hint="eastAsia"/>
          <w:sz w:val="24"/>
          <w:szCs w:val="24"/>
          <w:lang w:eastAsia="ja-JP"/>
        </w:rPr>
        <w:t>)</w:t>
      </w:r>
    </w:p>
    <w:p w14:paraId="06665180" w14:textId="77777777" w:rsidR="009F76F0" w:rsidRDefault="007B134A" w:rsidP="0001724B">
      <w:pPr>
        <w:spacing w:line="480" w:lineRule="auto"/>
        <w:ind w:firstLine="720"/>
        <w:jc w:val="both"/>
        <w:rPr>
          <w:sz w:val="24"/>
          <w:lang w:eastAsia="ja-JP"/>
        </w:rPr>
      </w:pPr>
      <w:r>
        <w:rPr>
          <w:rFonts w:hint="eastAsia"/>
          <w:sz w:val="24"/>
          <w:lang w:eastAsia="ja-JP"/>
        </w:rPr>
        <w:t xml:space="preserve">We </w:t>
      </w:r>
      <w:r w:rsidR="005C3632">
        <w:rPr>
          <w:rFonts w:hint="eastAsia"/>
          <w:sz w:val="24"/>
          <w:lang w:eastAsia="ja-JP"/>
        </w:rPr>
        <w:t xml:space="preserve">calculated </w:t>
      </w:r>
      <w:r w:rsidR="005C3632" w:rsidRPr="00403797">
        <w:rPr>
          <w:rFonts w:hint="eastAsia"/>
          <w:i/>
          <w:sz w:val="24"/>
          <w:lang w:eastAsia="ja-JP"/>
        </w:rPr>
        <w:t>Period-RAD</w:t>
      </w:r>
      <w:r w:rsidR="005C3632">
        <w:rPr>
          <w:rFonts w:hint="eastAsia"/>
          <w:sz w:val="24"/>
          <w:lang w:eastAsia="ja-JP"/>
        </w:rPr>
        <w:t xml:space="preserve"> for each </w:t>
      </w:r>
      <w:r w:rsidR="00154738">
        <w:rPr>
          <w:rFonts w:hint="eastAsia"/>
          <w:sz w:val="24"/>
          <w:lang w:eastAsia="ja-JP"/>
        </w:rPr>
        <w:t xml:space="preserve">of 16 </w:t>
      </w:r>
      <w:r w:rsidR="00397A69">
        <w:rPr>
          <w:rFonts w:hint="eastAsia"/>
          <w:sz w:val="24"/>
          <w:lang w:eastAsia="ja-JP"/>
        </w:rPr>
        <w:t>period</w:t>
      </w:r>
      <w:r w:rsidR="00154738">
        <w:rPr>
          <w:rFonts w:hint="eastAsia"/>
          <w:sz w:val="24"/>
          <w:lang w:eastAsia="ja-JP"/>
        </w:rPr>
        <w:t>s</w:t>
      </w:r>
      <w:r w:rsidR="00A2019C">
        <w:rPr>
          <w:rFonts w:hint="eastAsia"/>
          <w:sz w:val="24"/>
          <w:lang w:eastAsia="ja-JP"/>
        </w:rPr>
        <w:t xml:space="preserve"> in 24 </w:t>
      </w:r>
      <w:r w:rsidR="00F85140">
        <w:rPr>
          <w:rFonts w:hint="eastAsia"/>
          <w:sz w:val="24"/>
          <w:lang w:eastAsia="ja-JP"/>
        </w:rPr>
        <w:t>high-liquidity</w:t>
      </w:r>
      <w:r w:rsidR="00A2019C">
        <w:rPr>
          <w:rFonts w:hint="eastAsia"/>
          <w:sz w:val="24"/>
          <w:lang w:eastAsia="ja-JP"/>
        </w:rPr>
        <w:t xml:space="preserve"> session</w:t>
      </w:r>
      <w:r w:rsidR="00397A69">
        <w:rPr>
          <w:rFonts w:hint="eastAsia"/>
          <w:sz w:val="24"/>
          <w:lang w:eastAsia="ja-JP"/>
        </w:rPr>
        <w:t xml:space="preserve">s </w:t>
      </w:r>
      <w:r w:rsidR="00A2019C">
        <w:rPr>
          <w:rFonts w:hint="eastAsia"/>
          <w:sz w:val="24"/>
          <w:lang w:eastAsia="ja-JP"/>
        </w:rPr>
        <w:t>(</w:t>
      </w:r>
      <w:r w:rsidR="00282005">
        <w:rPr>
          <w:rFonts w:hint="eastAsia"/>
          <w:sz w:val="24"/>
          <w:lang w:eastAsia="ja-JP"/>
        </w:rPr>
        <w:t>six</w:t>
      </w:r>
      <w:r w:rsidR="00A2019C">
        <w:rPr>
          <w:rFonts w:hint="eastAsia"/>
          <w:sz w:val="24"/>
          <w:lang w:eastAsia="ja-JP"/>
        </w:rPr>
        <w:t xml:space="preserve"> </w:t>
      </w:r>
      <w:proofErr w:type="gramStart"/>
      <w:r w:rsidR="00A2019C">
        <w:rPr>
          <w:rFonts w:hint="eastAsia"/>
          <w:sz w:val="24"/>
          <w:lang w:eastAsia="ja-JP"/>
        </w:rPr>
        <w:t>sessions</w:t>
      </w:r>
      <w:r w:rsidR="00A2019C">
        <w:rPr>
          <w:rFonts w:ascii="MS Mincho" w:hAnsi="MS Mincho" w:hint="eastAsia"/>
          <w:sz w:val="24"/>
          <w:lang w:eastAsia="ja-JP"/>
        </w:rPr>
        <w:t>×</w:t>
      </w:r>
      <w:proofErr w:type="gramEnd"/>
      <w:r w:rsidR="00A2019C">
        <w:rPr>
          <w:rFonts w:hint="eastAsia"/>
          <w:sz w:val="24"/>
          <w:lang w:eastAsia="ja-JP"/>
        </w:rPr>
        <w:t xml:space="preserve">four treatments) and 24 </w:t>
      </w:r>
      <w:r w:rsidR="00F85140">
        <w:rPr>
          <w:rFonts w:hint="eastAsia"/>
          <w:sz w:val="24"/>
          <w:lang w:eastAsia="ja-JP"/>
        </w:rPr>
        <w:t>low-liquidity</w:t>
      </w:r>
      <w:r w:rsidR="00A2019C">
        <w:rPr>
          <w:rFonts w:hint="eastAsia"/>
          <w:sz w:val="24"/>
          <w:lang w:eastAsia="ja-JP"/>
        </w:rPr>
        <w:t xml:space="preserve"> sessions</w:t>
      </w:r>
      <w:r>
        <w:rPr>
          <w:rFonts w:hint="eastAsia"/>
          <w:sz w:val="24"/>
          <w:lang w:eastAsia="ja-JP"/>
        </w:rPr>
        <w:t>.</w:t>
      </w:r>
      <w:r w:rsidR="009F76F0">
        <w:rPr>
          <w:rStyle w:val="Funotenzeichen"/>
          <w:sz w:val="24"/>
          <w:lang w:eastAsia="ja-JP"/>
        </w:rPr>
        <w:footnoteReference w:id="32"/>
      </w:r>
    </w:p>
    <w:p w14:paraId="1E514BC2" w14:textId="48A46A06" w:rsidR="000E496B" w:rsidRDefault="00EA662D" w:rsidP="00013C35">
      <w:pPr>
        <w:spacing w:line="480" w:lineRule="auto"/>
        <w:jc w:val="center"/>
        <w:rPr>
          <w:i/>
          <w:sz w:val="24"/>
          <w:lang w:eastAsia="ja-JP"/>
        </w:rPr>
      </w:pPr>
      <w:r>
        <w:rPr>
          <w:rFonts w:hint="eastAsia"/>
          <w:i/>
          <w:sz w:val="24"/>
          <w:lang w:eastAsia="ja-JP"/>
        </w:rPr>
        <w:t>(</w:t>
      </w:r>
      <w:r w:rsidR="005279D1" w:rsidRPr="0012236C">
        <w:rPr>
          <w:i/>
          <w:sz w:val="24"/>
        </w:rPr>
        <w:t xml:space="preserve">Table </w:t>
      </w:r>
      <w:r w:rsidR="0065340C">
        <w:rPr>
          <w:i/>
          <w:sz w:val="24"/>
        </w:rPr>
        <w:t>3</w:t>
      </w:r>
      <w:r w:rsidR="005279D1" w:rsidRPr="0012236C">
        <w:rPr>
          <w:i/>
          <w:sz w:val="24"/>
        </w:rPr>
        <w:t xml:space="preserve"> about here</w:t>
      </w:r>
      <w:r>
        <w:rPr>
          <w:rFonts w:hint="eastAsia"/>
          <w:i/>
          <w:sz w:val="24"/>
          <w:lang w:eastAsia="ja-JP"/>
        </w:rPr>
        <w:t>)</w:t>
      </w:r>
    </w:p>
    <w:p w14:paraId="2FD4040E" w14:textId="0CBCF5B6" w:rsidR="00ED6FD7" w:rsidRDefault="00EA4AAD" w:rsidP="0001724B">
      <w:pPr>
        <w:spacing w:line="480" w:lineRule="auto"/>
        <w:ind w:firstLine="720"/>
        <w:jc w:val="both"/>
        <w:rPr>
          <w:sz w:val="24"/>
          <w:lang w:eastAsia="ja-JP"/>
        </w:rPr>
      </w:pPr>
      <w:r>
        <w:rPr>
          <w:sz w:val="24"/>
          <w:lang w:eastAsia="ja-JP"/>
        </w:rPr>
        <w:t>The t</w:t>
      </w:r>
      <w:r w:rsidR="00131824">
        <w:rPr>
          <w:sz w:val="24"/>
          <w:lang w:eastAsia="ja-JP"/>
        </w:rPr>
        <w:t xml:space="preserve">wo panels of </w:t>
      </w:r>
      <w:r w:rsidR="00154738">
        <w:rPr>
          <w:rFonts w:hint="eastAsia"/>
          <w:sz w:val="24"/>
          <w:lang w:eastAsia="ja-JP"/>
        </w:rPr>
        <w:t xml:space="preserve">Table </w:t>
      </w:r>
      <w:r w:rsidR="00AA3C44">
        <w:rPr>
          <w:sz w:val="24"/>
          <w:lang w:eastAsia="ja-JP"/>
        </w:rPr>
        <w:t>3</w:t>
      </w:r>
      <w:r w:rsidR="00AC31A8">
        <w:rPr>
          <w:rFonts w:hint="eastAsia"/>
          <w:sz w:val="24"/>
          <w:lang w:eastAsia="ja-JP"/>
        </w:rPr>
        <w:t xml:space="preserve"> </w:t>
      </w:r>
      <w:r w:rsidR="00154738">
        <w:rPr>
          <w:rFonts w:hint="eastAsia"/>
          <w:sz w:val="24"/>
          <w:lang w:eastAsia="ja-JP"/>
        </w:rPr>
        <w:t xml:space="preserve">show the </w:t>
      </w:r>
      <w:r w:rsidR="00131824">
        <w:rPr>
          <w:sz w:val="24"/>
          <w:lang w:eastAsia="ja-JP"/>
        </w:rPr>
        <w:t xml:space="preserve">six-session </w:t>
      </w:r>
      <w:r w:rsidR="00154738">
        <w:rPr>
          <w:rFonts w:hint="eastAsia"/>
          <w:sz w:val="24"/>
          <w:lang w:eastAsia="ja-JP"/>
        </w:rPr>
        <w:t xml:space="preserve">average of </w:t>
      </w:r>
      <w:r w:rsidR="00154738" w:rsidRPr="00403797">
        <w:rPr>
          <w:rFonts w:hint="eastAsia"/>
          <w:i/>
          <w:sz w:val="24"/>
          <w:lang w:eastAsia="ja-JP"/>
        </w:rPr>
        <w:t>Period-RAD</w:t>
      </w:r>
      <w:r w:rsidR="00154738">
        <w:rPr>
          <w:rFonts w:hint="eastAsia"/>
          <w:sz w:val="24"/>
          <w:lang w:eastAsia="ja-JP"/>
        </w:rPr>
        <w:t xml:space="preserve"> for each </w:t>
      </w:r>
      <w:r>
        <w:rPr>
          <w:sz w:val="24"/>
          <w:lang w:eastAsia="ja-JP"/>
        </w:rPr>
        <w:t>per</w:t>
      </w:r>
      <w:r>
        <w:rPr>
          <w:sz w:val="24"/>
          <w:lang w:eastAsia="ja-JP"/>
        </w:rPr>
        <w:t>i</w:t>
      </w:r>
      <w:r>
        <w:rPr>
          <w:sz w:val="24"/>
          <w:lang w:eastAsia="ja-JP"/>
        </w:rPr>
        <w:t xml:space="preserve">od </w:t>
      </w:r>
      <w:r w:rsidR="00131824">
        <w:rPr>
          <w:sz w:val="24"/>
          <w:lang w:eastAsia="ja-JP"/>
        </w:rPr>
        <w:t xml:space="preserve">of the high and </w:t>
      </w:r>
      <w:r w:rsidR="000076F9">
        <w:rPr>
          <w:sz w:val="24"/>
          <w:lang w:eastAsia="ja-JP"/>
        </w:rPr>
        <w:t>low-liquidity treatment</w:t>
      </w:r>
      <w:r w:rsidR="00131824">
        <w:rPr>
          <w:sz w:val="24"/>
          <w:lang w:eastAsia="ja-JP"/>
        </w:rPr>
        <w:t>s</w:t>
      </w:r>
      <w:r w:rsidR="00154738">
        <w:rPr>
          <w:rFonts w:hint="eastAsia"/>
          <w:sz w:val="24"/>
          <w:lang w:eastAsia="ja-JP"/>
        </w:rPr>
        <w:t>.</w:t>
      </w:r>
      <w:r w:rsidR="007B134A">
        <w:rPr>
          <w:rFonts w:hint="eastAsia"/>
          <w:sz w:val="24"/>
          <w:lang w:eastAsia="ja-JP"/>
        </w:rPr>
        <w:t xml:space="preserve"> </w:t>
      </w:r>
      <w:r>
        <w:rPr>
          <w:sz w:val="24"/>
          <w:lang w:eastAsia="ja-JP"/>
        </w:rPr>
        <w:t>P</w:t>
      </w:r>
      <w:r w:rsidR="007B134A">
        <w:rPr>
          <w:rFonts w:hint="eastAsia"/>
          <w:sz w:val="24"/>
          <w:lang w:eastAsia="ja-JP"/>
        </w:rPr>
        <w:t>eriod</w:t>
      </w:r>
      <w:r w:rsidR="00BB06F9">
        <w:rPr>
          <w:rFonts w:hint="eastAsia"/>
          <w:sz w:val="24"/>
          <w:lang w:eastAsia="ja-JP"/>
        </w:rPr>
        <w:t>s</w:t>
      </w:r>
      <w:r w:rsidR="007B134A">
        <w:rPr>
          <w:rFonts w:hint="eastAsia"/>
          <w:sz w:val="24"/>
          <w:lang w:eastAsia="ja-JP"/>
        </w:rPr>
        <w:t xml:space="preserve"> with </w:t>
      </w:r>
      <w:r w:rsidR="001A76D0">
        <w:rPr>
          <w:rFonts w:hint="eastAsia"/>
          <w:sz w:val="24"/>
          <w:lang w:eastAsia="ja-JP"/>
        </w:rPr>
        <w:t>dividend</w:t>
      </w:r>
      <w:r w:rsidR="00334664">
        <w:rPr>
          <w:sz w:val="24"/>
          <w:lang w:eastAsia="ja-JP"/>
        </w:rPr>
        <w:t>-</w:t>
      </w:r>
      <w:r w:rsidR="001A76D0">
        <w:rPr>
          <w:rFonts w:hint="eastAsia"/>
          <w:sz w:val="24"/>
          <w:lang w:eastAsia="ja-JP"/>
        </w:rPr>
        <w:t>collecting</w:t>
      </w:r>
      <w:r w:rsidR="007B134A">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7B134A">
        <w:rPr>
          <w:rFonts w:hint="eastAsia"/>
          <w:sz w:val="24"/>
          <w:lang w:eastAsia="ja-JP"/>
        </w:rPr>
        <w:t xml:space="preserve"> (the last generation) </w:t>
      </w:r>
      <w:r w:rsidR="00131824">
        <w:rPr>
          <w:sz w:val="24"/>
          <w:lang w:eastAsia="ja-JP"/>
        </w:rPr>
        <w:t xml:space="preserve">present </w:t>
      </w:r>
      <w:r w:rsidR="007B134A">
        <w:rPr>
          <w:rFonts w:hint="eastAsia"/>
          <w:sz w:val="24"/>
          <w:lang w:eastAsia="ja-JP"/>
        </w:rPr>
        <w:t xml:space="preserve">are </w:t>
      </w:r>
      <w:r w:rsidR="00131824">
        <w:rPr>
          <w:sz w:val="24"/>
          <w:lang w:eastAsia="ja-JP"/>
        </w:rPr>
        <w:t>shaded in</w:t>
      </w:r>
      <w:r w:rsidR="007B134A">
        <w:rPr>
          <w:rFonts w:hint="eastAsia"/>
          <w:sz w:val="24"/>
          <w:lang w:eastAsia="ja-JP"/>
        </w:rPr>
        <w:t xml:space="preserve"> grey and th</w:t>
      </w:r>
      <w:r w:rsidR="00131824">
        <w:rPr>
          <w:sz w:val="24"/>
          <w:lang w:eastAsia="ja-JP"/>
        </w:rPr>
        <w:t xml:space="preserve">ose </w:t>
      </w:r>
      <w:r w:rsidR="007B134A">
        <w:rPr>
          <w:rFonts w:hint="eastAsia"/>
          <w:sz w:val="24"/>
          <w:lang w:eastAsia="ja-JP"/>
        </w:rPr>
        <w:t xml:space="preserve">with only </w:t>
      </w:r>
      <w:r w:rsidR="001A76D0">
        <w:rPr>
          <w:rFonts w:hint="eastAsia"/>
          <w:sz w:val="24"/>
          <w:lang w:eastAsia="ja-JP"/>
        </w:rPr>
        <w:t>speculating i</w:t>
      </w:r>
      <w:r w:rsidR="00440147">
        <w:rPr>
          <w:rFonts w:hint="eastAsia"/>
          <w:sz w:val="24"/>
          <w:lang w:eastAsia="ja-JP"/>
        </w:rPr>
        <w:t>nvestor</w:t>
      </w:r>
      <w:r w:rsidR="00454369">
        <w:rPr>
          <w:rFonts w:hint="eastAsia"/>
          <w:sz w:val="24"/>
          <w:lang w:eastAsia="ja-JP"/>
        </w:rPr>
        <w:t>s</w:t>
      </w:r>
      <w:r>
        <w:rPr>
          <w:sz w:val="24"/>
          <w:lang w:eastAsia="ja-JP"/>
        </w:rPr>
        <w:t xml:space="preserve"> present</w:t>
      </w:r>
      <w:r w:rsidR="007B134A">
        <w:rPr>
          <w:rFonts w:hint="eastAsia"/>
          <w:sz w:val="24"/>
          <w:lang w:eastAsia="ja-JP"/>
        </w:rPr>
        <w:t xml:space="preserve"> are </w:t>
      </w:r>
      <w:r w:rsidR="00980A55">
        <w:rPr>
          <w:sz w:val="24"/>
          <w:lang w:eastAsia="ja-JP"/>
        </w:rPr>
        <w:t>white</w:t>
      </w:r>
      <w:r w:rsidR="00131824">
        <w:rPr>
          <w:sz w:val="24"/>
          <w:lang w:eastAsia="ja-JP"/>
        </w:rPr>
        <w:t>.</w:t>
      </w:r>
      <w:r w:rsidR="007B134A">
        <w:rPr>
          <w:rFonts w:hint="eastAsia"/>
          <w:sz w:val="24"/>
          <w:lang w:eastAsia="ja-JP"/>
        </w:rPr>
        <w:t xml:space="preserve"> </w:t>
      </w:r>
      <w:proofErr w:type="gramStart"/>
      <w:r w:rsidR="00AC4495">
        <w:rPr>
          <w:sz w:val="24"/>
          <w:lang w:eastAsia="ja-JP"/>
        </w:rPr>
        <w:t>T</w:t>
      </w:r>
      <w:r w:rsidR="007B134A">
        <w:rPr>
          <w:rFonts w:hint="eastAsia"/>
          <w:sz w:val="24"/>
          <w:lang w:eastAsia="ja-JP"/>
        </w:rPr>
        <w:t xml:space="preserve">he </w:t>
      </w:r>
      <w:r w:rsidR="00BB06F9">
        <w:rPr>
          <w:rFonts w:hint="eastAsia"/>
          <w:sz w:val="24"/>
          <w:lang w:eastAsia="ja-JP"/>
        </w:rPr>
        <w:t>periods</w:t>
      </w:r>
      <w:r w:rsidR="007B134A">
        <w:rPr>
          <w:rFonts w:hint="eastAsia"/>
          <w:sz w:val="24"/>
          <w:lang w:eastAsia="ja-JP"/>
        </w:rPr>
        <w:t xml:space="preserve"> </w:t>
      </w:r>
      <w:r w:rsidR="00BB06F9">
        <w:rPr>
          <w:rFonts w:hint="eastAsia"/>
          <w:sz w:val="24"/>
          <w:lang w:eastAsia="ja-JP"/>
        </w:rPr>
        <w:t xml:space="preserve">in which </w:t>
      </w:r>
      <w:r w:rsidR="007B134A">
        <w:rPr>
          <w:rFonts w:hint="eastAsia"/>
          <w:sz w:val="24"/>
          <w:lang w:eastAsia="ja-JP"/>
        </w:rPr>
        <w:t xml:space="preserve">the same two generations </w:t>
      </w:r>
      <w:r w:rsidR="003A3C30">
        <w:rPr>
          <w:sz w:val="24"/>
          <w:lang w:eastAsia="ja-JP"/>
        </w:rPr>
        <w:t>trade</w:t>
      </w:r>
      <w:r w:rsidR="00980A55">
        <w:rPr>
          <w:sz w:val="24"/>
          <w:lang w:eastAsia="ja-JP"/>
        </w:rPr>
        <w:t xml:space="preserve"> have a bold border</w:t>
      </w:r>
      <w:r w:rsidR="00BB06F9">
        <w:rPr>
          <w:rFonts w:hint="eastAsia"/>
          <w:sz w:val="24"/>
          <w:lang w:eastAsia="ja-JP"/>
        </w:rPr>
        <w:t>.</w:t>
      </w:r>
      <w:proofErr w:type="gramEnd"/>
      <w:r w:rsidR="00BB06F9">
        <w:rPr>
          <w:rFonts w:hint="eastAsia"/>
          <w:sz w:val="24"/>
          <w:lang w:eastAsia="ja-JP"/>
        </w:rPr>
        <w:t xml:space="preserve"> In both Panels A (</w:t>
      </w:r>
      <w:r w:rsidR="00F85140">
        <w:rPr>
          <w:rFonts w:hint="eastAsia"/>
          <w:sz w:val="24"/>
          <w:lang w:eastAsia="ja-JP"/>
        </w:rPr>
        <w:t>high-liquidity</w:t>
      </w:r>
      <w:r w:rsidR="00BB06F9">
        <w:rPr>
          <w:rFonts w:hint="eastAsia"/>
          <w:sz w:val="24"/>
          <w:lang w:eastAsia="ja-JP"/>
        </w:rPr>
        <w:t xml:space="preserve"> session) and B (</w:t>
      </w:r>
      <w:r w:rsidR="00F85140">
        <w:rPr>
          <w:rFonts w:hint="eastAsia"/>
          <w:sz w:val="24"/>
          <w:lang w:eastAsia="ja-JP"/>
        </w:rPr>
        <w:t>low-liquidity</w:t>
      </w:r>
      <w:r w:rsidR="00BB06F9">
        <w:rPr>
          <w:rFonts w:hint="eastAsia"/>
          <w:sz w:val="24"/>
          <w:lang w:eastAsia="ja-JP"/>
        </w:rPr>
        <w:t xml:space="preserve"> session), we find that (</w:t>
      </w:r>
      <w:r>
        <w:rPr>
          <w:sz w:val="24"/>
          <w:lang w:eastAsia="ja-JP"/>
        </w:rPr>
        <w:t xml:space="preserve">for a </w:t>
      </w:r>
      <w:r w:rsidR="00BB06F9">
        <w:rPr>
          <w:rFonts w:hint="eastAsia"/>
          <w:sz w:val="24"/>
          <w:lang w:eastAsia="ja-JP"/>
        </w:rPr>
        <w:t>given per</w:t>
      </w:r>
      <w:r w:rsidR="00BB06F9">
        <w:rPr>
          <w:rFonts w:hint="eastAsia"/>
          <w:sz w:val="24"/>
          <w:lang w:eastAsia="ja-JP"/>
        </w:rPr>
        <w:t>i</w:t>
      </w:r>
      <w:r w:rsidR="00BB06F9">
        <w:rPr>
          <w:rFonts w:hint="eastAsia"/>
          <w:sz w:val="24"/>
          <w:lang w:eastAsia="ja-JP"/>
        </w:rPr>
        <w:t xml:space="preserve">od </w:t>
      </w:r>
      <w:r w:rsidR="009E4A3D">
        <w:rPr>
          <w:rFonts w:hint="eastAsia"/>
          <w:sz w:val="24"/>
          <w:lang w:eastAsia="ja-JP"/>
        </w:rPr>
        <w:t xml:space="preserve">sequence </w:t>
      </w:r>
      <w:r w:rsidR="00BB06F9">
        <w:rPr>
          <w:rFonts w:hint="eastAsia"/>
          <w:sz w:val="24"/>
          <w:lang w:eastAsia="ja-JP"/>
        </w:rPr>
        <w:t>number)</w:t>
      </w:r>
      <w:r w:rsidR="00BB06F9" w:rsidRPr="00BB06F9">
        <w:rPr>
          <w:rFonts w:hint="eastAsia"/>
          <w:i/>
          <w:sz w:val="24"/>
          <w:lang w:eastAsia="ja-JP"/>
        </w:rPr>
        <w:t xml:space="preserve"> Period-RAD</w:t>
      </w:r>
      <w:r w:rsidR="00BB06F9">
        <w:rPr>
          <w:rFonts w:hint="eastAsia"/>
          <w:sz w:val="24"/>
          <w:lang w:eastAsia="ja-JP"/>
        </w:rPr>
        <w:t xml:space="preserve"> </w:t>
      </w:r>
      <w:r w:rsidR="008D07BE">
        <w:rPr>
          <w:sz w:val="24"/>
          <w:lang w:eastAsia="ja-JP"/>
        </w:rPr>
        <w:t>is almost always</w:t>
      </w:r>
      <w:r w:rsidR="00BB06F9">
        <w:rPr>
          <w:rFonts w:hint="eastAsia"/>
          <w:sz w:val="24"/>
          <w:lang w:eastAsia="ja-JP"/>
        </w:rPr>
        <w:t xml:space="preserve"> larger in markets with only </w:t>
      </w:r>
      <w:r w:rsidR="001A76D0">
        <w:rPr>
          <w:rFonts w:hint="eastAsia"/>
          <w:sz w:val="24"/>
          <w:lang w:eastAsia="ja-JP"/>
        </w:rPr>
        <w:t>speculating</w:t>
      </w:r>
      <w:r w:rsidR="00BB06F9">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BB06F9">
        <w:rPr>
          <w:rFonts w:hint="eastAsia"/>
          <w:sz w:val="24"/>
          <w:lang w:eastAsia="ja-JP"/>
        </w:rPr>
        <w:t xml:space="preserve"> (</w:t>
      </w:r>
      <w:r w:rsidR="00980A55">
        <w:rPr>
          <w:sz w:val="24"/>
          <w:lang w:eastAsia="ja-JP"/>
        </w:rPr>
        <w:t>white</w:t>
      </w:r>
      <w:r w:rsidR="00BB06F9">
        <w:rPr>
          <w:rFonts w:hint="eastAsia"/>
          <w:sz w:val="24"/>
          <w:lang w:eastAsia="ja-JP"/>
        </w:rPr>
        <w:t xml:space="preserve"> cells) than in periods with </w:t>
      </w:r>
      <w:r w:rsidR="001A76D0">
        <w:rPr>
          <w:rFonts w:hint="eastAsia"/>
          <w:sz w:val="24"/>
          <w:lang w:eastAsia="ja-JP"/>
        </w:rPr>
        <w:t>dividend</w:t>
      </w:r>
      <w:r w:rsidR="00D13F75">
        <w:rPr>
          <w:sz w:val="24"/>
          <w:lang w:eastAsia="ja-JP"/>
        </w:rPr>
        <w:t>-</w:t>
      </w:r>
      <w:r w:rsidR="001A76D0">
        <w:rPr>
          <w:rFonts w:hint="eastAsia"/>
          <w:sz w:val="24"/>
          <w:lang w:eastAsia="ja-JP"/>
        </w:rPr>
        <w:t>collecting</w:t>
      </w:r>
      <w:r w:rsidR="00BB06F9">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BB06F9">
        <w:rPr>
          <w:rFonts w:hint="eastAsia"/>
          <w:sz w:val="24"/>
          <w:lang w:eastAsia="ja-JP"/>
        </w:rPr>
        <w:t xml:space="preserve"> (grey cells). </w:t>
      </w:r>
      <w:r w:rsidR="009F76F0">
        <w:rPr>
          <w:rFonts w:hint="eastAsia"/>
          <w:sz w:val="24"/>
          <w:lang w:eastAsia="ja-JP"/>
        </w:rPr>
        <w:t>Figure</w:t>
      </w:r>
      <w:r w:rsidR="0036139C">
        <w:rPr>
          <w:rFonts w:hint="eastAsia"/>
          <w:sz w:val="24"/>
          <w:lang w:eastAsia="ja-JP"/>
        </w:rPr>
        <w:t xml:space="preserve"> 4</w:t>
      </w:r>
      <w:r w:rsidR="009F76F0">
        <w:rPr>
          <w:rFonts w:hint="eastAsia"/>
          <w:sz w:val="24"/>
          <w:lang w:eastAsia="ja-JP"/>
        </w:rPr>
        <w:t xml:space="preserve"> show</w:t>
      </w:r>
      <w:r w:rsidR="009B5885">
        <w:rPr>
          <w:sz w:val="24"/>
          <w:lang w:eastAsia="ja-JP"/>
        </w:rPr>
        <w:t>s</w:t>
      </w:r>
      <w:r w:rsidR="009F76F0">
        <w:rPr>
          <w:rFonts w:hint="eastAsia"/>
          <w:sz w:val="24"/>
          <w:lang w:eastAsia="ja-JP"/>
        </w:rPr>
        <w:t xml:space="preserve"> the average </w:t>
      </w:r>
      <w:r w:rsidR="009F76F0" w:rsidRPr="00530D38">
        <w:rPr>
          <w:i/>
          <w:sz w:val="24"/>
          <w:lang w:eastAsia="ja-JP"/>
        </w:rPr>
        <w:t>Period-RAD</w:t>
      </w:r>
      <w:r w:rsidR="009F76F0">
        <w:rPr>
          <w:rFonts w:hint="eastAsia"/>
          <w:sz w:val="24"/>
          <w:lang w:eastAsia="ja-JP"/>
        </w:rPr>
        <w:t xml:space="preserve"> for each period </w:t>
      </w:r>
      <w:r w:rsidR="009E4A3D">
        <w:rPr>
          <w:rFonts w:hint="eastAsia"/>
          <w:sz w:val="24"/>
          <w:lang w:eastAsia="ja-JP"/>
        </w:rPr>
        <w:t xml:space="preserve">sequence </w:t>
      </w:r>
      <w:r w:rsidR="009F76F0">
        <w:rPr>
          <w:rFonts w:hint="eastAsia"/>
          <w:sz w:val="24"/>
          <w:lang w:eastAsia="ja-JP"/>
        </w:rPr>
        <w:t xml:space="preserve">number, </w:t>
      </w:r>
      <w:r w:rsidR="009F76F0">
        <w:rPr>
          <w:sz w:val="24"/>
          <w:lang w:eastAsia="ja-JP"/>
        </w:rPr>
        <w:t>comparing</w:t>
      </w:r>
      <w:r w:rsidR="009F76F0">
        <w:rPr>
          <w:rFonts w:hint="eastAsia"/>
          <w:sz w:val="24"/>
          <w:lang w:eastAsia="ja-JP"/>
        </w:rPr>
        <w:t xml:space="preserve"> the markets with </w:t>
      </w:r>
      <w:r w:rsidR="001A76D0">
        <w:rPr>
          <w:rFonts w:hint="eastAsia"/>
          <w:sz w:val="24"/>
          <w:lang w:eastAsia="ja-JP"/>
        </w:rPr>
        <w:t>dividend</w:t>
      </w:r>
      <w:r w:rsidR="00D13F75">
        <w:rPr>
          <w:sz w:val="24"/>
          <w:lang w:eastAsia="ja-JP"/>
        </w:rPr>
        <w:t>-</w:t>
      </w:r>
      <w:r w:rsidR="001A76D0">
        <w:rPr>
          <w:rFonts w:hint="eastAsia"/>
          <w:sz w:val="24"/>
          <w:lang w:eastAsia="ja-JP"/>
        </w:rPr>
        <w:t>collecting</w:t>
      </w:r>
      <w:r w:rsidR="009F76F0">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9F76F0">
        <w:rPr>
          <w:rFonts w:hint="eastAsia"/>
          <w:sz w:val="24"/>
          <w:lang w:eastAsia="ja-JP"/>
        </w:rPr>
        <w:t xml:space="preserve"> (e.g.</w:t>
      </w:r>
      <w:r w:rsidR="001413A9">
        <w:rPr>
          <w:sz w:val="24"/>
          <w:lang w:eastAsia="ja-JP"/>
        </w:rPr>
        <w:t>,</w:t>
      </w:r>
      <w:r w:rsidR="009F76F0">
        <w:rPr>
          <w:rFonts w:hint="eastAsia"/>
          <w:sz w:val="24"/>
          <w:lang w:eastAsia="ja-JP"/>
        </w:rPr>
        <w:t xml:space="preserve"> Period 1 in T1) with those with only </w:t>
      </w:r>
      <w:r w:rsidR="001A76D0">
        <w:rPr>
          <w:rFonts w:hint="eastAsia"/>
          <w:sz w:val="24"/>
          <w:lang w:eastAsia="ja-JP"/>
        </w:rPr>
        <w:t>speculating</w:t>
      </w:r>
      <w:r w:rsidR="009F76F0">
        <w:rPr>
          <w:rFonts w:hint="eastAsia"/>
          <w:sz w:val="24"/>
          <w:lang w:eastAsia="ja-JP"/>
        </w:rPr>
        <w:t xml:space="preserve"> </w:t>
      </w:r>
      <w:r w:rsidR="00440147">
        <w:rPr>
          <w:rFonts w:hint="eastAsia"/>
          <w:sz w:val="24"/>
          <w:lang w:eastAsia="ja-JP"/>
        </w:rPr>
        <w:t>i</w:t>
      </w:r>
      <w:r w:rsidR="00440147">
        <w:rPr>
          <w:rFonts w:hint="eastAsia"/>
          <w:sz w:val="24"/>
          <w:lang w:eastAsia="ja-JP"/>
        </w:rPr>
        <w:t>n</w:t>
      </w:r>
      <w:r w:rsidR="00440147">
        <w:rPr>
          <w:rFonts w:hint="eastAsia"/>
          <w:sz w:val="24"/>
          <w:lang w:eastAsia="ja-JP"/>
        </w:rPr>
        <w:t>vestor</w:t>
      </w:r>
      <w:r w:rsidR="00454369">
        <w:rPr>
          <w:rFonts w:hint="eastAsia"/>
          <w:sz w:val="24"/>
          <w:lang w:eastAsia="ja-JP"/>
        </w:rPr>
        <w:t>s</w:t>
      </w:r>
      <w:r w:rsidR="009F76F0">
        <w:rPr>
          <w:rFonts w:hint="eastAsia"/>
          <w:sz w:val="24"/>
          <w:lang w:eastAsia="ja-JP"/>
        </w:rPr>
        <w:t xml:space="preserve"> (e.g.</w:t>
      </w:r>
      <w:r w:rsidR="001413A9">
        <w:rPr>
          <w:sz w:val="24"/>
          <w:lang w:eastAsia="ja-JP"/>
        </w:rPr>
        <w:t>,</w:t>
      </w:r>
      <w:r w:rsidR="009F76F0">
        <w:rPr>
          <w:rFonts w:hint="eastAsia"/>
          <w:sz w:val="24"/>
          <w:lang w:eastAsia="ja-JP"/>
        </w:rPr>
        <w:t xml:space="preserve"> Period 1 in T2, T4, and T8), in high</w:t>
      </w:r>
      <w:r w:rsidR="0036139C">
        <w:rPr>
          <w:sz w:val="24"/>
          <w:lang w:eastAsia="ja-JP"/>
        </w:rPr>
        <w:t xml:space="preserve"> (</w:t>
      </w:r>
      <w:r w:rsidR="00D74562">
        <w:rPr>
          <w:sz w:val="24"/>
          <w:lang w:eastAsia="ja-JP"/>
        </w:rPr>
        <w:t>P</w:t>
      </w:r>
      <w:r w:rsidR="0036139C">
        <w:rPr>
          <w:sz w:val="24"/>
          <w:lang w:eastAsia="ja-JP"/>
        </w:rPr>
        <w:t>anel A)</w:t>
      </w:r>
      <w:r w:rsidR="009F76F0">
        <w:rPr>
          <w:rFonts w:hint="eastAsia"/>
          <w:sz w:val="24"/>
          <w:lang w:eastAsia="ja-JP"/>
        </w:rPr>
        <w:t xml:space="preserve"> and low liquidity </w:t>
      </w:r>
      <w:r w:rsidR="0036139C">
        <w:rPr>
          <w:sz w:val="24"/>
          <w:lang w:eastAsia="ja-JP"/>
        </w:rPr>
        <w:t>(</w:t>
      </w:r>
      <w:r w:rsidR="00D74562">
        <w:rPr>
          <w:sz w:val="24"/>
          <w:lang w:eastAsia="ja-JP"/>
        </w:rPr>
        <w:t>P</w:t>
      </w:r>
      <w:r w:rsidR="0036139C">
        <w:rPr>
          <w:sz w:val="24"/>
          <w:lang w:eastAsia="ja-JP"/>
        </w:rPr>
        <w:t xml:space="preserve">anel B) </w:t>
      </w:r>
      <w:r w:rsidR="009F76F0">
        <w:rPr>
          <w:rFonts w:hint="eastAsia"/>
          <w:sz w:val="24"/>
          <w:lang w:eastAsia="ja-JP"/>
        </w:rPr>
        <w:t>se</w:t>
      </w:r>
      <w:r w:rsidR="009F76F0">
        <w:rPr>
          <w:rFonts w:hint="eastAsia"/>
          <w:sz w:val="24"/>
          <w:lang w:eastAsia="ja-JP"/>
        </w:rPr>
        <w:t>s</w:t>
      </w:r>
      <w:r w:rsidR="009F76F0">
        <w:rPr>
          <w:rFonts w:hint="eastAsia"/>
          <w:sz w:val="24"/>
          <w:lang w:eastAsia="ja-JP"/>
        </w:rPr>
        <w:t xml:space="preserve">sions, respectively. We observe that for all period </w:t>
      </w:r>
      <w:r w:rsidR="009E4A3D">
        <w:rPr>
          <w:rFonts w:hint="eastAsia"/>
          <w:sz w:val="24"/>
          <w:lang w:eastAsia="ja-JP"/>
        </w:rPr>
        <w:t xml:space="preserve">sequence </w:t>
      </w:r>
      <w:r w:rsidR="009F76F0">
        <w:rPr>
          <w:rFonts w:hint="eastAsia"/>
          <w:sz w:val="24"/>
          <w:lang w:eastAsia="ja-JP"/>
        </w:rPr>
        <w:t xml:space="preserve">numbers </w:t>
      </w:r>
      <w:r w:rsidR="009F76F0">
        <w:rPr>
          <w:sz w:val="24"/>
          <w:lang w:eastAsia="ja-JP"/>
        </w:rPr>
        <w:t xml:space="preserve">in high and low liquidity </w:t>
      </w:r>
      <w:r w:rsidR="009F76F0">
        <w:rPr>
          <w:sz w:val="24"/>
          <w:lang w:eastAsia="ja-JP"/>
        </w:rPr>
        <w:lastRenderedPageBreak/>
        <w:t xml:space="preserve">treatments </w:t>
      </w:r>
      <w:r w:rsidR="009F76F0">
        <w:rPr>
          <w:rFonts w:hint="eastAsia"/>
          <w:sz w:val="24"/>
          <w:lang w:eastAsia="ja-JP"/>
        </w:rPr>
        <w:t xml:space="preserve">(14 high and 14 low liquidity period </w:t>
      </w:r>
      <w:r w:rsidR="009E4A3D">
        <w:rPr>
          <w:rFonts w:hint="eastAsia"/>
          <w:sz w:val="24"/>
          <w:lang w:eastAsia="ja-JP"/>
        </w:rPr>
        <w:t xml:space="preserve">sequence </w:t>
      </w:r>
      <w:r w:rsidR="009F76F0">
        <w:rPr>
          <w:rFonts w:hint="eastAsia"/>
          <w:sz w:val="24"/>
          <w:lang w:eastAsia="ja-JP"/>
        </w:rPr>
        <w:t xml:space="preserve">numbers), the average </w:t>
      </w:r>
      <w:r w:rsidR="009F76F0" w:rsidRPr="00530D38">
        <w:rPr>
          <w:i/>
          <w:sz w:val="24"/>
          <w:lang w:eastAsia="ja-JP"/>
        </w:rPr>
        <w:t>Period-RAD</w:t>
      </w:r>
      <w:r w:rsidR="009F76F0">
        <w:rPr>
          <w:rFonts w:hint="eastAsia"/>
          <w:sz w:val="24"/>
          <w:lang w:eastAsia="ja-JP"/>
        </w:rPr>
        <w:t xml:space="preserve"> across markets with only s</w:t>
      </w:r>
      <w:r w:rsidR="001A76D0">
        <w:rPr>
          <w:rFonts w:hint="eastAsia"/>
          <w:sz w:val="24"/>
          <w:lang w:eastAsia="ja-JP"/>
        </w:rPr>
        <w:t>peculating</w:t>
      </w:r>
      <w:r w:rsidR="009F76F0">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9F76F0">
        <w:rPr>
          <w:rFonts w:hint="eastAsia"/>
          <w:sz w:val="24"/>
          <w:lang w:eastAsia="ja-JP"/>
        </w:rPr>
        <w:t xml:space="preserve"> is larger than the one across </w:t>
      </w:r>
      <w:r w:rsidR="009F76F0">
        <w:rPr>
          <w:sz w:val="24"/>
          <w:lang w:eastAsia="ja-JP"/>
        </w:rPr>
        <w:t>markets</w:t>
      </w:r>
      <w:r w:rsidR="00BC7F45">
        <w:rPr>
          <w:rFonts w:hint="eastAsia"/>
          <w:sz w:val="24"/>
          <w:lang w:eastAsia="ja-JP"/>
        </w:rPr>
        <w:t xml:space="preserve"> with </w:t>
      </w:r>
      <w:r w:rsidR="001A76D0">
        <w:rPr>
          <w:rFonts w:hint="eastAsia"/>
          <w:sz w:val="24"/>
          <w:lang w:eastAsia="ja-JP"/>
        </w:rPr>
        <w:t>di</w:t>
      </w:r>
      <w:r w:rsidR="001A76D0">
        <w:rPr>
          <w:rFonts w:hint="eastAsia"/>
          <w:sz w:val="24"/>
          <w:lang w:eastAsia="ja-JP"/>
        </w:rPr>
        <w:t>v</w:t>
      </w:r>
      <w:r w:rsidR="001A76D0">
        <w:rPr>
          <w:rFonts w:hint="eastAsia"/>
          <w:sz w:val="24"/>
          <w:lang w:eastAsia="ja-JP"/>
        </w:rPr>
        <w:t>idend</w:t>
      </w:r>
      <w:r w:rsidR="000901B4">
        <w:rPr>
          <w:sz w:val="24"/>
          <w:lang w:eastAsia="ja-JP"/>
        </w:rPr>
        <w:t>-</w:t>
      </w:r>
      <w:r w:rsidR="001A76D0">
        <w:rPr>
          <w:rFonts w:hint="eastAsia"/>
          <w:sz w:val="24"/>
          <w:lang w:eastAsia="ja-JP"/>
        </w:rPr>
        <w:t>collecting</w:t>
      </w:r>
      <w:r w:rsidR="00BC7F45">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9F76F0">
        <w:rPr>
          <w:rFonts w:hint="eastAsia"/>
          <w:sz w:val="24"/>
          <w:lang w:eastAsia="ja-JP"/>
        </w:rPr>
        <w:t>. Th</w:t>
      </w:r>
      <w:r w:rsidR="005228B1">
        <w:rPr>
          <w:sz w:val="24"/>
          <w:lang w:eastAsia="ja-JP"/>
        </w:rPr>
        <w:t>i</w:t>
      </w:r>
      <w:r w:rsidR="009F76F0">
        <w:rPr>
          <w:rFonts w:hint="eastAsia"/>
          <w:sz w:val="24"/>
          <w:lang w:eastAsia="ja-JP"/>
        </w:rPr>
        <w:t>s</w:t>
      </w:r>
      <w:r w:rsidR="0052719A">
        <w:rPr>
          <w:sz w:val="24"/>
          <w:lang w:eastAsia="ja-JP"/>
        </w:rPr>
        <w:t xml:space="preserve"> observation</w:t>
      </w:r>
      <w:r w:rsidR="009F76F0">
        <w:rPr>
          <w:rFonts w:hint="eastAsia"/>
          <w:sz w:val="24"/>
          <w:lang w:eastAsia="ja-JP"/>
        </w:rPr>
        <w:t xml:space="preserve"> </w:t>
      </w:r>
      <w:r w:rsidR="005228B1">
        <w:rPr>
          <w:sz w:val="24"/>
          <w:lang w:eastAsia="ja-JP"/>
        </w:rPr>
        <w:t xml:space="preserve">corroborates </w:t>
      </w:r>
      <w:r w:rsidR="009F76F0">
        <w:rPr>
          <w:rFonts w:hint="eastAsia"/>
          <w:sz w:val="24"/>
          <w:lang w:eastAsia="ja-JP"/>
        </w:rPr>
        <w:t xml:space="preserve">that </w:t>
      </w:r>
      <w:r w:rsidR="00936C5B">
        <w:rPr>
          <w:sz w:val="24"/>
          <w:lang w:eastAsia="ja-JP"/>
        </w:rPr>
        <w:t xml:space="preserve">for any </w:t>
      </w:r>
      <w:r w:rsidR="009F76F0">
        <w:rPr>
          <w:rFonts w:hint="eastAsia"/>
          <w:sz w:val="24"/>
          <w:lang w:eastAsia="ja-JP"/>
        </w:rPr>
        <w:t xml:space="preserve">given period </w:t>
      </w:r>
      <w:r w:rsidR="000C084E">
        <w:rPr>
          <w:sz w:val="24"/>
          <w:lang w:eastAsia="ja-JP"/>
        </w:rPr>
        <w:t xml:space="preserve">sequence </w:t>
      </w:r>
      <w:r w:rsidR="009F76F0">
        <w:rPr>
          <w:rFonts w:hint="eastAsia"/>
          <w:sz w:val="24"/>
          <w:lang w:eastAsia="ja-JP"/>
        </w:rPr>
        <w:t>number, price deviation</w:t>
      </w:r>
      <w:r w:rsidR="00F06944">
        <w:rPr>
          <w:sz w:val="24"/>
          <w:lang w:eastAsia="ja-JP"/>
        </w:rPr>
        <w:t>s</w:t>
      </w:r>
      <w:r w:rsidR="009F76F0">
        <w:rPr>
          <w:rFonts w:hint="eastAsia"/>
          <w:sz w:val="24"/>
          <w:lang w:eastAsia="ja-JP"/>
        </w:rPr>
        <w:t xml:space="preserve"> from fundamentals </w:t>
      </w:r>
      <w:r w:rsidR="00F06944">
        <w:rPr>
          <w:sz w:val="24"/>
          <w:lang w:eastAsia="ja-JP"/>
        </w:rPr>
        <w:t>are</w:t>
      </w:r>
      <w:r w:rsidR="005228B1">
        <w:rPr>
          <w:rFonts w:hint="eastAsia"/>
          <w:sz w:val="24"/>
          <w:lang w:eastAsia="ja-JP"/>
        </w:rPr>
        <w:t xml:space="preserve"> </w:t>
      </w:r>
      <w:r w:rsidR="009F76F0">
        <w:rPr>
          <w:rFonts w:hint="eastAsia"/>
          <w:sz w:val="24"/>
          <w:lang w:eastAsia="ja-JP"/>
        </w:rPr>
        <w:t xml:space="preserve">larger in markets with only </w:t>
      </w:r>
      <w:r w:rsidR="001A76D0">
        <w:rPr>
          <w:rFonts w:hint="eastAsia"/>
          <w:sz w:val="24"/>
          <w:lang w:eastAsia="ja-JP"/>
        </w:rPr>
        <w:t>speculating</w:t>
      </w:r>
      <w:r w:rsidR="009F76F0">
        <w:rPr>
          <w:rFonts w:hint="eastAsia"/>
          <w:sz w:val="24"/>
          <w:lang w:eastAsia="ja-JP"/>
        </w:rPr>
        <w:t xml:space="preserve"> </w:t>
      </w:r>
      <w:r w:rsidR="00440147">
        <w:rPr>
          <w:rFonts w:hint="eastAsia"/>
          <w:sz w:val="24"/>
          <w:lang w:eastAsia="ja-JP"/>
        </w:rPr>
        <w:t>i</w:t>
      </w:r>
      <w:r w:rsidR="00440147">
        <w:rPr>
          <w:rFonts w:hint="eastAsia"/>
          <w:sz w:val="24"/>
          <w:lang w:eastAsia="ja-JP"/>
        </w:rPr>
        <w:t>n</w:t>
      </w:r>
      <w:r w:rsidR="00440147">
        <w:rPr>
          <w:rFonts w:hint="eastAsia"/>
          <w:sz w:val="24"/>
          <w:lang w:eastAsia="ja-JP"/>
        </w:rPr>
        <w:t>vestor</w:t>
      </w:r>
      <w:r w:rsidR="00454369">
        <w:rPr>
          <w:rFonts w:hint="eastAsia"/>
          <w:sz w:val="24"/>
          <w:lang w:eastAsia="ja-JP"/>
        </w:rPr>
        <w:t>s</w:t>
      </w:r>
      <w:r w:rsidR="009F76F0">
        <w:rPr>
          <w:rFonts w:hint="eastAsia"/>
          <w:sz w:val="24"/>
          <w:lang w:eastAsia="ja-JP"/>
        </w:rPr>
        <w:t xml:space="preserve"> compared to </w:t>
      </w:r>
      <w:r w:rsidR="0043538C">
        <w:rPr>
          <w:sz w:val="24"/>
          <w:lang w:eastAsia="ja-JP"/>
        </w:rPr>
        <w:t>those</w:t>
      </w:r>
      <w:r w:rsidR="009F76F0">
        <w:rPr>
          <w:rFonts w:hint="eastAsia"/>
          <w:sz w:val="24"/>
          <w:lang w:eastAsia="ja-JP"/>
        </w:rPr>
        <w:t xml:space="preserve"> in markets with </w:t>
      </w:r>
      <w:r w:rsidR="001A76D0">
        <w:rPr>
          <w:rFonts w:hint="eastAsia"/>
          <w:sz w:val="24"/>
          <w:lang w:eastAsia="ja-JP"/>
        </w:rPr>
        <w:t>dividend</w:t>
      </w:r>
      <w:r w:rsidR="000901B4">
        <w:rPr>
          <w:sz w:val="24"/>
          <w:lang w:eastAsia="ja-JP"/>
        </w:rPr>
        <w:t>-</w:t>
      </w:r>
      <w:r w:rsidR="001A76D0">
        <w:rPr>
          <w:rFonts w:hint="eastAsia"/>
          <w:sz w:val="24"/>
          <w:lang w:eastAsia="ja-JP"/>
        </w:rPr>
        <w:t>collecting</w:t>
      </w:r>
      <w:r w:rsidR="009F76F0">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9F76F0">
        <w:rPr>
          <w:rFonts w:hint="eastAsia"/>
          <w:sz w:val="24"/>
          <w:lang w:eastAsia="ja-JP"/>
        </w:rPr>
        <w:t xml:space="preserve">. </w:t>
      </w:r>
      <w:r w:rsidR="00936C5B">
        <w:rPr>
          <w:sz w:val="24"/>
          <w:lang w:eastAsia="ja-JP"/>
        </w:rPr>
        <w:t>On average</w:t>
      </w:r>
      <w:r w:rsidR="008134CF">
        <w:rPr>
          <w:sz w:val="24"/>
          <w:lang w:eastAsia="ja-JP"/>
        </w:rPr>
        <w:t>,</w:t>
      </w:r>
      <w:r w:rsidR="00936C5B">
        <w:rPr>
          <w:sz w:val="24"/>
          <w:lang w:eastAsia="ja-JP"/>
        </w:rPr>
        <w:t xml:space="preserve"> price deviation</w:t>
      </w:r>
      <w:r w:rsidR="009B5885">
        <w:rPr>
          <w:sz w:val="24"/>
          <w:lang w:eastAsia="ja-JP"/>
        </w:rPr>
        <w:t>s</w:t>
      </w:r>
      <w:r w:rsidR="008134CF">
        <w:rPr>
          <w:sz w:val="24"/>
          <w:lang w:eastAsia="ja-JP"/>
        </w:rPr>
        <w:t xml:space="preserve"> </w:t>
      </w:r>
      <w:r w:rsidR="009B5885">
        <w:rPr>
          <w:sz w:val="24"/>
          <w:lang w:eastAsia="ja-JP"/>
        </w:rPr>
        <w:t xml:space="preserve">differ </w:t>
      </w:r>
      <w:r w:rsidR="008134CF">
        <w:rPr>
          <w:sz w:val="24"/>
          <w:lang w:eastAsia="ja-JP"/>
        </w:rPr>
        <w:t xml:space="preserve">by a factor of </w:t>
      </w:r>
      <w:r w:rsidR="004E3B6C">
        <w:rPr>
          <w:rFonts w:hint="eastAsia"/>
          <w:sz w:val="24"/>
          <w:lang w:eastAsia="ja-JP"/>
        </w:rPr>
        <w:t>2.45</w:t>
      </w:r>
      <w:r w:rsidR="00936C5B">
        <w:rPr>
          <w:sz w:val="24"/>
          <w:lang w:eastAsia="ja-JP"/>
        </w:rPr>
        <w:t xml:space="preserve"> (</w:t>
      </w:r>
      <w:r w:rsidR="004E3B6C">
        <w:rPr>
          <w:rFonts w:hint="eastAsia"/>
          <w:sz w:val="24"/>
          <w:lang w:eastAsia="ja-JP"/>
        </w:rPr>
        <w:t>4.06</w:t>
      </w:r>
      <w:r w:rsidR="00936C5B">
        <w:rPr>
          <w:sz w:val="24"/>
          <w:lang w:eastAsia="ja-JP"/>
        </w:rPr>
        <w:t xml:space="preserve">) </w:t>
      </w:r>
      <w:r w:rsidR="008134CF">
        <w:rPr>
          <w:sz w:val="24"/>
          <w:lang w:eastAsia="ja-JP"/>
        </w:rPr>
        <w:t>under high (low) liquidity.</w:t>
      </w:r>
    </w:p>
    <w:p w14:paraId="73AC57DD" w14:textId="77777777" w:rsidR="00795A53" w:rsidRPr="000C084E" w:rsidRDefault="000901B4" w:rsidP="000C084E">
      <w:pPr>
        <w:spacing w:line="480" w:lineRule="auto"/>
        <w:ind w:firstLine="720"/>
        <w:jc w:val="center"/>
        <w:rPr>
          <w:i/>
          <w:sz w:val="24"/>
          <w:lang w:eastAsia="ja-JP"/>
        </w:rPr>
      </w:pPr>
      <w:r>
        <w:rPr>
          <w:i/>
          <w:sz w:val="24"/>
          <w:lang w:eastAsia="ja-JP"/>
        </w:rPr>
        <w:t>(</w:t>
      </w:r>
      <w:r w:rsidR="00BC7F45">
        <w:rPr>
          <w:i/>
          <w:sz w:val="24"/>
          <w:lang w:eastAsia="ja-JP"/>
        </w:rPr>
        <w:t>Figure</w:t>
      </w:r>
      <w:r w:rsidR="008134CF">
        <w:rPr>
          <w:i/>
          <w:sz w:val="24"/>
          <w:lang w:eastAsia="ja-JP"/>
        </w:rPr>
        <w:t xml:space="preserve"> 4 about here</w:t>
      </w:r>
      <w:r>
        <w:rPr>
          <w:i/>
          <w:sz w:val="24"/>
          <w:lang w:eastAsia="ja-JP"/>
        </w:rPr>
        <w:t>)</w:t>
      </w:r>
    </w:p>
    <w:p w14:paraId="35B39DC4" w14:textId="52540EDC" w:rsidR="004B2C3D" w:rsidRDefault="00484589" w:rsidP="00D6750A">
      <w:pPr>
        <w:spacing w:line="480" w:lineRule="auto"/>
        <w:ind w:firstLine="720"/>
        <w:jc w:val="both"/>
        <w:rPr>
          <w:sz w:val="24"/>
          <w:lang w:eastAsia="ja-JP"/>
        </w:rPr>
      </w:pPr>
      <w:r>
        <w:rPr>
          <w:rFonts w:hint="eastAsia"/>
          <w:sz w:val="24"/>
          <w:lang w:eastAsia="ja-JP"/>
        </w:rPr>
        <w:t xml:space="preserve">Table </w:t>
      </w:r>
      <w:r w:rsidR="00AA3C44">
        <w:rPr>
          <w:sz w:val="24"/>
          <w:lang w:eastAsia="ja-JP"/>
        </w:rPr>
        <w:t>4</w:t>
      </w:r>
      <w:r w:rsidR="00BC7F45">
        <w:rPr>
          <w:sz w:val="24"/>
          <w:lang w:eastAsia="ja-JP"/>
        </w:rPr>
        <w:t xml:space="preserve"> </w:t>
      </w:r>
      <w:r>
        <w:rPr>
          <w:rFonts w:hint="eastAsia"/>
          <w:sz w:val="24"/>
          <w:lang w:eastAsia="ja-JP"/>
        </w:rPr>
        <w:t xml:space="preserve">confirms these observations. It </w:t>
      </w:r>
      <w:r w:rsidR="008D07BE">
        <w:rPr>
          <w:sz w:val="24"/>
          <w:lang w:eastAsia="ja-JP"/>
        </w:rPr>
        <w:t>c</w:t>
      </w:r>
      <w:r w:rsidR="00D6750A">
        <w:rPr>
          <w:rFonts w:hint="eastAsia"/>
          <w:sz w:val="24"/>
          <w:lang w:eastAsia="ja-JP"/>
        </w:rPr>
        <w:t>ompar</w:t>
      </w:r>
      <w:r>
        <w:rPr>
          <w:rFonts w:hint="eastAsia"/>
          <w:sz w:val="24"/>
          <w:lang w:eastAsia="ja-JP"/>
        </w:rPr>
        <w:t>es</w:t>
      </w:r>
      <w:r w:rsidR="00D6750A">
        <w:rPr>
          <w:rFonts w:hint="eastAsia"/>
          <w:sz w:val="24"/>
          <w:lang w:eastAsia="ja-JP"/>
        </w:rPr>
        <w:t xml:space="preserve"> </w:t>
      </w:r>
      <w:r>
        <w:rPr>
          <w:rFonts w:hint="eastAsia"/>
          <w:sz w:val="24"/>
          <w:lang w:eastAsia="ja-JP"/>
        </w:rPr>
        <w:t xml:space="preserve">the </w:t>
      </w:r>
      <w:r w:rsidR="00BB06F9">
        <w:rPr>
          <w:rFonts w:hint="eastAsia"/>
          <w:sz w:val="24"/>
          <w:lang w:eastAsia="ja-JP"/>
        </w:rPr>
        <w:t xml:space="preserve">average </w:t>
      </w:r>
      <w:r w:rsidR="00D6750A" w:rsidRPr="00A656D2">
        <w:rPr>
          <w:rFonts w:hint="eastAsia"/>
          <w:i/>
          <w:sz w:val="24"/>
          <w:lang w:eastAsia="ja-JP"/>
        </w:rPr>
        <w:t>Period-RAD</w:t>
      </w:r>
      <w:r w:rsidR="005279D1">
        <w:rPr>
          <w:i/>
          <w:sz w:val="24"/>
          <w:lang w:eastAsia="ja-JP"/>
        </w:rPr>
        <w:t>s</w:t>
      </w:r>
      <w:r w:rsidR="00D6750A">
        <w:rPr>
          <w:rFonts w:hint="eastAsia"/>
          <w:sz w:val="24"/>
          <w:lang w:eastAsia="ja-JP"/>
        </w:rPr>
        <w:t xml:space="preserve"> </w:t>
      </w:r>
      <w:r w:rsidR="00BB06F9">
        <w:rPr>
          <w:sz w:val="24"/>
          <w:lang w:eastAsia="ja-JP"/>
        </w:rPr>
        <w:t>across</w:t>
      </w:r>
      <w:r w:rsidR="00BB06F9">
        <w:rPr>
          <w:rFonts w:hint="eastAsia"/>
          <w:sz w:val="24"/>
          <w:lang w:eastAsia="ja-JP"/>
        </w:rPr>
        <w:t xml:space="preserve"> </w:t>
      </w:r>
      <w:r w:rsidR="00CF28F6">
        <w:rPr>
          <w:sz w:val="24"/>
          <w:lang w:eastAsia="ja-JP"/>
        </w:rPr>
        <w:t xml:space="preserve">all </w:t>
      </w:r>
      <w:r w:rsidR="00D6750A">
        <w:rPr>
          <w:rFonts w:hint="eastAsia"/>
          <w:sz w:val="24"/>
          <w:lang w:eastAsia="ja-JP"/>
        </w:rPr>
        <w:t>periods with</w:t>
      </w:r>
      <w:r w:rsidR="00CF28F6">
        <w:rPr>
          <w:sz w:val="24"/>
          <w:lang w:eastAsia="ja-JP"/>
        </w:rPr>
        <w:t xml:space="preserve"> </w:t>
      </w:r>
      <w:r w:rsidR="001A76D0">
        <w:rPr>
          <w:rFonts w:hint="eastAsia"/>
          <w:sz w:val="24"/>
          <w:lang w:eastAsia="ja-JP"/>
        </w:rPr>
        <w:t>dividend</w:t>
      </w:r>
      <w:r w:rsidR="000901B4">
        <w:rPr>
          <w:sz w:val="24"/>
          <w:lang w:eastAsia="ja-JP"/>
        </w:rPr>
        <w:t>-</w:t>
      </w:r>
      <w:r w:rsidR="001A76D0">
        <w:rPr>
          <w:rFonts w:hint="eastAsia"/>
          <w:sz w:val="24"/>
          <w:lang w:eastAsia="ja-JP"/>
        </w:rPr>
        <w:t>collecting</w:t>
      </w:r>
      <w:r w:rsidR="003A4601">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3A4601">
        <w:rPr>
          <w:rFonts w:hint="eastAsia"/>
          <w:sz w:val="24"/>
          <w:lang w:eastAsia="ja-JP"/>
        </w:rPr>
        <w:t xml:space="preserve"> </w:t>
      </w:r>
      <w:r w:rsidR="00CF28F6">
        <w:rPr>
          <w:sz w:val="24"/>
          <w:lang w:eastAsia="ja-JP"/>
        </w:rPr>
        <w:t>(0.40</w:t>
      </w:r>
      <w:r>
        <w:rPr>
          <w:rFonts w:hint="eastAsia"/>
          <w:sz w:val="24"/>
          <w:lang w:eastAsia="ja-JP"/>
        </w:rPr>
        <w:t>1</w:t>
      </w:r>
      <w:r w:rsidR="00CF28F6">
        <w:rPr>
          <w:sz w:val="24"/>
          <w:lang w:eastAsia="ja-JP"/>
        </w:rPr>
        <w:t xml:space="preserve"> in H and </w:t>
      </w:r>
      <w:r w:rsidR="00CE1B37">
        <w:rPr>
          <w:sz w:val="24"/>
          <w:lang w:eastAsia="ja-JP"/>
        </w:rPr>
        <w:t>0.140</w:t>
      </w:r>
      <w:r w:rsidR="00CF28F6">
        <w:rPr>
          <w:sz w:val="24"/>
          <w:lang w:eastAsia="ja-JP"/>
        </w:rPr>
        <w:t xml:space="preserve"> in L) with</w:t>
      </w:r>
      <w:r w:rsidR="003A4601">
        <w:rPr>
          <w:rFonts w:hint="eastAsia"/>
          <w:sz w:val="24"/>
          <w:lang w:eastAsia="ja-JP"/>
        </w:rPr>
        <w:t xml:space="preserve"> </w:t>
      </w:r>
      <w:r w:rsidR="00B6598E">
        <w:rPr>
          <w:sz w:val="24"/>
          <w:lang w:eastAsia="ja-JP"/>
        </w:rPr>
        <w:t xml:space="preserve">periods populated </w:t>
      </w:r>
      <w:r w:rsidR="007C3D90">
        <w:rPr>
          <w:sz w:val="24"/>
          <w:lang w:eastAsia="ja-JP"/>
        </w:rPr>
        <w:t xml:space="preserve">only </w:t>
      </w:r>
      <w:r w:rsidR="00B6598E">
        <w:rPr>
          <w:sz w:val="24"/>
          <w:lang w:eastAsia="ja-JP"/>
        </w:rPr>
        <w:t xml:space="preserve">by </w:t>
      </w:r>
      <w:r w:rsidR="000076F9">
        <w:rPr>
          <w:rFonts w:hint="eastAsia"/>
          <w:sz w:val="24"/>
          <w:lang w:eastAsia="ja-JP"/>
        </w:rPr>
        <w:t>s</w:t>
      </w:r>
      <w:r w:rsidR="001A76D0">
        <w:rPr>
          <w:rFonts w:hint="eastAsia"/>
          <w:sz w:val="24"/>
          <w:lang w:eastAsia="ja-JP"/>
        </w:rPr>
        <w:t>peculating</w:t>
      </w:r>
      <w:r w:rsidR="003A4601">
        <w:rPr>
          <w:rFonts w:hint="eastAsia"/>
          <w:sz w:val="24"/>
          <w:lang w:eastAsia="ja-JP"/>
        </w:rPr>
        <w:t xml:space="preserve"> </w:t>
      </w:r>
      <w:r w:rsidR="00440147">
        <w:rPr>
          <w:rFonts w:hint="eastAsia"/>
          <w:sz w:val="24"/>
          <w:lang w:eastAsia="ja-JP"/>
        </w:rPr>
        <w:t>investor</w:t>
      </w:r>
      <w:r w:rsidR="00454369">
        <w:rPr>
          <w:rFonts w:hint="eastAsia"/>
          <w:sz w:val="24"/>
          <w:lang w:eastAsia="ja-JP"/>
        </w:rPr>
        <w:t>s</w:t>
      </w:r>
      <w:r w:rsidR="00D6750A">
        <w:rPr>
          <w:rFonts w:hint="eastAsia"/>
          <w:sz w:val="24"/>
          <w:lang w:eastAsia="ja-JP"/>
        </w:rPr>
        <w:t xml:space="preserve"> </w:t>
      </w:r>
      <w:r w:rsidR="00CF28F6">
        <w:rPr>
          <w:sz w:val="24"/>
          <w:lang w:eastAsia="ja-JP"/>
        </w:rPr>
        <w:t xml:space="preserve">(1.024 in H and </w:t>
      </w:r>
      <w:r w:rsidR="00CE1B37">
        <w:rPr>
          <w:sz w:val="24"/>
          <w:lang w:eastAsia="ja-JP"/>
        </w:rPr>
        <w:t xml:space="preserve">0.502 in </w:t>
      </w:r>
      <w:r w:rsidR="00CF28F6">
        <w:rPr>
          <w:sz w:val="24"/>
          <w:lang w:eastAsia="ja-JP"/>
        </w:rPr>
        <w:t>L)</w:t>
      </w:r>
      <w:r>
        <w:rPr>
          <w:rFonts w:hint="eastAsia"/>
          <w:sz w:val="24"/>
          <w:lang w:eastAsia="ja-JP"/>
        </w:rPr>
        <w:t>. T</w:t>
      </w:r>
      <w:r w:rsidR="004A2CEE">
        <w:rPr>
          <w:rFonts w:hint="eastAsia"/>
          <w:sz w:val="24"/>
          <w:lang w:eastAsia="ja-JP"/>
        </w:rPr>
        <w:t xml:space="preserve">he </w:t>
      </w:r>
      <w:r w:rsidR="008D07BE">
        <w:rPr>
          <w:sz w:val="24"/>
          <w:lang w:eastAsia="ja-JP"/>
        </w:rPr>
        <w:t xml:space="preserve">respective </w:t>
      </w:r>
      <w:r w:rsidR="004A2CEE">
        <w:rPr>
          <w:rFonts w:hint="eastAsia"/>
          <w:sz w:val="24"/>
          <w:lang w:eastAsia="ja-JP"/>
        </w:rPr>
        <w:t>difference</w:t>
      </w:r>
      <w:r w:rsidR="0052719A">
        <w:rPr>
          <w:sz w:val="24"/>
          <w:lang w:eastAsia="ja-JP"/>
        </w:rPr>
        <w:t>s</w:t>
      </w:r>
      <w:r w:rsidR="004A2CEE">
        <w:rPr>
          <w:rFonts w:hint="eastAsia"/>
          <w:sz w:val="24"/>
          <w:lang w:eastAsia="ja-JP"/>
        </w:rPr>
        <w:t xml:space="preserve"> </w:t>
      </w:r>
      <w:r w:rsidR="001042BE">
        <w:rPr>
          <w:rFonts w:hint="eastAsia"/>
          <w:sz w:val="24"/>
          <w:lang w:eastAsia="ja-JP"/>
        </w:rPr>
        <w:t>(0.6</w:t>
      </w:r>
      <w:r w:rsidR="008E0211">
        <w:rPr>
          <w:rFonts w:hint="eastAsia"/>
          <w:sz w:val="24"/>
          <w:lang w:eastAsia="ja-JP"/>
        </w:rPr>
        <w:t>2</w:t>
      </w:r>
      <w:r>
        <w:rPr>
          <w:rFonts w:hint="eastAsia"/>
          <w:sz w:val="24"/>
          <w:lang w:eastAsia="ja-JP"/>
        </w:rPr>
        <w:t>3</w:t>
      </w:r>
      <w:r w:rsidR="00CE1B37">
        <w:rPr>
          <w:sz w:val="24"/>
          <w:lang w:eastAsia="ja-JP"/>
        </w:rPr>
        <w:t xml:space="preserve"> in H and 0.362 in L</w:t>
      </w:r>
      <w:r w:rsidR="001042BE">
        <w:rPr>
          <w:rFonts w:hint="eastAsia"/>
          <w:sz w:val="24"/>
          <w:lang w:eastAsia="ja-JP"/>
        </w:rPr>
        <w:t xml:space="preserve">) </w:t>
      </w:r>
      <w:r w:rsidR="0052719A">
        <w:rPr>
          <w:sz w:val="24"/>
          <w:lang w:eastAsia="ja-JP"/>
        </w:rPr>
        <w:t>are</w:t>
      </w:r>
      <w:r w:rsidR="004A2CEE">
        <w:rPr>
          <w:rFonts w:hint="eastAsia"/>
          <w:sz w:val="24"/>
          <w:lang w:eastAsia="ja-JP"/>
        </w:rPr>
        <w:t xml:space="preserve"> </w:t>
      </w:r>
      <w:r w:rsidR="00CE1B37">
        <w:rPr>
          <w:sz w:val="24"/>
          <w:lang w:eastAsia="ja-JP"/>
        </w:rPr>
        <w:t xml:space="preserve">large in absolute terms and statistically </w:t>
      </w:r>
      <w:r w:rsidR="004A2CEE">
        <w:rPr>
          <w:rFonts w:hint="eastAsia"/>
          <w:sz w:val="24"/>
          <w:lang w:eastAsia="ja-JP"/>
        </w:rPr>
        <w:t>significant at</w:t>
      </w:r>
      <w:r w:rsidR="008D07BE">
        <w:rPr>
          <w:sz w:val="24"/>
          <w:lang w:eastAsia="ja-JP"/>
        </w:rPr>
        <w:t xml:space="preserve"> the</w:t>
      </w:r>
      <w:r w:rsidR="004A2CEE">
        <w:rPr>
          <w:rFonts w:hint="eastAsia"/>
          <w:sz w:val="24"/>
          <w:lang w:eastAsia="ja-JP"/>
        </w:rPr>
        <w:t xml:space="preserve"> 1% level</w:t>
      </w:r>
      <w:r w:rsidR="008D07BE">
        <w:rPr>
          <w:sz w:val="24"/>
          <w:lang w:eastAsia="ja-JP"/>
        </w:rPr>
        <w:t xml:space="preserve"> for each liquidity treatment (two-sided t-test)</w:t>
      </w:r>
      <w:r w:rsidR="004A2CEE">
        <w:rPr>
          <w:rFonts w:hint="eastAsia"/>
          <w:sz w:val="24"/>
          <w:lang w:eastAsia="ja-JP"/>
        </w:rPr>
        <w:t>.</w:t>
      </w:r>
      <w:r w:rsidR="00E16360">
        <w:rPr>
          <w:rStyle w:val="Funotenzeichen"/>
          <w:sz w:val="24"/>
          <w:lang w:eastAsia="ja-JP"/>
        </w:rPr>
        <w:footnoteReference w:id="33"/>
      </w:r>
      <w:r w:rsidR="004A2CEE">
        <w:rPr>
          <w:rFonts w:hint="eastAsia"/>
          <w:sz w:val="24"/>
          <w:lang w:eastAsia="ja-JP"/>
        </w:rPr>
        <w:t xml:space="preserve"> </w:t>
      </w:r>
      <w:r w:rsidR="008D07BE">
        <w:rPr>
          <w:sz w:val="24"/>
          <w:lang w:eastAsia="ja-JP"/>
        </w:rPr>
        <w:t xml:space="preserve">The </w:t>
      </w:r>
      <w:r w:rsidR="00CE1B37">
        <w:rPr>
          <w:sz w:val="24"/>
          <w:lang w:eastAsia="ja-JP"/>
        </w:rPr>
        <w:t xml:space="preserve">Null hypothesis </w:t>
      </w:r>
      <w:r w:rsidR="00224E7A">
        <w:rPr>
          <w:sz w:val="24"/>
          <w:lang w:eastAsia="ja-JP"/>
        </w:rPr>
        <w:t>I</w:t>
      </w:r>
      <w:r w:rsidR="00224E7A" w:rsidRPr="008D07BE">
        <w:rPr>
          <w:sz w:val="24"/>
          <w:vertAlign w:val="subscript"/>
          <w:lang w:eastAsia="ja-JP"/>
        </w:rPr>
        <w:t>0</w:t>
      </w:r>
      <w:r w:rsidR="00CE1B37">
        <w:rPr>
          <w:sz w:val="24"/>
          <w:lang w:eastAsia="ja-JP"/>
        </w:rPr>
        <w:t xml:space="preserve"> (that the presence of </w:t>
      </w:r>
      <w:r w:rsidR="001A76D0">
        <w:rPr>
          <w:rFonts w:hint="eastAsia"/>
          <w:sz w:val="24"/>
          <w:lang w:eastAsia="ja-JP"/>
        </w:rPr>
        <w:t xml:space="preserve">speculating </w:t>
      </w:r>
      <w:r w:rsidR="00440147">
        <w:rPr>
          <w:rFonts w:hint="eastAsia"/>
          <w:sz w:val="24"/>
          <w:lang w:eastAsia="ja-JP"/>
        </w:rPr>
        <w:t>investor</w:t>
      </w:r>
      <w:r w:rsidR="00454369">
        <w:rPr>
          <w:rFonts w:hint="eastAsia"/>
          <w:sz w:val="24"/>
          <w:lang w:eastAsia="ja-JP"/>
        </w:rPr>
        <w:t>s</w:t>
      </w:r>
      <w:r w:rsidR="00CE1B37">
        <w:rPr>
          <w:sz w:val="24"/>
          <w:lang w:eastAsia="ja-JP"/>
        </w:rPr>
        <w:t xml:space="preserve"> </w:t>
      </w:r>
      <w:r w:rsidR="0052719A">
        <w:rPr>
          <w:sz w:val="24"/>
          <w:lang w:eastAsia="ja-JP"/>
        </w:rPr>
        <w:t>does not impact</w:t>
      </w:r>
      <w:r w:rsidR="008D07BE">
        <w:rPr>
          <w:sz w:val="24"/>
          <w:lang w:eastAsia="ja-JP"/>
        </w:rPr>
        <w:t xml:space="preserve"> price deviations</w:t>
      </w:r>
      <w:r w:rsidR="00CE1B37">
        <w:rPr>
          <w:sz w:val="24"/>
          <w:lang w:eastAsia="ja-JP"/>
        </w:rPr>
        <w:t xml:space="preserve">) </w:t>
      </w:r>
      <w:r w:rsidR="008134CF">
        <w:rPr>
          <w:sz w:val="24"/>
          <w:lang w:eastAsia="ja-JP"/>
        </w:rPr>
        <w:t>can</w:t>
      </w:r>
      <w:r w:rsidR="00CE1B37">
        <w:rPr>
          <w:sz w:val="24"/>
          <w:lang w:eastAsia="ja-JP"/>
        </w:rPr>
        <w:t xml:space="preserve"> be rejected in favor of </w:t>
      </w:r>
      <w:r w:rsidR="00BB3AD1">
        <w:rPr>
          <w:sz w:val="24"/>
          <w:lang w:eastAsia="ja-JP"/>
        </w:rPr>
        <w:t xml:space="preserve">the </w:t>
      </w:r>
      <w:r w:rsidR="00CE1B37">
        <w:rPr>
          <w:sz w:val="24"/>
          <w:lang w:eastAsia="ja-JP"/>
        </w:rPr>
        <w:t>altern</w:t>
      </w:r>
      <w:r w:rsidR="00CE1B37">
        <w:rPr>
          <w:sz w:val="24"/>
          <w:lang w:eastAsia="ja-JP"/>
        </w:rPr>
        <w:t>a</w:t>
      </w:r>
      <w:r w:rsidR="00CE1B37">
        <w:rPr>
          <w:sz w:val="24"/>
          <w:lang w:eastAsia="ja-JP"/>
        </w:rPr>
        <w:t xml:space="preserve">tive </w:t>
      </w:r>
      <w:r w:rsidR="00224E7A">
        <w:rPr>
          <w:sz w:val="24"/>
          <w:lang w:eastAsia="ja-JP"/>
        </w:rPr>
        <w:t>I</w:t>
      </w:r>
      <w:r w:rsidR="00224E7A" w:rsidRPr="008D07BE">
        <w:rPr>
          <w:sz w:val="24"/>
          <w:vertAlign w:val="subscript"/>
          <w:lang w:eastAsia="ja-JP"/>
        </w:rPr>
        <w:t>A</w:t>
      </w:r>
      <w:r w:rsidR="00CE1B37">
        <w:rPr>
          <w:sz w:val="24"/>
          <w:lang w:eastAsia="ja-JP"/>
        </w:rPr>
        <w:t xml:space="preserve"> (that the presence of </w:t>
      </w:r>
      <w:r w:rsidR="000076F9">
        <w:rPr>
          <w:sz w:val="24"/>
          <w:lang w:eastAsia="ja-JP"/>
        </w:rPr>
        <w:t>s</w:t>
      </w:r>
      <w:r w:rsidR="001A76D0">
        <w:rPr>
          <w:rFonts w:hint="eastAsia"/>
          <w:sz w:val="24"/>
          <w:lang w:eastAsia="ja-JP"/>
        </w:rPr>
        <w:t>peculating</w:t>
      </w:r>
      <w:r w:rsidR="00CE1B37">
        <w:rPr>
          <w:sz w:val="24"/>
          <w:lang w:eastAsia="ja-JP"/>
        </w:rPr>
        <w:t xml:space="preserve"> </w:t>
      </w:r>
      <w:r w:rsidR="00440147">
        <w:rPr>
          <w:sz w:val="24"/>
          <w:lang w:eastAsia="ja-JP"/>
        </w:rPr>
        <w:t>investor</w:t>
      </w:r>
      <w:r w:rsidR="00CE1B37">
        <w:rPr>
          <w:sz w:val="24"/>
          <w:lang w:eastAsia="ja-JP"/>
        </w:rPr>
        <w:t xml:space="preserve">s </w:t>
      </w:r>
      <w:r w:rsidR="00FE208F">
        <w:rPr>
          <w:sz w:val="24"/>
          <w:lang w:eastAsia="ja-JP"/>
        </w:rPr>
        <w:t>increases mispricing</w:t>
      </w:r>
      <w:r w:rsidR="00CE1B37">
        <w:rPr>
          <w:sz w:val="24"/>
          <w:lang w:eastAsia="ja-JP"/>
        </w:rPr>
        <w:t>)</w:t>
      </w:r>
      <w:r w:rsidR="00316F41">
        <w:rPr>
          <w:rFonts w:hint="eastAsia"/>
          <w:sz w:val="24"/>
          <w:lang w:eastAsia="ja-JP"/>
        </w:rPr>
        <w:t xml:space="preserve">. </w:t>
      </w:r>
      <w:r w:rsidR="00BB3AD1">
        <w:rPr>
          <w:sz w:val="24"/>
          <w:lang w:eastAsia="ja-JP"/>
        </w:rPr>
        <w:t xml:space="preserve">The </w:t>
      </w:r>
      <w:r w:rsidR="00316F41">
        <w:rPr>
          <w:rFonts w:hint="eastAsia"/>
          <w:sz w:val="24"/>
          <w:lang w:eastAsia="ja-JP"/>
        </w:rPr>
        <w:t>R</w:t>
      </w:r>
      <w:r w:rsidR="00D55DEF">
        <w:rPr>
          <w:rFonts w:hint="eastAsia"/>
          <w:sz w:val="24"/>
          <w:lang w:eastAsia="ja-JP"/>
        </w:rPr>
        <w:t xml:space="preserve">EE </w:t>
      </w:r>
      <w:r w:rsidR="00D55DEF">
        <w:rPr>
          <w:sz w:val="24"/>
          <w:lang w:eastAsia="ja-JP"/>
        </w:rPr>
        <w:t>hypothesis</w:t>
      </w:r>
      <w:r w:rsidR="00D55DEF">
        <w:rPr>
          <w:rFonts w:hint="eastAsia"/>
          <w:sz w:val="24"/>
          <w:lang w:eastAsia="ja-JP"/>
        </w:rPr>
        <w:t xml:space="preserve"> </w:t>
      </w:r>
      <w:r w:rsidR="00316F41">
        <w:rPr>
          <w:rFonts w:hint="eastAsia"/>
          <w:sz w:val="24"/>
          <w:lang w:eastAsia="ja-JP"/>
        </w:rPr>
        <w:t>does not hold in our laboratory</w:t>
      </w:r>
      <w:r w:rsidR="00FE208F">
        <w:rPr>
          <w:sz w:val="24"/>
          <w:lang w:eastAsia="ja-JP"/>
        </w:rPr>
        <w:t xml:space="preserve"> markets</w:t>
      </w:r>
      <w:r w:rsidR="004B2C3D">
        <w:rPr>
          <w:rFonts w:hint="eastAsia"/>
          <w:sz w:val="24"/>
          <w:lang w:eastAsia="ja-JP"/>
        </w:rPr>
        <w:t>,</w:t>
      </w:r>
      <w:r w:rsidR="00316F41">
        <w:rPr>
          <w:rFonts w:hint="eastAsia"/>
          <w:sz w:val="24"/>
          <w:lang w:eastAsia="ja-JP"/>
        </w:rPr>
        <w:t xml:space="preserve"> although </w:t>
      </w:r>
      <w:r w:rsidR="004B2C3D">
        <w:rPr>
          <w:rFonts w:hint="eastAsia"/>
          <w:sz w:val="24"/>
          <w:lang w:eastAsia="ja-JP"/>
        </w:rPr>
        <w:t xml:space="preserve">theoretically, </w:t>
      </w:r>
      <w:r w:rsidR="00BB3AD1">
        <w:rPr>
          <w:sz w:val="24"/>
          <w:lang w:eastAsia="ja-JP"/>
        </w:rPr>
        <w:t xml:space="preserve">the </w:t>
      </w:r>
      <w:r w:rsidR="004B2C3D">
        <w:rPr>
          <w:rFonts w:hint="eastAsia"/>
          <w:sz w:val="24"/>
          <w:lang w:eastAsia="ja-JP"/>
        </w:rPr>
        <w:t>REE</w:t>
      </w:r>
      <w:r w:rsidR="00BB3AD1">
        <w:rPr>
          <w:sz w:val="24"/>
          <w:lang w:eastAsia="ja-JP"/>
        </w:rPr>
        <w:t xml:space="preserve"> would</w:t>
      </w:r>
      <w:r w:rsidR="004B2C3D">
        <w:rPr>
          <w:rFonts w:hint="eastAsia"/>
          <w:sz w:val="24"/>
          <w:lang w:eastAsia="ja-JP"/>
        </w:rPr>
        <w:t xml:space="preserve"> seem to be an obvious outcome </w:t>
      </w:r>
      <w:r w:rsidR="001A36A0">
        <w:rPr>
          <w:sz w:val="24"/>
          <w:lang w:eastAsia="ja-JP"/>
        </w:rPr>
        <w:t>in</w:t>
      </w:r>
      <w:r w:rsidR="001A36A0">
        <w:rPr>
          <w:rFonts w:hint="eastAsia"/>
          <w:sz w:val="24"/>
          <w:lang w:eastAsia="ja-JP"/>
        </w:rPr>
        <w:t xml:space="preserve"> </w:t>
      </w:r>
      <w:r w:rsidR="004B2C3D">
        <w:rPr>
          <w:rFonts w:hint="eastAsia"/>
          <w:sz w:val="24"/>
          <w:lang w:eastAsia="ja-JP"/>
        </w:rPr>
        <w:t>this s</w:t>
      </w:r>
      <w:r w:rsidR="00F76F87">
        <w:rPr>
          <w:rFonts w:hint="eastAsia"/>
          <w:sz w:val="24"/>
          <w:lang w:eastAsia="ja-JP"/>
        </w:rPr>
        <w:t xml:space="preserve">imple </w:t>
      </w:r>
      <w:r w:rsidR="004B2C3D">
        <w:rPr>
          <w:rFonts w:hint="eastAsia"/>
          <w:sz w:val="24"/>
          <w:lang w:eastAsia="ja-JP"/>
        </w:rPr>
        <w:t xml:space="preserve">market </w:t>
      </w:r>
      <w:r w:rsidR="00F76F87">
        <w:rPr>
          <w:sz w:val="24"/>
          <w:lang w:eastAsia="ja-JP"/>
        </w:rPr>
        <w:t>environment</w:t>
      </w:r>
      <w:r w:rsidR="00CE1B37">
        <w:rPr>
          <w:sz w:val="24"/>
          <w:lang w:eastAsia="ja-JP"/>
        </w:rPr>
        <w:t>.</w:t>
      </w:r>
    </w:p>
    <w:p w14:paraId="46B83202" w14:textId="48B5F2A5" w:rsidR="00B6598E" w:rsidRPr="0012236C" w:rsidRDefault="000901B4" w:rsidP="00755FA8">
      <w:pPr>
        <w:pStyle w:val="Funotentext"/>
        <w:spacing w:line="480" w:lineRule="auto"/>
        <w:jc w:val="center"/>
        <w:rPr>
          <w:i/>
          <w:sz w:val="24"/>
        </w:rPr>
      </w:pPr>
      <w:r>
        <w:rPr>
          <w:i/>
          <w:sz w:val="24"/>
        </w:rPr>
        <w:t>(</w:t>
      </w:r>
      <w:r w:rsidR="00B6598E" w:rsidRPr="0012236C">
        <w:rPr>
          <w:i/>
          <w:sz w:val="24"/>
        </w:rPr>
        <w:t xml:space="preserve">Table </w:t>
      </w:r>
      <w:r w:rsidR="0065340C">
        <w:rPr>
          <w:i/>
          <w:sz w:val="24"/>
        </w:rPr>
        <w:t>4</w:t>
      </w:r>
      <w:r w:rsidR="00B6598E" w:rsidRPr="0012236C">
        <w:rPr>
          <w:i/>
          <w:sz w:val="24"/>
        </w:rPr>
        <w:t xml:space="preserve"> about here</w:t>
      </w:r>
      <w:r>
        <w:rPr>
          <w:i/>
          <w:sz w:val="24"/>
        </w:rPr>
        <w:t>)</w:t>
      </w:r>
    </w:p>
    <w:p w14:paraId="23634D59" w14:textId="36E99D9B" w:rsidR="00973EB8" w:rsidRDefault="00DF3776" w:rsidP="00D672D5">
      <w:pPr>
        <w:spacing w:line="480" w:lineRule="auto"/>
        <w:ind w:firstLine="709"/>
        <w:jc w:val="both"/>
        <w:rPr>
          <w:sz w:val="24"/>
          <w:lang w:eastAsia="ja-JP"/>
        </w:rPr>
      </w:pPr>
      <w:r>
        <w:rPr>
          <w:sz w:val="24"/>
          <w:lang w:eastAsia="ja-JP"/>
        </w:rPr>
        <w:t>W</w:t>
      </w:r>
      <w:r w:rsidR="00322A45">
        <w:rPr>
          <w:sz w:val="24"/>
          <w:lang w:eastAsia="ja-JP"/>
        </w:rPr>
        <w:t xml:space="preserve">e </w:t>
      </w:r>
      <w:r w:rsidR="00D063A5">
        <w:rPr>
          <w:sz w:val="24"/>
          <w:lang w:eastAsia="ja-JP"/>
        </w:rPr>
        <w:t>can</w:t>
      </w:r>
      <w:r w:rsidR="00E61BE4">
        <w:rPr>
          <w:sz w:val="24"/>
          <w:lang w:eastAsia="ja-JP"/>
        </w:rPr>
        <w:t xml:space="preserve"> </w:t>
      </w:r>
      <w:r w:rsidR="00322A45">
        <w:rPr>
          <w:sz w:val="24"/>
          <w:lang w:eastAsia="ja-JP"/>
        </w:rPr>
        <w:t xml:space="preserve">conjecture that </w:t>
      </w:r>
      <w:r w:rsidR="008678DE">
        <w:rPr>
          <w:sz w:val="24"/>
          <w:lang w:eastAsia="ja-JP"/>
        </w:rPr>
        <w:t xml:space="preserve">when </w:t>
      </w:r>
      <w:r w:rsidR="002B25BA">
        <w:rPr>
          <w:sz w:val="24"/>
          <w:lang w:eastAsia="ja-JP"/>
        </w:rPr>
        <w:t xml:space="preserve">the number of </w:t>
      </w:r>
      <w:r w:rsidR="008678DE">
        <w:rPr>
          <w:sz w:val="24"/>
          <w:lang w:eastAsia="ja-JP"/>
        </w:rPr>
        <w:t xml:space="preserve">future generations who will enter the market until the security matures is </w:t>
      </w:r>
      <w:proofErr w:type="gramStart"/>
      <w:r w:rsidR="009736A2">
        <w:rPr>
          <w:sz w:val="24"/>
          <w:lang w:eastAsia="ja-JP"/>
        </w:rPr>
        <w:t>higher</w:t>
      </w:r>
      <w:r w:rsidR="002B25BA">
        <w:rPr>
          <w:sz w:val="24"/>
          <w:lang w:eastAsia="ja-JP"/>
        </w:rPr>
        <w:t>,</w:t>
      </w:r>
      <w:proofErr w:type="gramEnd"/>
      <w:r w:rsidR="002B25BA">
        <w:rPr>
          <w:sz w:val="24"/>
          <w:lang w:eastAsia="ja-JP"/>
        </w:rPr>
        <w:t xml:space="preserve"> prices are more likely to de</w:t>
      </w:r>
      <w:r w:rsidR="008678DE">
        <w:rPr>
          <w:sz w:val="24"/>
          <w:lang w:eastAsia="ja-JP"/>
        </w:rPr>
        <w:t>viate</w:t>
      </w:r>
      <w:r w:rsidR="002B25BA">
        <w:rPr>
          <w:sz w:val="24"/>
          <w:lang w:eastAsia="ja-JP"/>
        </w:rPr>
        <w:t xml:space="preserve"> from REE </w:t>
      </w:r>
      <w:r w:rsidR="008678DE">
        <w:rPr>
          <w:sz w:val="24"/>
          <w:lang w:eastAsia="ja-JP"/>
        </w:rPr>
        <w:t xml:space="preserve">level </w:t>
      </w:r>
      <w:r w:rsidR="002B25BA">
        <w:rPr>
          <w:sz w:val="24"/>
          <w:lang w:eastAsia="ja-JP"/>
        </w:rPr>
        <w:t xml:space="preserve">(50). The reason is that </w:t>
      </w:r>
      <w:r w:rsidR="00F358AE">
        <w:rPr>
          <w:sz w:val="24"/>
          <w:lang w:eastAsia="ja-JP"/>
        </w:rPr>
        <w:t>speculating investors should have greater difficulty in forming ratio</w:t>
      </w:r>
      <w:r w:rsidR="00F358AE">
        <w:rPr>
          <w:sz w:val="24"/>
          <w:lang w:eastAsia="ja-JP"/>
        </w:rPr>
        <w:t>n</w:t>
      </w:r>
      <w:r w:rsidR="00F358AE">
        <w:rPr>
          <w:sz w:val="24"/>
          <w:lang w:eastAsia="ja-JP"/>
        </w:rPr>
        <w:t>al expectations</w:t>
      </w:r>
      <w:r w:rsidR="006D4BB2">
        <w:rPr>
          <w:sz w:val="24"/>
          <w:lang w:eastAsia="ja-JP"/>
        </w:rPr>
        <w:t xml:space="preserve"> by conducting backward induction over </w:t>
      </w:r>
      <w:r w:rsidR="008678DE">
        <w:rPr>
          <w:sz w:val="24"/>
          <w:lang w:eastAsia="ja-JP"/>
        </w:rPr>
        <w:t xml:space="preserve">a larger number of </w:t>
      </w:r>
      <w:r w:rsidR="006D4BB2">
        <w:rPr>
          <w:sz w:val="24"/>
          <w:lang w:eastAsia="ja-JP"/>
        </w:rPr>
        <w:t>generations.</w:t>
      </w:r>
      <w:r w:rsidR="00E61BE4">
        <w:rPr>
          <w:rStyle w:val="Funotenzeichen"/>
          <w:sz w:val="24"/>
          <w:lang w:eastAsia="ja-JP"/>
        </w:rPr>
        <w:footnoteReference w:id="34"/>
      </w:r>
      <w:r w:rsidR="006D4BB2">
        <w:rPr>
          <w:sz w:val="24"/>
          <w:lang w:eastAsia="ja-JP"/>
        </w:rPr>
        <w:t xml:space="preserve"> </w:t>
      </w:r>
      <w:r w:rsidR="00BC5CD2">
        <w:rPr>
          <w:sz w:val="24"/>
          <w:lang w:eastAsia="ja-JP"/>
        </w:rPr>
        <w:t xml:space="preserve">To </w:t>
      </w:r>
      <w:r w:rsidR="00F86138">
        <w:rPr>
          <w:rFonts w:hint="eastAsia"/>
          <w:sz w:val="24"/>
          <w:lang w:eastAsia="ja-JP"/>
        </w:rPr>
        <w:lastRenderedPageBreak/>
        <w:t>examine</w:t>
      </w:r>
      <w:r w:rsidR="00BC5CD2">
        <w:rPr>
          <w:sz w:val="24"/>
          <w:lang w:eastAsia="ja-JP"/>
        </w:rPr>
        <w:t xml:space="preserve"> </w:t>
      </w:r>
      <w:r w:rsidR="000F754B">
        <w:rPr>
          <w:sz w:val="24"/>
          <w:lang w:eastAsia="ja-JP"/>
        </w:rPr>
        <w:t xml:space="preserve">the effect of </w:t>
      </w:r>
      <w:r w:rsidR="00BC5CD2">
        <w:rPr>
          <w:sz w:val="24"/>
          <w:lang w:eastAsia="ja-JP"/>
        </w:rPr>
        <w:t xml:space="preserve">the number of </w:t>
      </w:r>
      <w:r w:rsidR="008E65A2">
        <w:rPr>
          <w:sz w:val="24"/>
          <w:lang w:eastAsia="ja-JP"/>
        </w:rPr>
        <w:t xml:space="preserve">the </w:t>
      </w:r>
      <w:r w:rsidR="00A160BF">
        <w:rPr>
          <w:sz w:val="24"/>
          <w:lang w:eastAsia="ja-JP"/>
        </w:rPr>
        <w:t>remaining</w:t>
      </w:r>
      <w:r w:rsidR="008E65A2">
        <w:rPr>
          <w:sz w:val="24"/>
          <w:lang w:eastAsia="ja-JP"/>
        </w:rPr>
        <w:t xml:space="preserve"> </w:t>
      </w:r>
      <w:r w:rsidR="00114713">
        <w:rPr>
          <w:sz w:val="24"/>
          <w:lang w:eastAsia="ja-JP"/>
        </w:rPr>
        <w:t xml:space="preserve">entering generations </w:t>
      </w:r>
      <w:r w:rsidR="008134CF">
        <w:rPr>
          <w:sz w:val="24"/>
          <w:lang w:eastAsia="ja-JP"/>
        </w:rPr>
        <w:t>till maturity</w:t>
      </w:r>
      <w:r w:rsidR="008134CF">
        <w:rPr>
          <w:rFonts w:hint="eastAsia"/>
          <w:sz w:val="24"/>
          <w:lang w:eastAsia="ja-JP"/>
        </w:rPr>
        <w:t xml:space="preserve"> </w:t>
      </w:r>
      <w:r w:rsidR="000F754B">
        <w:rPr>
          <w:sz w:val="24"/>
          <w:lang w:eastAsia="ja-JP"/>
        </w:rPr>
        <w:t xml:space="preserve">on </w:t>
      </w:r>
      <w:r w:rsidR="006D4BB2">
        <w:rPr>
          <w:sz w:val="24"/>
          <w:lang w:eastAsia="ja-JP"/>
        </w:rPr>
        <w:t xml:space="preserve">the degree of </w:t>
      </w:r>
      <w:r w:rsidR="00BC5CD2">
        <w:rPr>
          <w:sz w:val="24"/>
          <w:lang w:eastAsia="ja-JP"/>
        </w:rPr>
        <w:t>mispricing, we calculated average</w:t>
      </w:r>
      <w:r w:rsidR="00BC5CD2">
        <w:rPr>
          <w:rFonts w:hint="eastAsia"/>
          <w:sz w:val="24"/>
          <w:lang w:eastAsia="ja-JP"/>
        </w:rPr>
        <w:t xml:space="preserve">s </w:t>
      </w:r>
      <w:r w:rsidR="00BC5CD2" w:rsidRPr="005976E4">
        <w:rPr>
          <w:sz w:val="24"/>
          <w:lang w:eastAsia="ja-JP"/>
        </w:rPr>
        <w:t xml:space="preserve">of </w:t>
      </w:r>
      <w:r w:rsidR="00BC5CD2" w:rsidRPr="008E0211">
        <w:rPr>
          <w:rFonts w:hint="eastAsia"/>
          <w:i/>
          <w:sz w:val="24"/>
          <w:lang w:eastAsia="ja-JP"/>
        </w:rPr>
        <w:t>Period-RAD</w:t>
      </w:r>
      <w:r w:rsidR="00BC5CD2" w:rsidRPr="005976E4">
        <w:rPr>
          <w:sz w:val="24"/>
          <w:lang w:eastAsia="ja-JP"/>
        </w:rPr>
        <w:t xml:space="preserve"> </w:t>
      </w:r>
      <w:r w:rsidR="00BC5CD2">
        <w:rPr>
          <w:rFonts w:hint="eastAsia"/>
          <w:sz w:val="24"/>
          <w:lang w:eastAsia="ja-JP"/>
        </w:rPr>
        <w:t xml:space="preserve">across periods with only </w:t>
      </w:r>
      <w:r w:rsidR="000076F9">
        <w:rPr>
          <w:rFonts w:hint="eastAsia"/>
          <w:sz w:val="24"/>
          <w:lang w:eastAsia="ja-JP"/>
        </w:rPr>
        <w:t>s</w:t>
      </w:r>
      <w:r w:rsidR="00D9402E">
        <w:rPr>
          <w:rFonts w:hint="eastAsia"/>
          <w:sz w:val="24"/>
          <w:lang w:eastAsia="ja-JP"/>
        </w:rPr>
        <w:t>pec</w:t>
      </w:r>
      <w:r w:rsidR="00D9402E">
        <w:rPr>
          <w:rFonts w:hint="eastAsia"/>
          <w:sz w:val="24"/>
          <w:lang w:eastAsia="ja-JP"/>
        </w:rPr>
        <w:t>u</w:t>
      </w:r>
      <w:r w:rsidR="00D9402E">
        <w:rPr>
          <w:rFonts w:hint="eastAsia"/>
          <w:sz w:val="24"/>
          <w:lang w:eastAsia="ja-JP"/>
        </w:rPr>
        <w:t>lating</w:t>
      </w:r>
      <w:r w:rsidR="00BC5CD2">
        <w:rPr>
          <w:rFonts w:hint="eastAsia"/>
          <w:sz w:val="24"/>
          <w:lang w:eastAsia="ja-JP"/>
        </w:rPr>
        <w:t xml:space="preserve"> </w:t>
      </w:r>
      <w:r w:rsidR="00440147">
        <w:rPr>
          <w:rFonts w:hint="eastAsia"/>
          <w:sz w:val="24"/>
          <w:lang w:eastAsia="ja-JP"/>
        </w:rPr>
        <w:t>investor</w:t>
      </w:r>
      <w:r w:rsidR="00DD5CEA">
        <w:rPr>
          <w:rFonts w:hint="eastAsia"/>
          <w:sz w:val="24"/>
          <w:lang w:eastAsia="ja-JP"/>
        </w:rPr>
        <w:t>s</w:t>
      </w:r>
      <w:r w:rsidR="00BC5CD2">
        <w:rPr>
          <w:rFonts w:hint="eastAsia"/>
          <w:sz w:val="24"/>
          <w:lang w:eastAsia="ja-JP"/>
        </w:rPr>
        <w:t xml:space="preserve">, </w:t>
      </w:r>
      <w:r w:rsidR="00BC5CD2" w:rsidRPr="005976E4">
        <w:rPr>
          <w:sz w:val="24"/>
          <w:lang w:eastAsia="ja-JP"/>
        </w:rPr>
        <w:t xml:space="preserve">conditional on the number of </w:t>
      </w:r>
      <w:r w:rsidR="000901B4">
        <w:rPr>
          <w:sz w:val="24"/>
          <w:lang w:eastAsia="ja-JP"/>
        </w:rPr>
        <w:t>yet-to-enter</w:t>
      </w:r>
      <w:r w:rsidR="00BC5CD2">
        <w:rPr>
          <w:rFonts w:hint="eastAsia"/>
          <w:sz w:val="24"/>
          <w:lang w:eastAsia="ja-JP"/>
        </w:rPr>
        <w:t xml:space="preserve"> </w:t>
      </w:r>
      <w:r w:rsidR="00BC5CD2" w:rsidRPr="005976E4">
        <w:rPr>
          <w:sz w:val="24"/>
          <w:lang w:eastAsia="ja-JP"/>
        </w:rPr>
        <w:t xml:space="preserve">generations </w:t>
      </w:r>
      <w:r w:rsidR="00BC5CD2">
        <w:rPr>
          <w:sz w:val="24"/>
          <w:lang w:eastAsia="ja-JP"/>
        </w:rPr>
        <w:t>until maturity</w:t>
      </w:r>
      <w:r w:rsidR="000901B4">
        <w:rPr>
          <w:sz w:val="24"/>
          <w:lang w:eastAsia="ja-JP"/>
        </w:rPr>
        <w:t xml:space="preserve"> (</w:t>
      </w:r>
      <w:r w:rsidR="00B24424">
        <w:rPr>
          <w:sz w:val="24"/>
          <w:lang w:eastAsia="ja-JP"/>
        </w:rPr>
        <w:t>for e</w:t>
      </w:r>
      <w:r w:rsidR="00B24424">
        <w:rPr>
          <w:sz w:val="24"/>
          <w:lang w:eastAsia="ja-JP"/>
        </w:rPr>
        <w:t>x</w:t>
      </w:r>
      <w:r w:rsidR="00B24424">
        <w:rPr>
          <w:sz w:val="24"/>
          <w:lang w:eastAsia="ja-JP"/>
        </w:rPr>
        <w:t xml:space="preserve">ample, </w:t>
      </w:r>
      <w:r w:rsidR="00DE7F2D">
        <w:rPr>
          <w:rFonts w:hint="eastAsia"/>
          <w:sz w:val="24"/>
          <w:lang w:eastAsia="ja-JP"/>
        </w:rPr>
        <w:t>one</w:t>
      </w:r>
      <w:r w:rsidR="00F81441">
        <w:rPr>
          <w:rFonts w:hint="eastAsia"/>
          <w:sz w:val="24"/>
          <w:lang w:eastAsia="ja-JP"/>
        </w:rPr>
        <w:t xml:space="preserve"> in </w:t>
      </w:r>
      <w:r w:rsidR="00E71E9F">
        <w:rPr>
          <w:sz w:val="24"/>
          <w:lang w:eastAsia="ja-JP"/>
        </w:rPr>
        <w:t>p</w:t>
      </w:r>
      <w:r w:rsidR="00F81441">
        <w:rPr>
          <w:rFonts w:hint="eastAsia"/>
          <w:sz w:val="24"/>
          <w:lang w:eastAsia="ja-JP"/>
        </w:rPr>
        <w:t xml:space="preserve">eriods 1-8 in T2, </w:t>
      </w:r>
      <w:r w:rsidR="00E71E9F">
        <w:rPr>
          <w:sz w:val="24"/>
          <w:lang w:eastAsia="ja-JP"/>
        </w:rPr>
        <w:t>p</w:t>
      </w:r>
      <w:r w:rsidR="00F81441">
        <w:rPr>
          <w:rFonts w:hint="eastAsia"/>
          <w:sz w:val="24"/>
          <w:lang w:eastAsia="ja-JP"/>
        </w:rPr>
        <w:t xml:space="preserve">eriods 9-12 in T4, </w:t>
      </w:r>
      <w:r w:rsidR="00BC5CD2">
        <w:rPr>
          <w:sz w:val="24"/>
          <w:lang w:eastAsia="ja-JP"/>
        </w:rPr>
        <w:t xml:space="preserve">and </w:t>
      </w:r>
      <w:r w:rsidR="00E71E9F">
        <w:rPr>
          <w:sz w:val="24"/>
          <w:lang w:eastAsia="ja-JP"/>
        </w:rPr>
        <w:t>p</w:t>
      </w:r>
      <w:r w:rsidR="00F81441">
        <w:rPr>
          <w:rFonts w:hint="eastAsia"/>
          <w:sz w:val="24"/>
          <w:lang w:eastAsia="ja-JP"/>
        </w:rPr>
        <w:t>eriods 13-14 in T8</w:t>
      </w:r>
      <w:r w:rsidR="000901B4">
        <w:rPr>
          <w:sz w:val="24"/>
          <w:lang w:eastAsia="ja-JP"/>
        </w:rPr>
        <w:t xml:space="preserve">; </w:t>
      </w:r>
      <w:r w:rsidR="00DE7F2D">
        <w:rPr>
          <w:rFonts w:hint="eastAsia"/>
          <w:sz w:val="24"/>
          <w:lang w:eastAsia="ja-JP"/>
        </w:rPr>
        <w:t>two</w:t>
      </w:r>
      <w:r w:rsidR="00E71E9F">
        <w:rPr>
          <w:rFonts w:hint="eastAsia"/>
          <w:sz w:val="24"/>
          <w:lang w:eastAsia="ja-JP"/>
        </w:rPr>
        <w:t xml:space="preserve"> in </w:t>
      </w:r>
      <w:r w:rsidR="00E71E9F">
        <w:rPr>
          <w:sz w:val="24"/>
          <w:lang w:eastAsia="ja-JP"/>
        </w:rPr>
        <w:t>p</w:t>
      </w:r>
      <w:r w:rsidR="00E71E9F">
        <w:rPr>
          <w:rFonts w:hint="eastAsia"/>
          <w:sz w:val="24"/>
          <w:lang w:eastAsia="ja-JP"/>
        </w:rPr>
        <w:t xml:space="preserve">eriods 5-8 in T4 and </w:t>
      </w:r>
      <w:r w:rsidR="00E71E9F">
        <w:rPr>
          <w:sz w:val="24"/>
          <w:lang w:eastAsia="ja-JP"/>
        </w:rPr>
        <w:t>p</w:t>
      </w:r>
      <w:r w:rsidR="00522D85">
        <w:rPr>
          <w:rFonts w:hint="eastAsia"/>
          <w:sz w:val="24"/>
          <w:lang w:eastAsia="ja-JP"/>
        </w:rPr>
        <w:t>eriods 11-12 in T8</w:t>
      </w:r>
      <w:r w:rsidR="00F06944">
        <w:rPr>
          <w:sz w:val="24"/>
          <w:lang w:eastAsia="ja-JP"/>
        </w:rPr>
        <w:t>)</w:t>
      </w:r>
      <w:r w:rsidR="00522D85">
        <w:rPr>
          <w:rFonts w:hint="eastAsia"/>
          <w:sz w:val="24"/>
          <w:lang w:eastAsia="ja-JP"/>
        </w:rPr>
        <w:t xml:space="preserve">. </w:t>
      </w:r>
    </w:p>
    <w:p w14:paraId="339B01E9" w14:textId="77777777" w:rsidR="00973EB8" w:rsidRPr="0012236C" w:rsidRDefault="000901B4" w:rsidP="0091369C">
      <w:pPr>
        <w:pStyle w:val="Funotentext"/>
        <w:spacing w:line="480" w:lineRule="auto"/>
        <w:jc w:val="center"/>
        <w:rPr>
          <w:i/>
          <w:sz w:val="24"/>
        </w:rPr>
      </w:pPr>
      <w:r>
        <w:rPr>
          <w:i/>
          <w:sz w:val="24"/>
        </w:rPr>
        <w:t>(</w:t>
      </w:r>
      <w:r w:rsidR="0036139C">
        <w:rPr>
          <w:i/>
          <w:sz w:val="24"/>
        </w:rPr>
        <w:t>Figure</w:t>
      </w:r>
      <w:r w:rsidR="00973EB8" w:rsidRPr="0012236C">
        <w:rPr>
          <w:i/>
          <w:sz w:val="24"/>
        </w:rPr>
        <w:t xml:space="preserve"> </w:t>
      </w:r>
      <w:r w:rsidR="00B6598E">
        <w:rPr>
          <w:i/>
          <w:sz w:val="24"/>
        </w:rPr>
        <w:t>5</w:t>
      </w:r>
      <w:r w:rsidR="00973EB8" w:rsidRPr="0012236C">
        <w:rPr>
          <w:i/>
          <w:sz w:val="24"/>
        </w:rPr>
        <w:t xml:space="preserve"> about here</w:t>
      </w:r>
      <w:r>
        <w:rPr>
          <w:i/>
          <w:sz w:val="24"/>
        </w:rPr>
        <w:t>)</w:t>
      </w:r>
    </w:p>
    <w:p w14:paraId="5CA5126C" w14:textId="4A8C0EF8" w:rsidR="00BA7A1C" w:rsidRDefault="00BC5CD2" w:rsidP="00D672D5">
      <w:pPr>
        <w:spacing w:line="480" w:lineRule="auto"/>
        <w:ind w:firstLine="709"/>
        <w:jc w:val="both"/>
        <w:rPr>
          <w:sz w:val="24"/>
          <w:lang w:eastAsia="ja-JP"/>
        </w:rPr>
      </w:pPr>
      <w:r>
        <w:rPr>
          <w:sz w:val="24"/>
          <w:lang w:eastAsia="ja-JP"/>
        </w:rPr>
        <w:t xml:space="preserve">The resulting average </w:t>
      </w:r>
      <w:r w:rsidRPr="00BC5CD2">
        <w:rPr>
          <w:i/>
          <w:sz w:val="24"/>
          <w:lang w:eastAsia="ja-JP"/>
        </w:rPr>
        <w:t>Period-RADs</w:t>
      </w:r>
      <w:r>
        <w:rPr>
          <w:sz w:val="24"/>
          <w:lang w:eastAsia="ja-JP"/>
        </w:rPr>
        <w:t xml:space="preserve"> are given in </w:t>
      </w:r>
      <w:r w:rsidR="0036139C">
        <w:rPr>
          <w:sz w:val="24"/>
          <w:lang w:eastAsia="ja-JP"/>
        </w:rPr>
        <w:t>Figure</w:t>
      </w:r>
      <w:r>
        <w:rPr>
          <w:rFonts w:hint="eastAsia"/>
          <w:sz w:val="24"/>
          <w:lang w:eastAsia="ja-JP"/>
        </w:rPr>
        <w:t xml:space="preserve"> </w:t>
      </w:r>
      <w:r w:rsidR="00B6598E">
        <w:rPr>
          <w:sz w:val="24"/>
          <w:lang w:eastAsia="ja-JP"/>
        </w:rPr>
        <w:t>5</w:t>
      </w:r>
      <w:r w:rsidR="002A16CE">
        <w:rPr>
          <w:sz w:val="24"/>
          <w:lang w:eastAsia="ja-JP"/>
        </w:rPr>
        <w:t>, which</w:t>
      </w:r>
      <w:r w:rsidR="00E41D8C">
        <w:rPr>
          <w:rFonts w:hint="eastAsia"/>
          <w:sz w:val="24"/>
          <w:lang w:eastAsia="ja-JP"/>
        </w:rPr>
        <w:t xml:space="preserve"> shows that </w:t>
      </w:r>
      <w:r w:rsidR="00E41D8C">
        <w:rPr>
          <w:sz w:val="24"/>
          <w:lang w:eastAsia="ja-JP"/>
        </w:rPr>
        <w:t>the</w:t>
      </w:r>
      <w:r w:rsidR="00E41D8C">
        <w:rPr>
          <w:rFonts w:hint="eastAsia"/>
          <w:sz w:val="24"/>
          <w:lang w:eastAsia="ja-JP"/>
        </w:rPr>
        <w:t xml:space="preserve"> ave</w:t>
      </w:r>
      <w:r w:rsidR="00E41D8C">
        <w:rPr>
          <w:rFonts w:hint="eastAsia"/>
          <w:sz w:val="24"/>
          <w:lang w:eastAsia="ja-JP"/>
        </w:rPr>
        <w:t>r</w:t>
      </w:r>
      <w:r w:rsidR="00E41D8C">
        <w:rPr>
          <w:rFonts w:hint="eastAsia"/>
          <w:sz w:val="24"/>
          <w:lang w:eastAsia="ja-JP"/>
        </w:rPr>
        <w:t xml:space="preserve">ages of </w:t>
      </w:r>
      <w:r w:rsidR="00E41D8C" w:rsidRPr="008E0211">
        <w:rPr>
          <w:rFonts w:hint="eastAsia"/>
          <w:i/>
          <w:sz w:val="24"/>
          <w:lang w:eastAsia="ja-JP"/>
        </w:rPr>
        <w:t>Period-RAD</w:t>
      </w:r>
      <w:r w:rsidR="00E41D8C">
        <w:rPr>
          <w:rFonts w:hint="eastAsia"/>
          <w:sz w:val="24"/>
          <w:lang w:eastAsia="ja-JP"/>
        </w:rPr>
        <w:t xml:space="preserve"> are high even when the </w:t>
      </w:r>
      <w:r w:rsidR="00E41D8C">
        <w:rPr>
          <w:sz w:val="24"/>
          <w:lang w:eastAsia="ja-JP"/>
        </w:rPr>
        <w:t>number</w:t>
      </w:r>
      <w:r w:rsidR="00E41D8C">
        <w:rPr>
          <w:rFonts w:hint="eastAsia"/>
          <w:sz w:val="24"/>
          <w:lang w:eastAsia="ja-JP"/>
        </w:rPr>
        <w:t xml:space="preserve"> of </w:t>
      </w:r>
      <w:r w:rsidR="006E5D42">
        <w:rPr>
          <w:sz w:val="24"/>
          <w:lang w:eastAsia="ja-JP"/>
        </w:rPr>
        <w:t xml:space="preserve">remaining security transfers across </w:t>
      </w:r>
      <w:r w:rsidR="00E41D8C">
        <w:rPr>
          <w:rFonts w:hint="eastAsia"/>
          <w:sz w:val="24"/>
          <w:lang w:eastAsia="ja-JP"/>
        </w:rPr>
        <w:t>generation</w:t>
      </w:r>
      <w:r w:rsidR="006E5D42">
        <w:rPr>
          <w:sz w:val="24"/>
          <w:lang w:eastAsia="ja-JP"/>
        </w:rPr>
        <w:t>s</w:t>
      </w:r>
      <w:r w:rsidR="00E41D8C">
        <w:rPr>
          <w:sz w:val="24"/>
          <w:lang w:eastAsia="ja-JP"/>
        </w:rPr>
        <w:t xml:space="preserve"> </w:t>
      </w:r>
      <w:r w:rsidR="00E41D8C">
        <w:rPr>
          <w:rFonts w:hint="eastAsia"/>
          <w:sz w:val="24"/>
          <w:lang w:eastAsia="ja-JP"/>
        </w:rPr>
        <w:t>is one</w:t>
      </w:r>
      <w:r w:rsidR="00E41D8C">
        <w:rPr>
          <w:sz w:val="24"/>
          <w:lang w:eastAsia="ja-JP"/>
        </w:rPr>
        <w:t xml:space="preserve"> (</w:t>
      </w:r>
      <w:r w:rsidR="00E41D8C">
        <w:rPr>
          <w:rFonts w:hint="eastAsia"/>
          <w:sz w:val="24"/>
          <w:lang w:eastAsia="ja-JP"/>
        </w:rPr>
        <w:t xml:space="preserve">0.677 in </w:t>
      </w:r>
      <w:r w:rsidR="00E41D8C">
        <w:rPr>
          <w:sz w:val="24"/>
          <w:lang w:eastAsia="ja-JP"/>
        </w:rPr>
        <w:t xml:space="preserve">H </w:t>
      </w:r>
      <w:r w:rsidR="00E41D8C">
        <w:rPr>
          <w:rFonts w:hint="eastAsia"/>
          <w:sz w:val="24"/>
          <w:lang w:eastAsia="ja-JP"/>
        </w:rPr>
        <w:t xml:space="preserve">and 0.546 in </w:t>
      </w:r>
      <w:r w:rsidR="00E41D8C">
        <w:rPr>
          <w:sz w:val="24"/>
          <w:lang w:eastAsia="ja-JP"/>
        </w:rPr>
        <w:t xml:space="preserve">L liquidity </w:t>
      </w:r>
      <w:r w:rsidR="00E41D8C">
        <w:rPr>
          <w:rFonts w:hint="eastAsia"/>
          <w:sz w:val="24"/>
          <w:lang w:eastAsia="ja-JP"/>
        </w:rPr>
        <w:t>sessions</w:t>
      </w:r>
      <w:r w:rsidR="00E41D8C">
        <w:rPr>
          <w:sz w:val="24"/>
          <w:lang w:eastAsia="ja-JP"/>
        </w:rPr>
        <w:t>)</w:t>
      </w:r>
      <w:r w:rsidR="00E41D8C">
        <w:rPr>
          <w:rFonts w:hint="eastAsia"/>
          <w:sz w:val="24"/>
          <w:lang w:eastAsia="ja-JP"/>
        </w:rPr>
        <w:t xml:space="preserve">, and both are significantly different from 0.401 </w:t>
      </w:r>
      <w:r w:rsidR="00E41D8C">
        <w:rPr>
          <w:sz w:val="24"/>
          <w:lang w:eastAsia="ja-JP"/>
        </w:rPr>
        <w:t>(in H)</w:t>
      </w:r>
      <w:r w:rsidR="00E41D8C">
        <w:rPr>
          <w:rFonts w:hint="eastAsia"/>
          <w:sz w:val="24"/>
          <w:lang w:eastAsia="ja-JP"/>
        </w:rPr>
        <w:t xml:space="preserve"> and 0.140</w:t>
      </w:r>
      <w:r w:rsidR="00E41D8C">
        <w:rPr>
          <w:sz w:val="24"/>
          <w:lang w:eastAsia="ja-JP"/>
        </w:rPr>
        <w:t xml:space="preserve"> (in L)</w:t>
      </w:r>
      <w:r w:rsidR="00E41D8C">
        <w:rPr>
          <w:rFonts w:hint="eastAsia"/>
          <w:sz w:val="24"/>
          <w:lang w:eastAsia="ja-JP"/>
        </w:rPr>
        <w:t xml:space="preserve"> in </w:t>
      </w:r>
      <w:r w:rsidR="00E41D8C">
        <w:rPr>
          <w:sz w:val="24"/>
          <w:lang w:eastAsia="ja-JP"/>
        </w:rPr>
        <w:t xml:space="preserve">the presence of </w:t>
      </w:r>
      <w:r w:rsidR="00D9402E">
        <w:rPr>
          <w:rFonts w:hint="eastAsia"/>
          <w:sz w:val="24"/>
          <w:lang w:eastAsia="ja-JP"/>
        </w:rPr>
        <w:t>dividend</w:t>
      </w:r>
      <w:r w:rsidR="000901B4">
        <w:rPr>
          <w:sz w:val="24"/>
          <w:lang w:eastAsia="ja-JP"/>
        </w:rPr>
        <w:t>-</w:t>
      </w:r>
      <w:r w:rsidR="00D9402E">
        <w:rPr>
          <w:rFonts w:hint="eastAsia"/>
          <w:sz w:val="24"/>
          <w:lang w:eastAsia="ja-JP"/>
        </w:rPr>
        <w:t>collecting</w:t>
      </w:r>
      <w:r w:rsidR="00E41D8C">
        <w:rPr>
          <w:rFonts w:hint="eastAsia"/>
          <w:sz w:val="24"/>
          <w:lang w:eastAsia="ja-JP"/>
        </w:rPr>
        <w:t xml:space="preserve"> </w:t>
      </w:r>
      <w:r w:rsidR="00440147">
        <w:rPr>
          <w:rFonts w:hint="eastAsia"/>
          <w:sz w:val="24"/>
          <w:lang w:eastAsia="ja-JP"/>
        </w:rPr>
        <w:t>investor</w:t>
      </w:r>
      <w:r w:rsidR="00DD5CEA">
        <w:rPr>
          <w:rFonts w:hint="eastAsia"/>
          <w:sz w:val="24"/>
          <w:lang w:eastAsia="ja-JP"/>
        </w:rPr>
        <w:t>s</w:t>
      </w:r>
      <w:r w:rsidR="00E41D8C">
        <w:rPr>
          <w:rFonts w:hint="eastAsia"/>
          <w:sz w:val="24"/>
          <w:lang w:eastAsia="ja-JP"/>
        </w:rPr>
        <w:t xml:space="preserve">. This </w:t>
      </w:r>
      <w:r w:rsidR="00F06944">
        <w:rPr>
          <w:sz w:val="24"/>
          <w:lang w:eastAsia="ja-JP"/>
        </w:rPr>
        <w:t xml:space="preserve">finding </w:t>
      </w:r>
      <w:r>
        <w:rPr>
          <w:rFonts w:hint="eastAsia"/>
          <w:sz w:val="24"/>
          <w:lang w:eastAsia="ja-JP"/>
        </w:rPr>
        <w:t>suggest</w:t>
      </w:r>
      <w:r w:rsidR="00E41D8C">
        <w:rPr>
          <w:rFonts w:hint="eastAsia"/>
          <w:sz w:val="24"/>
          <w:lang w:eastAsia="ja-JP"/>
        </w:rPr>
        <w:t>s</w:t>
      </w:r>
      <w:r>
        <w:rPr>
          <w:rFonts w:hint="eastAsia"/>
          <w:sz w:val="24"/>
          <w:lang w:eastAsia="ja-JP"/>
        </w:rPr>
        <w:t xml:space="preserve"> </w:t>
      </w:r>
      <w:r>
        <w:rPr>
          <w:sz w:val="24"/>
          <w:lang w:eastAsia="ja-JP"/>
        </w:rPr>
        <w:t xml:space="preserve">that </w:t>
      </w:r>
      <w:r w:rsidR="00D9402E">
        <w:rPr>
          <w:rFonts w:hint="eastAsia"/>
          <w:sz w:val="24"/>
          <w:lang w:eastAsia="ja-JP"/>
        </w:rPr>
        <w:t>speculating investors</w:t>
      </w:r>
      <w:r>
        <w:rPr>
          <w:sz w:val="24"/>
          <w:lang w:eastAsia="ja-JP"/>
        </w:rPr>
        <w:t xml:space="preserve"> have </w:t>
      </w:r>
      <w:r w:rsidR="008E65A2">
        <w:rPr>
          <w:sz w:val="24"/>
          <w:lang w:eastAsia="ja-JP"/>
        </w:rPr>
        <w:t xml:space="preserve">some </w:t>
      </w:r>
      <w:r>
        <w:rPr>
          <w:sz w:val="24"/>
          <w:lang w:eastAsia="ja-JP"/>
        </w:rPr>
        <w:t>difficulty in forming rational e</w:t>
      </w:r>
      <w:r>
        <w:rPr>
          <w:sz w:val="24"/>
          <w:lang w:eastAsia="ja-JP"/>
        </w:rPr>
        <w:t>x</w:t>
      </w:r>
      <w:r>
        <w:rPr>
          <w:sz w:val="24"/>
          <w:lang w:eastAsia="ja-JP"/>
        </w:rPr>
        <w:t xml:space="preserve">pectations </w:t>
      </w:r>
      <w:r>
        <w:rPr>
          <w:rFonts w:hint="eastAsia"/>
          <w:sz w:val="24"/>
          <w:lang w:eastAsia="ja-JP"/>
        </w:rPr>
        <w:t xml:space="preserve">even </w:t>
      </w:r>
      <w:r w:rsidR="008E65A2">
        <w:rPr>
          <w:sz w:val="24"/>
          <w:lang w:eastAsia="ja-JP"/>
        </w:rPr>
        <w:t>when</w:t>
      </w:r>
      <w:r w:rsidR="008E65A2">
        <w:rPr>
          <w:rFonts w:hint="eastAsia"/>
          <w:sz w:val="24"/>
          <w:lang w:eastAsia="ja-JP"/>
        </w:rPr>
        <w:t xml:space="preserve"> </w:t>
      </w:r>
      <w:r>
        <w:rPr>
          <w:rFonts w:hint="eastAsia"/>
          <w:sz w:val="24"/>
          <w:lang w:eastAsia="ja-JP"/>
        </w:rPr>
        <w:t xml:space="preserve">only one future generation </w:t>
      </w:r>
      <w:r w:rsidR="00F06944">
        <w:rPr>
          <w:sz w:val="24"/>
          <w:lang w:eastAsia="ja-JP"/>
        </w:rPr>
        <w:t xml:space="preserve">is </w:t>
      </w:r>
      <w:r>
        <w:rPr>
          <w:rFonts w:hint="eastAsia"/>
          <w:sz w:val="24"/>
          <w:lang w:eastAsia="ja-JP"/>
        </w:rPr>
        <w:t>left.</w:t>
      </w:r>
      <w:r>
        <w:rPr>
          <w:sz w:val="24"/>
          <w:lang w:eastAsia="ja-JP"/>
        </w:rPr>
        <w:t xml:space="preserve"> </w:t>
      </w:r>
      <w:r>
        <w:rPr>
          <w:rFonts w:hint="eastAsia"/>
          <w:sz w:val="24"/>
          <w:lang w:eastAsia="ja-JP"/>
        </w:rPr>
        <w:t xml:space="preserve">This difficulty may </w:t>
      </w:r>
      <w:r>
        <w:rPr>
          <w:sz w:val="24"/>
          <w:lang w:eastAsia="ja-JP"/>
        </w:rPr>
        <w:t xml:space="preserve">arise </w:t>
      </w:r>
      <w:r>
        <w:rPr>
          <w:rFonts w:hint="eastAsia"/>
          <w:sz w:val="24"/>
          <w:lang w:eastAsia="ja-JP"/>
        </w:rPr>
        <w:t>from inve</w:t>
      </w:r>
      <w:r>
        <w:rPr>
          <w:rFonts w:hint="eastAsia"/>
          <w:sz w:val="24"/>
          <w:lang w:eastAsia="ja-JP"/>
        </w:rPr>
        <w:t>s</w:t>
      </w:r>
      <w:r>
        <w:rPr>
          <w:rFonts w:hint="eastAsia"/>
          <w:sz w:val="24"/>
          <w:lang w:eastAsia="ja-JP"/>
        </w:rPr>
        <w:t>tors</w:t>
      </w:r>
      <w:r w:rsidR="0052102B">
        <w:rPr>
          <w:sz w:val="24"/>
          <w:lang w:eastAsia="ja-JP"/>
        </w:rPr>
        <w:t>’</w:t>
      </w:r>
      <w:r>
        <w:rPr>
          <w:rFonts w:hint="eastAsia"/>
          <w:sz w:val="24"/>
          <w:lang w:eastAsia="ja-JP"/>
        </w:rPr>
        <w:t xml:space="preserve"> limited cognitive ability and/or investors</w:t>
      </w:r>
      <w:r w:rsidR="0052102B">
        <w:rPr>
          <w:sz w:val="24"/>
          <w:lang w:eastAsia="ja-JP"/>
        </w:rPr>
        <w:t>’</w:t>
      </w:r>
      <w:r>
        <w:rPr>
          <w:rFonts w:hint="eastAsia"/>
          <w:sz w:val="24"/>
          <w:lang w:eastAsia="ja-JP"/>
        </w:rPr>
        <w:t xml:space="preserve"> doubt </w:t>
      </w:r>
      <w:r w:rsidR="0052102B">
        <w:rPr>
          <w:sz w:val="24"/>
          <w:lang w:eastAsia="ja-JP"/>
        </w:rPr>
        <w:t xml:space="preserve">about </w:t>
      </w:r>
      <w:r>
        <w:rPr>
          <w:rFonts w:hint="eastAsia"/>
          <w:sz w:val="24"/>
          <w:lang w:eastAsia="ja-JP"/>
        </w:rPr>
        <w:t>the next generation</w:t>
      </w:r>
      <w:r>
        <w:rPr>
          <w:sz w:val="24"/>
          <w:lang w:eastAsia="ja-JP"/>
        </w:rPr>
        <w:t>’</w:t>
      </w:r>
      <w:r>
        <w:rPr>
          <w:rFonts w:hint="eastAsia"/>
          <w:sz w:val="24"/>
          <w:lang w:eastAsia="ja-JP"/>
        </w:rPr>
        <w:t xml:space="preserve">s </w:t>
      </w:r>
      <w:r w:rsidR="006D4BB2">
        <w:rPr>
          <w:sz w:val="24"/>
          <w:lang w:eastAsia="ja-JP"/>
        </w:rPr>
        <w:t xml:space="preserve">conducting perfect </w:t>
      </w:r>
      <w:r w:rsidR="000F754B">
        <w:rPr>
          <w:sz w:val="24"/>
          <w:lang w:eastAsia="ja-JP"/>
        </w:rPr>
        <w:t>arbitrage.</w:t>
      </w:r>
      <w:r>
        <w:rPr>
          <w:sz w:val="24"/>
          <w:lang w:eastAsia="ja-JP"/>
        </w:rPr>
        <w:t xml:space="preserve"> </w:t>
      </w:r>
      <w:r w:rsidR="0052719A">
        <w:rPr>
          <w:sz w:val="24"/>
          <w:lang w:eastAsia="ja-JP"/>
        </w:rPr>
        <w:t>Taken together, these observations</w:t>
      </w:r>
      <w:r w:rsidR="00332BFB" w:rsidRPr="00E71E9F">
        <w:rPr>
          <w:sz w:val="24"/>
          <w:lang w:eastAsia="ja-JP"/>
        </w:rPr>
        <w:t xml:space="preserve"> suggest that </w:t>
      </w:r>
      <w:r w:rsidR="0052719A" w:rsidRPr="00E71E9F">
        <w:rPr>
          <w:sz w:val="24"/>
          <w:lang w:eastAsia="ja-JP"/>
        </w:rPr>
        <w:t>the assumption</w:t>
      </w:r>
      <w:r w:rsidR="0052719A">
        <w:rPr>
          <w:sz w:val="24"/>
          <w:lang w:eastAsia="ja-JP"/>
        </w:rPr>
        <w:t xml:space="preserve"> of rational</w:t>
      </w:r>
      <w:r w:rsidR="000F754B">
        <w:rPr>
          <w:sz w:val="24"/>
          <w:lang w:eastAsia="ja-JP"/>
        </w:rPr>
        <w:t xml:space="preserve"> expectations</w:t>
      </w:r>
      <w:r w:rsidR="00332BFB" w:rsidRPr="00E71E9F">
        <w:rPr>
          <w:sz w:val="24"/>
          <w:lang w:eastAsia="ja-JP"/>
        </w:rPr>
        <w:t xml:space="preserve"> used in standard finance theory to </w:t>
      </w:r>
      <w:r w:rsidR="00AD63BD" w:rsidRPr="00E71E9F">
        <w:rPr>
          <w:rFonts w:hint="eastAsia"/>
          <w:sz w:val="24"/>
          <w:lang w:eastAsia="ja-JP"/>
        </w:rPr>
        <w:t xml:space="preserve">derive </w:t>
      </w:r>
      <w:r w:rsidR="0052719A" w:rsidRPr="00E71E9F">
        <w:rPr>
          <w:sz w:val="24"/>
          <w:lang w:eastAsia="ja-JP"/>
        </w:rPr>
        <w:t>REE</w:t>
      </w:r>
      <w:r w:rsidR="00332BFB" w:rsidRPr="00E71E9F">
        <w:rPr>
          <w:sz w:val="24"/>
          <w:lang w:eastAsia="ja-JP"/>
        </w:rPr>
        <w:t xml:space="preserve"> </w:t>
      </w:r>
      <w:r w:rsidR="00CF4FA7" w:rsidRPr="00E71E9F">
        <w:rPr>
          <w:sz w:val="24"/>
          <w:lang w:eastAsia="ja-JP"/>
        </w:rPr>
        <w:t>may not</w:t>
      </w:r>
      <w:r w:rsidR="00332BFB" w:rsidRPr="00E71E9F">
        <w:rPr>
          <w:sz w:val="24"/>
          <w:lang w:eastAsia="ja-JP"/>
        </w:rPr>
        <w:t xml:space="preserve"> hold even in </w:t>
      </w:r>
      <w:r w:rsidR="008E65A2">
        <w:rPr>
          <w:sz w:val="24"/>
          <w:lang w:eastAsia="ja-JP"/>
        </w:rPr>
        <w:t>this</w:t>
      </w:r>
      <w:r w:rsidR="00332BFB" w:rsidRPr="00E71E9F">
        <w:rPr>
          <w:sz w:val="24"/>
          <w:lang w:eastAsia="ja-JP"/>
        </w:rPr>
        <w:t xml:space="preserve"> simple laboratory market</w:t>
      </w:r>
      <w:r w:rsidR="00332BFB">
        <w:rPr>
          <w:sz w:val="24"/>
          <w:lang w:eastAsia="ja-JP"/>
        </w:rPr>
        <w:t xml:space="preserve">. </w:t>
      </w:r>
    </w:p>
    <w:p w14:paraId="43C09DB7" w14:textId="4A68287E" w:rsidR="00306569" w:rsidRDefault="00AC4495" w:rsidP="00020B93">
      <w:pPr>
        <w:pStyle w:val="Funotentext"/>
        <w:spacing w:line="480" w:lineRule="auto"/>
        <w:ind w:firstLine="720"/>
        <w:rPr>
          <w:sz w:val="24"/>
        </w:rPr>
      </w:pPr>
      <w:r>
        <w:rPr>
          <w:sz w:val="24"/>
        </w:rPr>
        <w:t>To evaluate Hypothesis II, we use the data presented in T</w:t>
      </w:r>
      <w:r w:rsidR="0034688E">
        <w:rPr>
          <w:rFonts w:hint="eastAsia"/>
          <w:sz w:val="24"/>
        </w:rPr>
        <w:t xml:space="preserve">able </w:t>
      </w:r>
      <w:r w:rsidR="00AA3C44">
        <w:rPr>
          <w:sz w:val="24"/>
        </w:rPr>
        <w:t>5</w:t>
      </w:r>
      <w:r>
        <w:rPr>
          <w:sz w:val="24"/>
        </w:rPr>
        <w:t xml:space="preserve">. </w:t>
      </w:r>
      <w:r w:rsidR="008E65A2">
        <w:rPr>
          <w:sz w:val="24"/>
        </w:rPr>
        <w:t>W</w:t>
      </w:r>
      <w:r w:rsidR="0034688E">
        <w:rPr>
          <w:rFonts w:hint="eastAsia"/>
          <w:sz w:val="24"/>
        </w:rPr>
        <w:t xml:space="preserve">e see that the </w:t>
      </w:r>
      <w:r w:rsidR="004851C6" w:rsidRPr="001C7308">
        <w:rPr>
          <w:rFonts w:hint="eastAsia"/>
          <w:sz w:val="24"/>
        </w:rPr>
        <w:t>nu</w:t>
      </w:r>
      <w:r w:rsidR="004851C6" w:rsidRPr="001C7308">
        <w:rPr>
          <w:rFonts w:hint="eastAsia"/>
          <w:sz w:val="24"/>
        </w:rPr>
        <w:t>m</w:t>
      </w:r>
      <w:r w:rsidR="004851C6" w:rsidRPr="001C7308">
        <w:rPr>
          <w:rFonts w:hint="eastAsia"/>
          <w:sz w:val="24"/>
        </w:rPr>
        <w:t xml:space="preserve">ber of </w:t>
      </w:r>
      <w:r w:rsidR="004851C6">
        <w:rPr>
          <w:sz w:val="24"/>
        </w:rPr>
        <w:t xml:space="preserve">security transfers across </w:t>
      </w:r>
      <w:r w:rsidR="004851C6" w:rsidRPr="001C7308">
        <w:rPr>
          <w:rFonts w:hint="eastAsia"/>
          <w:sz w:val="24"/>
        </w:rPr>
        <w:t>generations</w:t>
      </w:r>
      <w:r w:rsidR="004851C6">
        <w:rPr>
          <w:sz w:val="24"/>
        </w:rPr>
        <w:t xml:space="preserve"> till maturity of the security</w:t>
      </w:r>
      <w:r w:rsidR="004851C6">
        <w:rPr>
          <w:rFonts w:hint="eastAsia"/>
          <w:sz w:val="24"/>
        </w:rPr>
        <w:t xml:space="preserve"> </w:t>
      </w:r>
      <w:r w:rsidR="00F06944">
        <w:rPr>
          <w:sz w:val="24"/>
        </w:rPr>
        <w:t xml:space="preserve">(inverse of the </w:t>
      </w:r>
      <w:r w:rsidR="0034688E">
        <w:rPr>
          <w:rFonts w:hint="eastAsia"/>
          <w:sz w:val="24"/>
        </w:rPr>
        <w:t>length of investors</w:t>
      </w:r>
      <w:r w:rsidR="0034688E">
        <w:rPr>
          <w:sz w:val="24"/>
        </w:rPr>
        <w:t>’</w:t>
      </w:r>
      <w:r w:rsidR="0034688E">
        <w:rPr>
          <w:rFonts w:hint="eastAsia"/>
          <w:sz w:val="24"/>
        </w:rPr>
        <w:t xml:space="preserve"> </w:t>
      </w:r>
      <w:r w:rsidR="002D7EC6">
        <w:rPr>
          <w:sz w:val="24"/>
        </w:rPr>
        <w:t>holding</w:t>
      </w:r>
      <w:r w:rsidR="002D7EC6">
        <w:rPr>
          <w:rFonts w:hint="eastAsia"/>
          <w:sz w:val="24"/>
        </w:rPr>
        <w:t xml:space="preserve"> periods</w:t>
      </w:r>
      <w:r w:rsidR="00F06944">
        <w:rPr>
          <w:sz w:val="24"/>
        </w:rPr>
        <w:t>)</w:t>
      </w:r>
      <w:r w:rsidR="0034688E">
        <w:rPr>
          <w:rFonts w:hint="eastAsia"/>
          <w:sz w:val="24"/>
        </w:rPr>
        <w:t xml:space="preserve"> affects the deviation of the security price from fundamentals. We calculated the average of </w:t>
      </w:r>
      <w:r w:rsidR="0034688E" w:rsidRPr="002D5D42">
        <w:rPr>
          <w:rFonts w:hint="eastAsia"/>
          <w:i/>
          <w:sz w:val="24"/>
        </w:rPr>
        <w:t>Period-RAD</w:t>
      </w:r>
      <w:r w:rsidR="0034688E">
        <w:rPr>
          <w:rFonts w:hint="eastAsia"/>
          <w:sz w:val="24"/>
        </w:rPr>
        <w:t xml:space="preserve"> for T1, T2, T4, and T8, respectively, and compared them across these four treatments. Average </w:t>
      </w:r>
      <w:r w:rsidR="0034688E" w:rsidRPr="002D5D42">
        <w:rPr>
          <w:rFonts w:hint="eastAsia"/>
          <w:i/>
          <w:sz w:val="24"/>
        </w:rPr>
        <w:t>Period-RAD</w:t>
      </w:r>
      <w:r w:rsidR="0034688E">
        <w:rPr>
          <w:rFonts w:hint="eastAsia"/>
          <w:sz w:val="24"/>
        </w:rPr>
        <w:t xml:space="preserve"> in the high-liquidity treatments is the smallest (0.421) in T1, 0.586 in T2, 0.739 in T4, and </w:t>
      </w:r>
      <w:r w:rsidR="00996C78">
        <w:rPr>
          <w:rFonts w:hint="eastAsia"/>
          <w:sz w:val="24"/>
        </w:rPr>
        <w:t xml:space="preserve">the largest (1.187) in T8 (see </w:t>
      </w:r>
      <w:r w:rsidR="00A179B2">
        <w:rPr>
          <w:sz w:val="24"/>
        </w:rPr>
        <w:t xml:space="preserve">Panel A of </w:t>
      </w:r>
      <w:r w:rsidR="0034688E">
        <w:rPr>
          <w:rFonts w:hint="eastAsia"/>
          <w:sz w:val="24"/>
        </w:rPr>
        <w:t xml:space="preserve">Table </w:t>
      </w:r>
      <w:r w:rsidR="00AA3C44">
        <w:rPr>
          <w:sz w:val="24"/>
        </w:rPr>
        <w:t>5</w:t>
      </w:r>
      <w:r w:rsidR="0034688E">
        <w:rPr>
          <w:rFonts w:hint="eastAsia"/>
          <w:sz w:val="24"/>
        </w:rPr>
        <w:t xml:space="preserve">), which are </w:t>
      </w:r>
      <w:r w:rsidR="005228B1">
        <w:rPr>
          <w:sz w:val="24"/>
        </w:rPr>
        <w:t>mostly</w:t>
      </w:r>
      <w:r w:rsidR="005228B1">
        <w:rPr>
          <w:rFonts w:hint="eastAsia"/>
          <w:sz w:val="24"/>
        </w:rPr>
        <w:t xml:space="preserve"> </w:t>
      </w:r>
      <w:r w:rsidR="0034688E">
        <w:rPr>
          <w:sz w:val="24"/>
        </w:rPr>
        <w:t>statistically</w:t>
      </w:r>
      <w:r w:rsidR="0034688E">
        <w:rPr>
          <w:rFonts w:hint="eastAsia"/>
          <w:sz w:val="24"/>
        </w:rPr>
        <w:t xml:space="preserve"> dif</w:t>
      </w:r>
      <w:r w:rsidR="00996C78">
        <w:rPr>
          <w:rFonts w:hint="eastAsia"/>
          <w:sz w:val="24"/>
        </w:rPr>
        <w:t xml:space="preserve">ferent from each other (see </w:t>
      </w:r>
      <w:r w:rsidR="00996C78">
        <w:rPr>
          <w:sz w:val="24"/>
        </w:rPr>
        <w:t>p</w:t>
      </w:r>
      <w:r w:rsidR="0034688E">
        <w:rPr>
          <w:rFonts w:hint="eastAsia"/>
          <w:sz w:val="24"/>
        </w:rPr>
        <w:t xml:space="preserve">anel B in Table </w:t>
      </w:r>
      <w:r w:rsidR="00AA3C44">
        <w:rPr>
          <w:sz w:val="24"/>
        </w:rPr>
        <w:t>5</w:t>
      </w:r>
      <w:r w:rsidR="0034688E">
        <w:rPr>
          <w:rFonts w:hint="eastAsia"/>
          <w:sz w:val="24"/>
        </w:rPr>
        <w:t xml:space="preserve"> which provides the difference in Average </w:t>
      </w:r>
      <w:r w:rsidR="0034688E" w:rsidRPr="002D5D42">
        <w:rPr>
          <w:rFonts w:hint="eastAsia"/>
          <w:i/>
          <w:sz w:val="24"/>
        </w:rPr>
        <w:t>Period-RAD</w:t>
      </w:r>
      <w:r w:rsidR="0034688E">
        <w:rPr>
          <w:rFonts w:hint="eastAsia"/>
          <w:sz w:val="24"/>
        </w:rPr>
        <w:t xml:space="preserve"> across treatments). </w:t>
      </w:r>
      <w:r w:rsidR="000800F9">
        <w:rPr>
          <w:sz w:val="24"/>
        </w:rPr>
        <w:t>The patter</w:t>
      </w:r>
      <w:r w:rsidR="005279D1">
        <w:rPr>
          <w:sz w:val="24"/>
        </w:rPr>
        <w:t>n</w:t>
      </w:r>
      <w:r w:rsidR="000800F9">
        <w:rPr>
          <w:sz w:val="24"/>
        </w:rPr>
        <w:t xml:space="preserve"> </w:t>
      </w:r>
      <w:r w:rsidR="00E8369A">
        <w:rPr>
          <w:rFonts w:hint="eastAsia"/>
          <w:sz w:val="24"/>
        </w:rPr>
        <w:t>is</w:t>
      </w:r>
      <w:r w:rsidR="000800F9">
        <w:rPr>
          <w:sz w:val="24"/>
        </w:rPr>
        <w:t xml:space="preserve"> sim</w:t>
      </w:r>
      <w:r w:rsidR="000800F9">
        <w:rPr>
          <w:sz w:val="24"/>
        </w:rPr>
        <w:t>i</w:t>
      </w:r>
      <w:r w:rsidR="000800F9">
        <w:rPr>
          <w:sz w:val="24"/>
        </w:rPr>
        <w:t>lar in the low-liquidity treatments, though with lower numbers.</w:t>
      </w:r>
      <w:r w:rsidR="00A179B2">
        <w:rPr>
          <w:sz w:val="24"/>
        </w:rPr>
        <w:t xml:space="preserve"> </w:t>
      </w:r>
      <w:r w:rsidR="000800F9">
        <w:rPr>
          <w:sz w:val="24"/>
        </w:rPr>
        <w:t xml:space="preserve">We conclude that </w:t>
      </w:r>
      <w:r w:rsidR="002D5D42">
        <w:rPr>
          <w:rFonts w:hint="eastAsia"/>
          <w:sz w:val="24"/>
        </w:rPr>
        <w:t xml:space="preserve">given the </w:t>
      </w:r>
      <w:r w:rsidR="002D5D42">
        <w:rPr>
          <w:rFonts w:hint="eastAsia"/>
          <w:sz w:val="24"/>
        </w:rPr>
        <w:lastRenderedPageBreak/>
        <w:t xml:space="preserve">maturity of the security, </w:t>
      </w:r>
      <w:r w:rsidR="0034688E">
        <w:rPr>
          <w:rFonts w:hint="eastAsia"/>
          <w:sz w:val="24"/>
        </w:rPr>
        <w:t xml:space="preserve">the </w:t>
      </w:r>
      <w:r w:rsidR="000800F9">
        <w:rPr>
          <w:sz w:val="24"/>
        </w:rPr>
        <w:t>higher</w:t>
      </w:r>
      <w:r w:rsidR="002D5D42">
        <w:rPr>
          <w:rFonts w:hint="eastAsia"/>
          <w:sz w:val="24"/>
        </w:rPr>
        <w:t xml:space="preserve"> </w:t>
      </w:r>
      <w:r w:rsidR="00D56060">
        <w:rPr>
          <w:sz w:val="24"/>
        </w:rPr>
        <w:t xml:space="preserve">the </w:t>
      </w:r>
      <w:r w:rsidR="000800F9">
        <w:rPr>
          <w:sz w:val="24"/>
        </w:rPr>
        <w:t xml:space="preserve">number of </w:t>
      </w:r>
      <w:r w:rsidR="008E65A2">
        <w:rPr>
          <w:sz w:val="24"/>
        </w:rPr>
        <w:t xml:space="preserve">future </w:t>
      </w:r>
      <w:r w:rsidR="006E5D42">
        <w:rPr>
          <w:sz w:val="24"/>
        </w:rPr>
        <w:t xml:space="preserve">security transfers across </w:t>
      </w:r>
      <w:r w:rsidR="000800F9">
        <w:rPr>
          <w:sz w:val="24"/>
        </w:rPr>
        <w:t>generation</w:t>
      </w:r>
      <w:r w:rsidR="006E5D42">
        <w:rPr>
          <w:sz w:val="24"/>
        </w:rPr>
        <w:t>s of investors</w:t>
      </w:r>
      <w:r w:rsidR="000800F9">
        <w:rPr>
          <w:sz w:val="24"/>
        </w:rPr>
        <w:t xml:space="preserve">, </w:t>
      </w:r>
      <w:r w:rsidR="002D5D42">
        <w:rPr>
          <w:rFonts w:hint="eastAsia"/>
          <w:sz w:val="24"/>
        </w:rPr>
        <w:t xml:space="preserve">the </w:t>
      </w:r>
      <w:r w:rsidR="00D56060">
        <w:rPr>
          <w:sz w:val="24"/>
        </w:rPr>
        <w:t xml:space="preserve">greater the deviation of </w:t>
      </w:r>
      <w:r w:rsidR="002D5D42">
        <w:rPr>
          <w:rFonts w:hint="eastAsia"/>
          <w:sz w:val="24"/>
        </w:rPr>
        <w:t>prices from fundamentals</w:t>
      </w:r>
      <w:r w:rsidR="00D56060">
        <w:rPr>
          <w:sz w:val="24"/>
        </w:rPr>
        <w:t>.</w:t>
      </w:r>
      <w:r w:rsidR="00EA6408">
        <w:rPr>
          <w:rFonts w:hint="eastAsia"/>
          <w:sz w:val="24"/>
        </w:rPr>
        <w:t xml:space="preserve"> </w:t>
      </w:r>
      <w:r w:rsidR="002D5D42">
        <w:rPr>
          <w:rFonts w:hint="eastAsia"/>
          <w:sz w:val="24"/>
        </w:rPr>
        <w:t xml:space="preserve">This </w:t>
      </w:r>
      <w:r w:rsidR="00836F00">
        <w:rPr>
          <w:rFonts w:hint="eastAsia"/>
          <w:sz w:val="24"/>
        </w:rPr>
        <w:t xml:space="preserve">result </w:t>
      </w:r>
      <w:r w:rsidR="00D56060">
        <w:rPr>
          <w:sz w:val="24"/>
        </w:rPr>
        <w:t xml:space="preserve">rejects </w:t>
      </w:r>
      <w:r w:rsidR="00836F00">
        <w:rPr>
          <w:rFonts w:hint="eastAsia"/>
          <w:sz w:val="24"/>
        </w:rPr>
        <w:t>H</w:t>
      </w:r>
      <w:r w:rsidR="00836F00">
        <w:rPr>
          <w:rFonts w:hint="eastAsia"/>
          <w:sz w:val="24"/>
        </w:rPr>
        <w:t>y</w:t>
      </w:r>
      <w:r w:rsidR="00836F00">
        <w:rPr>
          <w:rFonts w:hint="eastAsia"/>
          <w:sz w:val="24"/>
        </w:rPr>
        <w:t xml:space="preserve">pothesis </w:t>
      </w:r>
      <w:r w:rsidR="00224E7A">
        <w:rPr>
          <w:sz w:val="24"/>
        </w:rPr>
        <w:t>II</w:t>
      </w:r>
      <w:r w:rsidR="00224E7A" w:rsidRPr="000800F9">
        <w:rPr>
          <w:sz w:val="24"/>
          <w:vertAlign w:val="subscript"/>
        </w:rPr>
        <w:t>0</w:t>
      </w:r>
      <w:r w:rsidR="00D56060">
        <w:rPr>
          <w:sz w:val="24"/>
        </w:rPr>
        <w:t xml:space="preserve"> in favor of alternative </w:t>
      </w:r>
      <w:r w:rsidR="00224E7A">
        <w:rPr>
          <w:sz w:val="24"/>
        </w:rPr>
        <w:t>II</w:t>
      </w:r>
      <w:r w:rsidR="00224E7A" w:rsidRPr="000800F9">
        <w:rPr>
          <w:sz w:val="24"/>
          <w:vertAlign w:val="subscript"/>
        </w:rPr>
        <w:t>A</w:t>
      </w:r>
      <w:r w:rsidR="00836F00">
        <w:rPr>
          <w:sz w:val="24"/>
        </w:rPr>
        <w:t xml:space="preserve">. </w:t>
      </w:r>
    </w:p>
    <w:p w14:paraId="4F6F3F36" w14:textId="7140215B" w:rsidR="0012236C" w:rsidRPr="0012236C" w:rsidRDefault="00CC4386" w:rsidP="0091369C">
      <w:pPr>
        <w:pStyle w:val="Funotentext"/>
        <w:spacing w:line="480" w:lineRule="auto"/>
        <w:jc w:val="center"/>
        <w:rPr>
          <w:i/>
          <w:sz w:val="24"/>
        </w:rPr>
      </w:pPr>
      <w:r>
        <w:rPr>
          <w:rFonts w:hint="eastAsia"/>
          <w:i/>
          <w:sz w:val="24"/>
        </w:rPr>
        <w:t>(</w:t>
      </w:r>
      <w:r w:rsidR="0012236C" w:rsidRPr="0012236C">
        <w:rPr>
          <w:i/>
          <w:sz w:val="24"/>
        </w:rPr>
        <w:t xml:space="preserve">Table </w:t>
      </w:r>
      <w:r w:rsidR="0065340C">
        <w:rPr>
          <w:i/>
          <w:sz w:val="24"/>
        </w:rPr>
        <w:t>5</w:t>
      </w:r>
      <w:r w:rsidR="0012236C" w:rsidRPr="0012236C">
        <w:rPr>
          <w:i/>
          <w:sz w:val="24"/>
        </w:rPr>
        <w:t xml:space="preserve"> about here</w:t>
      </w:r>
      <w:r>
        <w:rPr>
          <w:rFonts w:hint="eastAsia"/>
          <w:i/>
          <w:sz w:val="24"/>
        </w:rPr>
        <w:t>)</w:t>
      </w:r>
    </w:p>
    <w:p w14:paraId="0014EB1C" w14:textId="77777777" w:rsidR="00FD4EE1" w:rsidRDefault="00FD4EE1" w:rsidP="00020B93">
      <w:pPr>
        <w:pStyle w:val="Funotentext"/>
        <w:spacing w:line="480" w:lineRule="auto"/>
        <w:ind w:firstLine="720"/>
        <w:rPr>
          <w:sz w:val="24"/>
          <w:szCs w:val="24"/>
        </w:rPr>
      </w:pPr>
    </w:p>
    <w:p w14:paraId="4CD07CC2" w14:textId="110029C4" w:rsidR="00154738" w:rsidRDefault="00593F4E" w:rsidP="00154738">
      <w:pPr>
        <w:spacing w:line="480" w:lineRule="auto"/>
        <w:jc w:val="both"/>
        <w:rPr>
          <w:sz w:val="24"/>
          <w:lang w:eastAsia="ja-JP"/>
        </w:rPr>
      </w:pPr>
      <w:r>
        <w:rPr>
          <w:sz w:val="24"/>
          <w:lang w:eastAsia="ja-JP"/>
        </w:rPr>
        <w:t>4</w:t>
      </w:r>
      <w:r w:rsidR="00154738">
        <w:rPr>
          <w:rFonts w:hint="eastAsia"/>
          <w:sz w:val="24"/>
          <w:lang w:eastAsia="ja-JP"/>
        </w:rPr>
        <w:t>.</w:t>
      </w:r>
      <w:r w:rsidR="009653C7">
        <w:rPr>
          <w:sz w:val="24"/>
          <w:lang w:eastAsia="ja-JP"/>
        </w:rPr>
        <w:t>3</w:t>
      </w:r>
      <w:r w:rsidR="00154738">
        <w:rPr>
          <w:rFonts w:hint="eastAsia"/>
          <w:sz w:val="24"/>
          <w:lang w:eastAsia="ja-JP"/>
        </w:rPr>
        <w:t xml:space="preserve"> </w:t>
      </w:r>
      <w:r w:rsidR="00603D1B">
        <w:rPr>
          <w:sz w:val="24"/>
          <w:lang w:eastAsia="ja-JP"/>
        </w:rPr>
        <w:t>Liquidity supply and mispricing</w:t>
      </w:r>
    </w:p>
    <w:p w14:paraId="754EEE0C" w14:textId="77777777" w:rsidR="006E4B7F" w:rsidRDefault="008B4294" w:rsidP="0001724B">
      <w:pPr>
        <w:spacing w:line="480" w:lineRule="auto"/>
        <w:ind w:firstLine="720"/>
        <w:jc w:val="both"/>
        <w:rPr>
          <w:sz w:val="24"/>
          <w:lang w:eastAsia="ja-JP"/>
        </w:rPr>
      </w:pPr>
      <w:r>
        <w:rPr>
          <w:sz w:val="24"/>
          <w:lang w:eastAsia="ja-JP"/>
        </w:rPr>
        <w:t xml:space="preserve">With </w:t>
      </w:r>
      <w:r w:rsidR="00603D1B">
        <w:rPr>
          <w:sz w:val="24"/>
          <w:lang w:eastAsia="ja-JP"/>
        </w:rPr>
        <w:t xml:space="preserve">Hypothesis III </w:t>
      </w:r>
      <w:r>
        <w:rPr>
          <w:sz w:val="24"/>
          <w:lang w:eastAsia="ja-JP"/>
        </w:rPr>
        <w:t xml:space="preserve">we </w:t>
      </w:r>
      <w:r w:rsidR="00603D1B">
        <w:rPr>
          <w:sz w:val="24"/>
          <w:lang w:eastAsia="ja-JP"/>
        </w:rPr>
        <w:t>explore whether liquidity supply in the market affects overall mispricing and the price level.</w:t>
      </w:r>
      <w:r w:rsidR="00B4204A">
        <w:rPr>
          <w:sz w:val="24"/>
          <w:lang w:eastAsia="ja-JP"/>
        </w:rPr>
        <w:t xml:space="preserve"> </w:t>
      </w:r>
      <w:r w:rsidR="00603D1B">
        <w:rPr>
          <w:sz w:val="24"/>
          <w:lang w:eastAsia="ja-JP"/>
        </w:rPr>
        <w:t xml:space="preserve">Visual inspection of </w:t>
      </w:r>
      <w:r w:rsidR="00B4204A">
        <w:rPr>
          <w:sz w:val="24"/>
          <w:lang w:eastAsia="ja-JP"/>
        </w:rPr>
        <w:t>Figure</w:t>
      </w:r>
      <w:r w:rsidR="00BF541C">
        <w:rPr>
          <w:rFonts w:hint="eastAsia"/>
          <w:sz w:val="24"/>
          <w:lang w:eastAsia="ja-JP"/>
        </w:rPr>
        <w:t>s</w:t>
      </w:r>
      <w:r w:rsidR="00B4204A">
        <w:rPr>
          <w:sz w:val="24"/>
          <w:lang w:eastAsia="ja-JP"/>
        </w:rPr>
        <w:t xml:space="preserve"> 2 and 3</w:t>
      </w:r>
      <w:r w:rsidR="00603D1B">
        <w:rPr>
          <w:sz w:val="24"/>
          <w:lang w:eastAsia="ja-JP"/>
        </w:rPr>
        <w:t xml:space="preserve"> already give</w:t>
      </w:r>
      <w:r w:rsidR="00BB3AD1">
        <w:rPr>
          <w:sz w:val="24"/>
          <w:lang w:eastAsia="ja-JP"/>
        </w:rPr>
        <w:t>s</w:t>
      </w:r>
      <w:r w:rsidR="00603D1B">
        <w:rPr>
          <w:sz w:val="24"/>
          <w:lang w:eastAsia="ja-JP"/>
        </w:rPr>
        <w:t xml:space="preserve"> a tentative answer, as </w:t>
      </w:r>
      <w:r w:rsidR="00D423F5">
        <w:rPr>
          <w:rFonts w:hint="eastAsia"/>
          <w:sz w:val="24"/>
          <w:lang w:eastAsia="ja-JP"/>
        </w:rPr>
        <w:t xml:space="preserve">prices tend to be </w:t>
      </w:r>
      <w:r w:rsidR="00603D1B">
        <w:rPr>
          <w:sz w:val="24"/>
          <w:lang w:eastAsia="ja-JP"/>
        </w:rPr>
        <w:t>above the fundamental value</w:t>
      </w:r>
      <w:r w:rsidR="00B4204A">
        <w:rPr>
          <w:sz w:val="24"/>
          <w:lang w:eastAsia="ja-JP"/>
        </w:rPr>
        <w:t xml:space="preserve"> </w:t>
      </w:r>
      <w:r w:rsidR="00D423F5">
        <w:rPr>
          <w:rFonts w:hint="eastAsia"/>
          <w:sz w:val="24"/>
          <w:lang w:eastAsia="ja-JP"/>
        </w:rPr>
        <w:t xml:space="preserve">in </w:t>
      </w:r>
      <w:r w:rsidR="00B4204A">
        <w:rPr>
          <w:sz w:val="24"/>
          <w:lang w:eastAsia="ja-JP"/>
        </w:rPr>
        <w:t xml:space="preserve">the </w:t>
      </w:r>
      <w:r w:rsidR="00F85140">
        <w:rPr>
          <w:rFonts w:hint="eastAsia"/>
          <w:sz w:val="24"/>
          <w:lang w:eastAsia="ja-JP"/>
        </w:rPr>
        <w:t>high-liquidity</w:t>
      </w:r>
      <w:r w:rsidR="00D423F5">
        <w:rPr>
          <w:rFonts w:hint="eastAsia"/>
          <w:sz w:val="24"/>
          <w:lang w:eastAsia="ja-JP"/>
        </w:rPr>
        <w:t xml:space="preserve"> sessions,</w:t>
      </w:r>
      <w:r w:rsidR="00B4204A">
        <w:rPr>
          <w:sz w:val="24"/>
          <w:lang w:eastAsia="ja-JP"/>
        </w:rPr>
        <w:t xml:space="preserve"> </w:t>
      </w:r>
      <w:r w:rsidR="00603D1B">
        <w:rPr>
          <w:sz w:val="24"/>
          <w:lang w:eastAsia="ja-JP"/>
        </w:rPr>
        <w:t>but below the fundamental value</w:t>
      </w:r>
      <w:r w:rsidR="00D423F5">
        <w:rPr>
          <w:rFonts w:hint="eastAsia"/>
          <w:sz w:val="24"/>
          <w:lang w:eastAsia="ja-JP"/>
        </w:rPr>
        <w:t xml:space="preserve"> in </w:t>
      </w:r>
      <w:r w:rsidR="00B4204A">
        <w:rPr>
          <w:sz w:val="24"/>
          <w:lang w:eastAsia="ja-JP"/>
        </w:rPr>
        <w:t xml:space="preserve">the </w:t>
      </w:r>
      <w:r w:rsidR="00F85140">
        <w:rPr>
          <w:rFonts w:hint="eastAsia"/>
          <w:sz w:val="24"/>
          <w:lang w:eastAsia="ja-JP"/>
        </w:rPr>
        <w:t>low-liquidity</w:t>
      </w:r>
      <w:r w:rsidR="00035A21">
        <w:rPr>
          <w:rFonts w:hint="eastAsia"/>
          <w:sz w:val="24"/>
          <w:lang w:eastAsia="ja-JP"/>
        </w:rPr>
        <w:t xml:space="preserve"> sessions. </w:t>
      </w:r>
    </w:p>
    <w:p w14:paraId="700F3ED0" w14:textId="77777777" w:rsidR="00707C39" w:rsidRDefault="006E4B7F" w:rsidP="0001724B">
      <w:pPr>
        <w:spacing w:line="480" w:lineRule="auto"/>
        <w:ind w:firstLine="720"/>
        <w:jc w:val="both"/>
        <w:rPr>
          <w:sz w:val="24"/>
          <w:lang w:eastAsia="ja-JP"/>
        </w:rPr>
      </w:pPr>
      <w:r>
        <w:rPr>
          <w:rFonts w:hint="eastAsia"/>
          <w:sz w:val="24"/>
          <w:lang w:eastAsia="ja-JP"/>
        </w:rPr>
        <w:t xml:space="preserve">To </w:t>
      </w:r>
      <w:r w:rsidR="00B4204A">
        <w:rPr>
          <w:sz w:val="24"/>
          <w:lang w:eastAsia="ja-JP"/>
        </w:rPr>
        <w:t xml:space="preserve">assess the direction of price deviations from fundamentals, we replace the relative absolute deviation measure </w:t>
      </w:r>
      <w:r w:rsidR="00765920">
        <w:rPr>
          <w:sz w:val="24"/>
          <w:lang w:eastAsia="ja-JP"/>
        </w:rPr>
        <w:t>(</w:t>
      </w:r>
      <w:r w:rsidR="00765920" w:rsidRPr="00DC4BCD">
        <w:rPr>
          <w:i/>
          <w:sz w:val="24"/>
          <w:lang w:eastAsia="ja-JP"/>
        </w:rPr>
        <w:t>Period-RAD</w:t>
      </w:r>
      <w:r w:rsidR="00765920">
        <w:rPr>
          <w:sz w:val="24"/>
          <w:lang w:eastAsia="ja-JP"/>
        </w:rPr>
        <w:t>)</w:t>
      </w:r>
      <w:r w:rsidR="00765920">
        <w:rPr>
          <w:rFonts w:hint="eastAsia"/>
          <w:sz w:val="24"/>
          <w:lang w:eastAsia="ja-JP"/>
        </w:rPr>
        <w:t xml:space="preserve"> </w:t>
      </w:r>
      <w:r w:rsidR="00B4204A">
        <w:rPr>
          <w:sz w:val="24"/>
          <w:lang w:eastAsia="ja-JP"/>
        </w:rPr>
        <w:t xml:space="preserve">used in the preceding </w:t>
      </w:r>
      <w:r w:rsidR="00E8369A">
        <w:rPr>
          <w:rFonts w:hint="eastAsia"/>
          <w:sz w:val="24"/>
          <w:lang w:eastAsia="ja-JP"/>
        </w:rPr>
        <w:t>sub</w:t>
      </w:r>
      <w:r w:rsidR="00B4204A">
        <w:rPr>
          <w:sz w:val="24"/>
          <w:lang w:eastAsia="ja-JP"/>
        </w:rPr>
        <w:t xml:space="preserve">section by </w:t>
      </w:r>
      <w:r w:rsidR="00765920">
        <w:rPr>
          <w:rFonts w:hint="eastAsia"/>
          <w:sz w:val="24"/>
          <w:lang w:eastAsia="ja-JP"/>
        </w:rPr>
        <w:t xml:space="preserve">the </w:t>
      </w:r>
      <w:r w:rsidR="00B4204A">
        <w:rPr>
          <w:sz w:val="24"/>
          <w:lang w:eastAsia="ja-JP"/>
        </w:rPr>
        <w:t xml:space="preserve">relative deviation </w:t>
      </w:r>
      <w:r w:rsidR="00765920">
        <w:rPr>
          <w:rFonts w:hint="eastAsia"/>
          <w:sz w:val="24"/>
          <w:lang w:eastAsia="ja-JP"/>
        </w:rPr>
        <w:t xml:space="preserve">measure </w:t>
      </w:r>
      <w:r w:rsidR="00B4204A">
        <w:rPr>
          <w:sz w:val="24"/>
          <w:lang w:eastAsia="ja-JP"/>
        </w:rPr>
        <w:t>(</w:t>
      </w:r>
      <w:r w:rsidR="00926D3D" w:rsidRPr="00F108A6">
        <w:rPr>
          <w:i/>
          <w:sz w:val="24"/>
          <w:lang w:eastAsia="ja-JP"/>
        </w:rPr>
        <w:t>Period-RD</w:t>
      </w:r>
      <w:r w:rsidR="00B4204A">
        <w:rPr>
          <w:sz w:val="24"/>
          <w:lang w:eastAsia="ja-JP"/>
        </w:rPr>
        <w:t>):</w:t>
      </w:r>
    </w:p>
    <w:p w14:paraId="13E9A687" w14:textId="107E0E68" w:rsidR="0055283D" w:rsidRPr="00E551F6" w:rsidRDefault="0055283D" w:rsidP="00616C2F">
      <w:pPr>
        <w:tabs>
          <w:tab w:val="right" w:pos="9072"/>
        </w:tabs>
        <w:spacing w:line="480" w:lineRule="auto"/>
        <w:ind w:firstLine="720"/>
        <w:jc w:val="both"/>
        <w:rPr>
          <w:sz w:val="24"/>
          <w:lang w:eastAsia="ja-JP"/>
        </w:rPr>
      </w:pPr>
      <w:r w:rsidRPr="00E551F6">
        <w:rPr>
          <w:rFonts w:hint="eastAsia"/>
          <w:i/>
          <w:sz w:val="24"/>
          <w:szCs w:val="24"/>
          <w:lang w:eastAsia="ja-JP"/>
        </w:rPr>
        <w:t>Period-</w:t>
      </w:r>
      <w:r w:rsidRPr="00E551F6">
        <w:rPr>
          <w:i/>
          <w:sz w:val="24"/>
          <w:szCs w:val="24"/>
          <w:lang w:eastAsia="ja-JP"/>
        </w:rPr>
        <w:t>RD</w:t>
      </w:r>
      <w:r w:rsidRPr="00E551F6">
        <w:rPr>
          <w:sz w:val="24"/>
          <w:szCs w:val="24"/>
          <w:lang w:eastAsia="ja-JP"/>
        </w:rPr>
        <w:t xml:space="preserve"> = </w:t>
      </w:r>
      <m:oMath>
        <m:r>
          <w:rPr>
            <w:rFonts w:ascii="Cambria Math" w:hAnsi="Cambria Math"/>
            <w:sz w:val="24"/>
            <w:szCs w:val="24"/>
            <w:lang w:eastAsia="ja-JP"/>
          </w:rPr>
          <m:t xml:space="preserve"> (</m:t>
        </m:r>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r>
          <w:rPr>
            <w:rFonts w:ascii="Cambria Math" w:hAnsi="Cambria Math"/>
            <w:sz w:val="24"/>
            <w:szCs w:val="24"/>
            <w:lang w:eastAsia="ja-JP"/>
          </w:rPr>
          <m:t>-50)/50</m:t>
        </m:r>
      </m:oMath>
      <w:r w:rsidRPr="00E551F6">
        <w:rPr>
          <w:rFonts w:hint="eastAsia"/>
          <w:sz w:val="24"/>
          <w:szCs w:val="24"/>
          <w:lang w:eastAsia="ja-JP"/>
        </w:rPr>
        <w:t xml:space="preserve"> </w:t>
      </w:r>
      <w:r w:rsidR="00616C2F">
        <w:rPr>
          <w:sz w:val="24"/>
          <w:szCs w:val="24"/>
          <w:lang w:eastAsia="ja-JP"/>
        </w:rPr>
        <w:tab/>
      </w:r>
      <w:r w:rsidR="007819FF" w:rsidRPr="00E551F6">
        <w:rPr>
          <w:rFonts w:hint="eastAsia"/>
          <w:sz w:val="24"/>
          <w:szCs w:val="24"/>
          <w:lang w:eastAsia="ja-JP"/>
        </w:rPr>
        <w:t>(</w:t>
      </w:r>
      <w:r w:rsidR="007819FF" w:rsidRPr="00E647AF">
        <w:rPr>
          <w:sz w:val="24"/>
          <w:szCs w:val="24"/>
          <w:lang w:eastAsia="ja-JP"/>
        </w:rPr>
        <w:t>10</w:t>
      </w:r>
      <w:r w:rsidR="007819FF" w:rsidRPr="00E551F6">
        <w:rPr>
          <w:rFonts w:hint="eastAsia"/>
          <w:sz w:val="24"/>
          <w:szCs w:val="24"/>
          <w:lang w:eastAsia="ja-JP"/>
        </w:rPr>
        <w:t>)</w:t>
      </w:r>
    </w:p>
    <w:p w14:paraId="05A6515A" w14:textId="1E8A813E" w:rsidR="00E9154C" w:rsidRDefault="00BC6B01" w:rsidP="00F108A6">
      <w:pPr>
        <w:spacing w:line="480" w:lineRule="auto"/>
        <w:jc w:val="both"/>
        <w:rPr>
          <w:sz w:val="24"/>
          <w:lang w:eastAsia="ja-JP"/>
        </w:rPr>
      </w:pPr>
      <w:r w:rsidRPr="00E551F6">
        <w:rPr>
          <w:rFonts w:hint="eastAsia"/>
          <w:sz w:val="24"/>
          <w:szCs w:val="24"/>
          <w:lang w:eastAsia="ja-JP"/>
        </w:rPr>
        <w:t xml:space="preserve">where </w:t>
      </w:r>
      <m:oMath>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oMath>
      <w:r>
        <w:rPr>
          <w:rFonts w:hint="eastAsia"/>
          <w:sz w:val="24"/>
          <w:szCs w:val="24"/>
          <w:lang w:eastAsia="ja-JP"/>
        </w:rPr>
        <w:t xml:space="preserve"> is </w:t>
      </w:r>
      <w:r w:rsidR="0058086D">
        <w:rPr>
          <w:sz w:val="24"/>
          <w:szCs w:val="24"/>
          <w:lang w:eastAsia="ja-JP"/>
        </w:rPr>
        <w:t>the</w:t>
      </w:r>
      <w:r>
        <w:rPr>
          <w:rFonts w:hint="eastAsia"/>
          <w:sz w:val="24"/>
          <w:szCs w:val="24"/>
          <w:lang w:eastAsia="ja-JP"/>
        </w:rPr>
        <w:t xml:space="preserve"> mean price of period</w:t>
      </w:r>
      <w:r w:rsidR="00F004C2">
        <w:rPr>
          <w:rFonts w:hint="eastAsia"/>
          <w:sz w:val="24"/>
          <w:szCs w:val="24"/>
          <w:lang w:eastAsia="ja-JP"/>
        </w:rPr>
        <w:t xml:space="preserve"> </w:t>
      </w:r>
      <w:r w:rsidR="00F004C2" w:rsidRPr="00F004C2">
        <w:rPr>
          <w:rFonts w:hint="eastAsia"/>
          <w:i/>
          <w:sz w:val="24"/>
          <w:szCs w:val="24"/>
          <w:lang w:eastAsia="ja-JP"/>
        </w:rPr>
        <w:t>t</w:t>
      </w:r>
      <w:r>
        <w:rPr>
          <w:rFonts w:hint="eastAsia"/>
          <w:sz w:val="24"/>
          <w:szCs w:val="24"/>
          <w:lang w:eastAsia="ja-JP"/>
        </w:rPr>
        <w:t xml:space="preserve">. </w:t>
      </w:r>
      <w:r w:rsidR="00035A21" w:rsidRPr="00E551F6">
        <w:rPr>
          <w:rFonts w:hint="eastAsia"/>
          <w:i/>
          <w:sz w:val="24"/>
          <w:szCs w:val="24"/>
          <w:lang w:eastAsia="ja-JP"/>
        </w:rPr>
        <w:t>Period-</w:t>
      </w:r>
      <w:r w:rsidR="00035A21" w:rsidRPr="00E551F6">
        <w:rPr>
          <w:i/>
          <w:sz w:val="24"/>
          <w:szCs w:val="24"/>
          <w:lang w:eastAsia="ja-JP"/>
        </w:rPr>
        <w:t>RD</w:t>
      </w:r>
      <w:r w:rsidR="00035A21" w:rsidRPr="00E551F6">
        <w:rPr>
          <w:rFonts w:hint="eastAsia"/>
          <w:i/>
          <w:sz w:val="24"/>
          <w:szCs w:val="24"/>
          <w:lang w:eastAsia="ja-JP"/>
        </w:rPr>
        <w:t xml:space="preserve"> </w:t>
      </w:r>
      <w:r w:rsidR="00035A21" w:rsidRPr="00E551F6">
        <w:rPr>
          <w:rFonts w:hint="eastAsia"/>
          <w:sz w:val="24"/>
          <w:szCs w:val="24"/>
          <w:lang w:eastAsia="ja-JP"/>
        </w:rPr>
        <w:t xml:space="preserve">is </w:t>
      </w:r>
      <w:r w:rsidR="003D227B" w:rsidRPr="00E551F6">
        <w:rPr>
          <w:rFonts w:hint="eastAsia"/>
          <w:sz w:val="24"/>
          <w:szCs w:val="24"/>
          <w:lang w:eastAsia="ja-JP"/>
        </w:rPr>
        <w:t xml:space="preserve">an analog of </w:t>
      </w:r>
      <w:r w:rsidR="003D227B" w:rsidRPr="00E551F6">
        <w:rPr>
          <w:rFonts w:hint="eastAsia"/>
          <w:i/>
          <w:sz w:val="24"/>
          <w:szCs w:val="24"/>
          <w:lang w:eastAsia="ja-JP"/>
        </w:rPr>
        <w:t>RD</w:t>
      </w:r>
      <w:r w:rsidR="003D227B" w:rsidRPr="00E551F6">
        <w:rPr>
          <w:rFonts w:hint="eastAsia"/>
          <w:sz w:val="24"/>
          <w:szCs w:val="24"/>
          <w:lang w:eastAsia="ja-JP"/>
        </w:rPr>
        <w:t xml:space="preserve"> (Rel</w:t>
      </w:r>
      <w:r w:rsidR="0058086D">
        <w:rPr>
          <w:rFonts w:hint="eastAsia"/>
          <w:sz w:val="24"/>
          <w:szCs w:val="24"/>
          <w:lang w:eastAsia="ja-JP"/>
        </w:rPr>
        <w:t>ative Deviation)</w:t>
      </w:r>
      <w:r w:rsidR="00BB3AD1">
        <w:rPr>
          <w:sz w:val="24"/>
          <w:szCs w:val="24"/>
          <w:lang w:eastAsia="ja-JP"/>
        </w:rPr>
        <w:t>,</w:t>
      </w:r>
      <w:r w:rsidR="0058086D">
        <w:rPr>
          <w:rFonts w:hint="eastAsia"/>
          <w:sz w:val="24"/>
          <w:szCs w:val="24"/>
          <w:lang w:eastAsia="ja-JP"/>
        </w:rPr>
        <w:t xml:space="preserve"> proposed by St</w:t>
      </w:r>
      <w:r w:rsidR="0058086D">
        <w:rPr>
          <w:sz w:val="24"/>
          <w:szCs w:val="24"/>
          <w:lang w:eastAsia="ja-JP"/>
        </w:rPr>
        <w:t>ö</w:t>
      </w:r>
      <w:r w:rsidR="00600777">
        <w:rPr>
          <w:rFonts w:hint="eastAsia"/>
          <w:sz w:val="24"/>
          <w:szCs w:val="24"/>
          <w:lang w:eastAsia="ja-JP"/>
        </w:rPr>
        <w:t>ckl et al.</w:t>
      </w:r>
      <w:r w:rsidR="00600777">
        <w:rPr>
          <w:sz w:val="24"/>
          <w:szCs w:val="24"/>
          <w:lang w:eastAsia="ja-JP"/>
        </w:rPr>
        <w:t xml:space="preserve"> </w:t>
      </w:r>
      <w:r w:rsidR="003D227B" w:rsidRPr="00E551F6">
        <w:rPr>
          <w:rFonts w:hint="eastAsia"/>
          <w:sz w:val="24"/>
          <w:szCs w:val="24"/>
          <w:lang w:eastAsia="ja-JP"/>
        </w:rPr>
        <w:t xml:space="preserve">(2010) which measures </w:t>
      </w:r>
      <w:r w:rsidR="00DE3D59" w:rsidRPr="00E551F6">
        <w:rPr>
          <w:rFonts w:hint="eastAsia"/>
          <w:sz w:val="24"/>
          <w:szCs w:val="24"/>
          <w:lang w:eastAsia="ja-JP"/>
        </w:rPr>
        <w:t xml:space="preserve">the average level of </w:t>
      </w:r>
      <w:r w:rsidR="00E71E9F">
        <w:rPr>
          <w:sz w:val="24"/>
          <w:szCs w:val="24"/>
          <w:lang w:eastAsia="ja-JP"/>
        </w:rPr>
        <w:t>gross</w:t>
      </w:r>
      <w:r w:rsidR="00FA0BCD">
        <w:rPr>
          <w:sz w:val="24"/>
          <w:szCs w:val="24"/>
          <w:lang w:eastAsia="ja-JP"/>
        </w:rPr>
        <w:t xml:space="preserve"> </w:t>
      </w:r>
      <w:r w:rsidRPr="00E551F6">
        <w:rPr>
          <w:rFonts w:hint="eastAsia"/>
          <w:sz w:val="24"/>
          <w:szCs w:val="24"/>
          <w:lang w:eastAsia="ja-JP"/>
        </w:rPr>
        <w:t xml:space="preserve">(not absolute) </w:t>
      </w:r>
      <w:r w:rsidR="00DE3D59" w:rsidRPr="00E551F6">
        <w:rPr>
          <w:rFonts w:hint="eastAsia"/>
          <w:sz w:val="24"/>
          <w:szCs w:val="24"/>
          <w:lang w:eastAsia="ja-JP"/>
        </w:rPr>
        <w:t>price deviati</w:t>
      </w:r>
      <w:r w:rsidRPr="00E551F6">
        <w:rPr>
          <w:rFonts w:hint="eastAsia"/>
          <w:sz w:val="24"/>
          <w:szCs w:val="24"/>
          <w:lang w:eastAsia="ja-JP"/>
        </w:rPr>
        <w:t>o</w:t>
      </w:r>
      <w:r w:rsidR="00DE3D59" w:rsidRPr="00E551F6">
        <w:rPr>
          <w:rFonts w:hint="eastAsia"/>
          <w:sz w:val="24"/>
          <w:szCs w:val="24"/>
          <w:lang w:eastAsia="ja-JP"/>
        </w:rPr>
        <w:t>n</w:t>
      </w:r>
      <w:r w:rsidRPr="00E551F6">
        <w:rPr>
          <w:rFonts w:hint="eastAsia"/>
          <w:sz w:val="24"/>
          <w:szCs w:val="24"/>
          <w:lang w:eastAsia="ja-JP"/>
        </w:rPr>
        <w:t>s</w:t>
      </w:r>
      <w:r w:rsidR="00DE3D59" w:rsidRPr="00E551F6">
        <w:rPr>
          <w:rFonts w:hint="eastAsia"/>
          <w:sz w:val="24"/>
          <w:szCs w:val="24"/>
          <w:lang w:eastAsia="ja-JP"/>
        </w:rPr>
        <w:t xml:space="preserve"> </w:t>
      </w:r>
      <w:r w:rsidR="00E71E9F">
        <w:rPr>
          <w:sz w:val="24"/>
          <w:szCs w:val="24"/>
          <w:lang w:eastAsia="ja-JP"/>
        </w:rPr>
        <w:t xml:space="preserve">from </w:t>
      </w:r>
      <w:r w:rsidR="0052719A">
        <w:rPr>
          <w:sz w:val="24"/>
          <w:szCs w:val="24"/>
          <w:lang w:eastAsia="ja-JP"/>
        </w:rPr>
        <w:t>fundamental values</w:t>
      </w:r>
      <w:r w:rsidR="00E71E9F">
        <w:rPr>
          <w:sz w:val="24"/>
          <w:szCs w:val="24"/>
          <w:lang w:eastAsia="ja-JP"/>
        </w:rPr>
        <w:t xml:space="preserve"> </w:t>
      </w:r>
      <w:r w:rsidR="00DE3D59" w:rsidRPr="00E551F6">
        <w:rPr>
          <w:rFonts w:hint="eastAsia"/>
          <w:sz w:val="24"/>
          <w:szCs w:val="24"/>
          <w:lang w:eastAsia="ja-JP"/>
        </w:rPr>
        <w:t xml:space="preserve">across all periods throughout the session. </w:t>
      </w:r>
      <w:r w:rsidR="003B699C">
        <w:rPr>
          <w:sz w:val="24"/>
          <w:lang w:eastAsia="ja-JP"/>
        </w:rPr>
        <w:t>T</w:t>
      </w:r>
      <w:r w:rsidR="00DE3D59">
        <w:rPr>
          <w:rFonts w:hint="eastAsia"/>
          <w:sz w:val="24"/>
          <w:lang w:eastAsia="ja-JP"/>
        </w:rPr>
        <w:t xml:space="preserve">he </w:t>
      </w:r>
      <w:r w:rsidR="003F302F">
        <w:rPr>
          <w:sz w:val="24"/>
          <w:lang w:eastAsia="ja-JP"/>
        </w:rPr>
        <w:t>r</w:t>
      </w:r>
      <w:r w:rsidR="003F302F">
        <w:rPr>
          <w:sz w:val="24"/>
          <w:lang w:eastAsia="ja-JP"/>
        </w:rPr>
        <w:t>e</w:t>
      </w:r>
      <w:r w:rsidR="003F302F">
        <w:rPr>
          <w:sz w:val="24"/>
          <w:lang w:eastAsia="ja-JP"/>
        </w:rPr>
        <w:t xml:space="preserve">sulting </w:t>
      </w:r>
      <w:r w:rsidR="00DE3D59">
        <w:rPr>
          <w:rFonts w:hint="eastAsia"/>
          <w:sz w:val="24"/>
          <w:lang w:eastAsia="ja-JP"/>
        </w:rPr>
        <w:t xml:space="preserve">average of </w:t>
      </w:r>
      <w:r w:rsidR="00DE3D59" w:rsidRPr="00DE3D59">
        <w:rPr>
          <w:rFonts w:hint="eastAsia"/>
          <w:i/>
          <w:sz w:val="24"/>
          <w:lang w:eastAsia="ja-JP"/>
        </w:rPr>
        <w:t>Period-RD</w:t>
      </w:r>
      <w:r w:rsidR="00DE3D59">
        <w:rPr>
          <w:rFonts w:hint="eastAsia"/>
          <w:sz w:val="24"/>
          <w:lang w:eastAsia="ja-JP"/>
        </w:rPr>
        <w:t xml:space="preserve"> </w:t>
      </w:r>
      <w:r w:rsidR="003F302F">
        <w:rPr>
          <w:sz w:val="24"/>
          <w:lang w:eastAsia="ja-JP"/>
        </w:rPr>
        <w:t xml:space="preserve">across all markets with </w:t>
      </w:r>
      <w:r w:rsidR="00F85140">
        <w:rPr>
          <w:rFonts w:hint="eastAsia"/>
          <w:sz w:val="24"/>
          <w:lang w:eastAsia="ja-JP"/>
        </w:rPr>
        <w:t>high-liquidity</w:t>
      </w:r>
      <w:r w:rsidR="003F302F">
        <w:rPr>
          <w:rFonts w:hint="eastAsia"/>
          <w:sz w:val="24"/>
          <w:lang w:eastAsia="ja-JP"/>
        </w:rPr>
        <w:t xml:space="preserve"> </w:t>
      </w:r>
      <w:r w:rsidR="00DE3D59">
        <w:rPr>
          <w:rFonts w:hint="eastAsia"/>
          <w:sz w:val="24"/>
          <w:lang w:eastAsia="ja-JP"/>
        </w:rPr>
        <w:t>is positive (0.53</w:t>
      </w:r>
      <w:r w:rsidR="00046672">
        <w:rPr>
          <w:rFonts w:hint="eastAsia"/>
          <w:sz w:val="24"/>
          <w:lang w:eastAsia="ja-JP"/>
        </w:rPr>
        <w:t>4</w:t>
      </w:r>
      <w:r w:rsidR="003A37FA">
        <w:rPr>
          <w:sz w:val="24"/>
          <w:lang w:eastAsia="ja-JP"/>
        </w:rPr>
        <w:t>,</w:t>
      </w:r>
      <w:r w:rsidR="008B4294">
        <w:rPr>
          <w:sz w:val="24"/>
          <w:lang w:eastAsia="ja-JP"/>
        </w:rPr>
        <w:t xml:space="preserve"> mea</w:t>
      </w:r>
      <w:r w:rsidR="008B4294">
        <w:rPr>
          <w:sz w:val="24"/>
          <w:lang w:eastAsia="ja-JP"/>
        </w:rPr>
        <w:t>n</w:t>
      </w:r>
      <w:r w:rsidR="008B4294">
        <w:rPr>
          <w:sz w:val="24"/>
          <w:lang w:eastAsia="ja-JP"/>
        </w:rPr>
        <w:t xml:space="preserve">ing an average overvaluation by 53.4% of the </w:t>
      </w:r>
      <w:r w:rsidR="0052719A">
        <w:rPr>
          <w:sz w:val="24"/>
          <w:lang w:eastAsia="ja-JP"/>
        </w:rPr>
        <w:t>fundamental value</w:t>
      </w:r>
      <w:r w:rsidR="00DE3D59">
        <w:rPr>
          <w:rFonts w:hint="eastAsia"/>
          <w:sz w:val="24"/>
          <w:lang w:eastAsia="ja-JP"/>
        </w:rPr>
        <w:t>)</w:t>
      </w:r>
      <w:r w:rsidR="003F302F">
        <w:rPr>
          <w:sz w:val="24"/>
          <w:lang w:eastAsia="ja-JP"/>
        </w:rPr>
        <w:t xml:space="preserve">, but </w:t>
      </w:r>
      <w:r w:rsidR="00DE3D59">
        <w:rPr>
          <w:rFonts w:hint="eastAsia"/>
          <w:sz w:val="24"/>
          <w:lang w:eastAsia="ja-JP"/>
        </w:rPr>
        <w:t>negative (</w:t>
      </w:r>
      <w:r w:rsidR="00DE3D59">
        <w:rPr>
          <w:rFonts w:ascii="MS Mincho" w:hAnsi="MS Mincho" w:hint="eastAsia"/>
          <w:sz w:val="24"/>
          <w:lang w:eastAsia="ja-JP"/>
        </w:rPr>
        <w:t>-</w:t>
      </w:r>
      <w:r w:rsidR="00DE3D59">
        <w:rPr>
          <w:rFonts w:hint="eastAsia"/>
          <w:sz w:val="24"/>
          <w:lang w:eastAsia="ja-JP"/>
        </w:rPr>
        <w:t>0.22</w:t>
      </w:r>
      <w:r w:rsidR="00F004C2">
        <w:rPr>
          <w:rFonts w:hint="eastAsia"/>
          <w:sz w:val="24"/>
          <w:lang w:eastAsia="ja-JP"/>
        </w:rPr>
        <w:t>2</w:t>
      </w:r>
      <w:r w:rsidR="008B4294">
        <w:rPr>
          <w:sz w:val="24"/>
          <w:lang w:eastAsia="ja-JP"/>
        </w:rPr>
        <w:t xml:space="preserve">, thus </w:t>
      </w:r>
      <w:r w:rsidR="003A37FA">
        <w:rPr>
          <w:sz w:val="24"/>
          <w:lang w:eastAsia="ja-JP"/>
        </w:rPr>
        <w:t xml:space="preserve">meaning </w:t>
      </w:r>
      <w:r w:rsidR="008B4294">
        <w:rPr>
          <w:sz w:val="24"/>
          <w:lang w:eastAsia="ja-JP"/>
        </w:rPr>
        <w:t xml:space="preserve">an average undervaluation by 22.2% of the </w:t>
      </w:r>
      <w:r w:rsidR="0052719A">
        <w:rPr>
          <w:sz w:val="24"/>
          <w:lang w:eastAsia="ja-JP"/>
        </w:rPr>
        <w:t>fundamental value</w:t>
      </w:r>
      <w:r w:rsidR="00DE3D59">
        <w:rPr>
          <w:rFonts w:hint="eastAsia"/>
          <w:sz w:val="24"/>
          <w:lang w:eastAsia="ja-JP"/>
        </w:rPr>
        <w:t xml:space="preserve">) </w:t>
      </w:r>
      <w:r w:rsidR="003F302F">
        <w:rPr>
          <w:sz w:val="24"/>
          <w:lang w:eastAsia="ja-JP"/>
        </w:rPr>
        <w:t xml:space="preserve">across all </w:t>
      </w:r>
      <w:r w:rsidR="00F85140">
        <w:rPr>
          <w:rFonts w:hint="eastAsia"/>
          <w:sz w:val="24"/>
          <w:lang w:eastAsia="ja-JP"/>
        </w:rPr>
        <w:t>low-liquidity</w:t>
      </w:r>
      <w:r w:rsidR="00DE3D59">
        <w:rPr>
          <w:rFonts w:hint="eastAsia"/>
          <w:sz w:val="24"/>
          <w:lang w:eastAsia="ja-JP"/>
        </w:rPr>
        <w:t xml:space="preserve"> sessions</w:t>
      </w:r>
      <w:r w:rsidR="00046672">
        <w:rPr>
          <w:rFonts w:hint="eastAsia"/>
          <w:sz w:val="24"/>
          <w:lang w:eastAsia="ja-JP"/>
        </w:rPr>
        <w:t xml:space="preserve">; the difference (0.756) is statistically significant at </w:t>
      </w:r>
      <w:r w:rsidR="009B5885">
        <w:rPr>
          <w:sz w:val="24"/>
          <w:lang w:eastAsia="ja-JP"/>
        </w:rPr>
        <w:t xml:space="preserve">the </w:t>
      </w:r>
      <w:r w:rsidR="00046672">
        <w:rPr>
          <w:rFonts w:hint="eastAsia"/>
          <w:sz w:val="24"/>
          <w:lang w:eastAsia="ja-JP"/>
        </w:rPr>
        <w:t>1% level</w:t>
      </w:r>
      <w:r w:rsidR="008B4294">
        <w:rPr>
          <w:sz w:val="24"/>
          <w:lang w:eastAsia="ja-JP"/>
        </w:rPr>
        <w:t xml:space="preserve"> (</w:t>
      </w:r>
      <w:r w:rsidR="00C1119A">
        <w:rPr>
          <w:sz w:val="24"/>
          <w:lang w:eastAsia="ja-JP"/>
        </w:rPr>
        <w:t>two-sided t-test</w:t>
      </w:r>
      <w:r w:rsidR="008B4294">
        <w:rPr>
          <w:sz w:val="24"/>
          <w:lang w:eastAsia="ja-JP"/>
        </w:rPr>
        <w:t>)</w:t>
      </w:r>
      <w:r w:rsidR="0008747C">
        <w:rPr>
          <w:sz w:val="24"/>
          <w:lang w:eastAsia="ja-JP"/>
        </w:rPr>
        <w:t>.</w:t>
      </w:r>
      <w:r w:rsidR="003A37FA">
        <w:rPr>
          <w:rStyle w:val="Funotenzeichen"/>
          <w:sz w:val="24"/>
          <w:lang w:eastAsia="ja-JP"/>
        </w:rPr>
        <w:footnoteReference w:id="35"/>
      </w:r>
      <w:r w:rsidR="00046672">
        <w:rPr>
          <w:rFonts w:hint="eastAsia"/>
          <w:sz w:val="24"/>
          <w:lang w:eastAsia="ja-JP"/>
        </w:rPr>
        <w:t xml:space="preserve"> This result rejects hypothesis III</w:t>
      </w:r>
      <w:r w:rsidR="005B1E74" w:rsidRPr="009B27EA">
        <w:rPr>
          <w:sz w:val="24"/>
          <w:vertAlign w:val="subscript"/>
          <w:lang w:eastAsia="ja-JP"/>
        </w:rPr>
        <w:t>0</w:t>
      </w:r>
      <w:r w:rsidR="00046672">
        <w:rPr>
          <w:rFonts w:hint="eastAsia"/>
          <w:sz w:val="24"/>
          <w:lang w:eastAsia="ja-JP"/>
        </w:rPr>
        <w:t xml:space="preserve"> in favor of </w:t>
      </w:r>
      <w:r w:rsidR="009B27EA">
        <w:rPr>
          <w:sz w:val="24"/>
          <w:lang w:eastAsia="ja-JP"/>
        </w:rPr>
        <w:t>alternative</w:t>
      </w:r>
      <w:r w:rsidR="009B27EA">
        <w:rPr>
          <w:rFonts w:hint="eastAsia"/>
          <w:sz w:val="24"/>
          <w:lang w:eastAsia="ja-JP"/>
        </w:rPr>
        <w:t xml:space="preserve"> </w:t>
      </w:r>
      <w:r w:rsidR="00046672">
        <w:rPr>
          <w:rFonts w:hint="eastAsia"/>
          <w:sz w:val="24"/>
          <w:lang w:eastAsia="ja-JP"/>
        </w:rPr>
        <w:t>III</w:t>
      </w:r>
      <w:r w:rsidR="005B1E74" w:rsidRPr="009B27EA">
        <w:rPr>
          <w:sz w:val="24"/>
          <w:vertAlign w:val="subscript"/>
          <w:lang w:eastAsia="ja-JP"/>
        </w:rPr>
        <w:t>A</w:t>
      </w:r>
      <w:r w:rsidR="00836DB4">
        <w:rPr>
          <w:sz w:val="24"/>
          <w:lang w:eastAsia="ja-JP"/>
        </w:rPr>
        <w:t>, reinforcing the visual</w:t>
      </w:r>
      <w:r w:rsidR="003F302F">
        <w:rPr>
          <w:sz w:val="24"/>
          <w:lang w:eastAsia="ja-JP"/>
        </w:rPr>
        <w:t xml:space="preserve"> </w:t>
      </w:r>
      <w:r w:rsidR="00135781">
        <w:rPr>
          <w:sz w:val="24"/>
          <w:lang w:eastAsia="ja-JP"/>
        </w:rPr>
        <w:t>impression</w:t>
      </w:r>
      <w:r w:rsidR="003F302F">
        <w:rPr>
          <w:sz w:val="24"/>
          <w:lang w:eastAsia="ja-JP"/>
        </w:rPr>
        <w:t xml:space="preserve"> from Figures 2 and 3.</w:t>
      </w:r>
    </w:p>
    <w:p w14:paraId="588BA809" w14:textId="338C715F" w:rsidR="00D70B56" w:rsidRPr="00D70B56" w:rsidRDefault="00CC4386" w:rsidP="0091369C">
      <w:pPr>
        <w:spacing w:line="480" w:lineRule="auto"/>
        <w:jc w:val="center"/>
        <w:rPr>
          <w:i/>
          <w:sz w:val="24"/>
          <w:lang w:eastAsia="ja-JP"/>
        </w:rPr>
      </w:pPr>
      <w:r>
        <w:rPr>
          <w:rFonts w:hint="eastAsia"/>
          <w:i/>
          <w:sz w:val="24"/>
          <w:lang w:eastAsia="ja-JP"/>
        </w:rPr>
        <w:lastRenderedPageBreak/>
        <w:t>(</w:t>
      </w:r>
      <w:r w:rsidR="00D70B56" w:rsidRPr="00D70B56">
        <w:rPr>
          <w:i/>
          <w:sz w:val="24"/>
          <w:lang w:eastAsia="ja-JP"/>
        </w:rPr>
        <w:t xml:space="preserve">Table </w:t>
      </w:r>
      <w:r w:rsidR="0065340C">
        <w:rPr>
          <w:i/>
          <w:sz w:val="24"/>
          <w:lang w:eastAsia="ja-JP"/>
        </w:rPr>
        <w:t>6</w:t>
      </w:r>
      <w:r w:rsidR="00D70B56" w:rsidRPr="00D70B56">
        <w:rPr>
          <w:i/>
          <w:sz w:val="24"/>
          <w:lang w:eastAsia="ja-JP"/>
        </w:rPr>
        <w:t xml:space="preserve"> about here</w:t>
      </w:r>
      <w:r>
        <w:rPr>
          <w:rFonts w:hint="eastAsia"/>
          <w:i/>
          <w:sz w:val="24"/>
          <w:lang w:eastAsia="ja-JP"/>
        </w:rPr>
        <w:t>)</w:t>
      </w:r>
    </w:p>
    <w:p w14:paraId="00BA3FE8" w14:textId="0ECE7456" w:rsidR="00EF7E37" w:rsidRDefault="009B27EA">
      <w:pPr>
        <w:spacing w:line="480" w:lineRule="auto"/>
        <w:ind w:firstLine="720"/>
        <w:jc w:val="both"/>
        <w:rPr>
          <w:sz w:val="24"/>
          <w:lang w:eastAsia="ja-JP"/>
        </w:rPr>
      </w:pPr>
      <w:r>
        <w:rPr>
          <w:sz w:val="24"/>
          <w:lang w:eastAsia="ja-JP"/>
        </w:rPr>
        <w:t>N</w:t>
      </w:r>
      <w:r w:rsidR="00046672">
        <w:rPr>
          <w:rFonts w:hint="eastAsia"/>
          <w:sz w:val="24"/>
          <w:lang w:eastAsia="ja-JP"/>
        </w:rPr>
        <w:t>ote that th</w:t>
      </w:r>
      <w:r w:rsidR="008B4294">
        <w:rPr>
          <w:sz w:val="24"/>
          <w:lang w:eastAsia="ja-JP"/>
        </w:rPr>
        <w:t>e</w:t>
      </w:r>
      <w:r w:rsidR="00046672">
        <w:rPr>
          <w:rFonts w:hint="eastAsia"/>
          <w:sz w:val="24"/>
          <w:lang w:eastAsia="ja-JP"/>
        </w:rPr>
        <w:t xml:space="preserve"> liquidity effect </w:t>
      </w:r>
      <w:r w:rsidR="00E8369A">
        <w:rPr>
          <w:rFonts w:hint="eastAsia"/>
          <w:sz w:val="24"/>
          <w:lang w:eastAsia="ja-JP"/>
        </w:rPr>
        <w:t xml:space="preserve">on prices </w:t>
      </w:r>
      <w:r w:rsidR="00046672">
        <w:rPr>
          <w:rFonts w:hint="eastAsia"/>
          <w:sz w:val="24"/>
          <w:lang w:eastAsia="ja-JP"/>
        </w:rPr>
        <w:t xml:space="preserve">is larger when there are only </w:t>
      </w:r>
      <w:r w:rsidR="006E75F1">
        <w:rPr>
          <w:rFonts w:hint="eastAsia"/>
          <w:sz w:val="24"/>
          <w:lang w:eastAsia="ja-JP"/>
        </w:rPr>
        <w:t>speculating i</w:t>
      </w:r>
      <w:r w:rsidR="00440147">
        <w:rPr>
          <w:rFonts w:hint="eastAsia"/>
          <w:sz w:val="24"/>
          <w:lang w:eastAsia="ja-JP"/>
        </w:rPr>
        <w:t>nve</w:t>
      </w:r>
      <w:r w:rsidR="00440147">
        <w:rPr>
          <w:rFonts w:hint="eastAsia"/>
          <w:sz w:val="24"/>
          <w:lang w:eastAsia="ja-JP"/>
        </w:rPr>
        <w:t>s</w:t>
      </w:r>
      <w:r w:rsidR="00440147">
        <w:rPr>
          <w:rFonts w:hint="eastAsia"/>
          <w:sz w:val="24"/>
          <w:lang w:eastAsia="ja-JP"/>
        </w:rPr>
        <w:t>tor</w:t>
      </w:r>
      <w:r w:rsidR="00817A74">
        <w:rPr>
          <w:rFonts w:hint="eastAsia"/>
          <w:sz w:val="24"/>
          <w:lang w:eastAsia="ja-JP"/>
        </w:rPr>
        <w:t>s</w:t>
      </w:r>
      <w:r w:rsidR="00046672">
        <w:rPr>
          <w:rFonts w:hint="eastAsia"/>
          <w:sz w:val="24"/>
          <w:lang w:eastAsia="ja-JP"/>
        </w:rPr>
        <w:t xml:space="preserve"> in the market. </w:t>
      </w:r>
      <w:r w:rsidR="005157DF">
        <w:rPr>
          <w:sz w:val="24"/>
          <w:lang w:eastAsia="ja-JP"/>
        </w:rPr>
        <w:t xml:space="preserve">Analyzing the data in more </w:t>
      </w:r>
      <w:r w:rsidR="003F302F">
        <w:rPr>
          <w:sz w:val="24"/>
          <w:lang w:eastAsia="ja-JP"/>
        </w:rPr>
        <w:t>detail</w:t>
      </w:r>
      <w:r>
        <w:rPr>
          <w:sz w:val="24"/>
          <w:lang w:eastAsia="ja-JP"/>
        </w:rPr>
        <w:t>,</w:t>
      </w:r>
      <w:r w:rsidR="003F302F">
        <w:rPr>
          <w:sz w:val="24"/>
          <w:lang w:eastAsia="ja-JP"/>
        </w:rPr>
        <w:t xml:space="preserve"> </w:t>
      </w:r>
      <w:r w:rsidR="00C323FE">
        <w:rPr>
          <w:rFonts w:hint="eastAsia"/>
          <w:sz w:val="24"/>
          <w:lang w:eastAsia="ja-JP"/>
        </w:rPr>
        <w:t xml:space="preserve">Table </w:t>
      </w:r>
      <w:r w:rsidR="00AA3C44">
        <w:rPr>
          <w:sz w:val="24"/>
          <w:lang w:eastAsia="ja-JP"/>
        </w:rPr>
        <w:t>6</w:t>
      </w:r>
      <w:r w:rsidR="003B699C">
        <w:rPr>
          <w:rFonts w:hint="eastAsia"/>
          <w:sz w:val="24"/>
          <w:lang w:eastAsia="ja-JP"/>
        </w:rPr>
        <w:t xml:space="preserve"> </w:t>
      </w:r>
      <w:r w:rsidR="00EC5B41">
        <w:rPr>
          <w:rFonts w:hint="eastAsia"/>
          <w:sz w:val="24"/>
          <w:lang w:eastAsia="ja-JP"/>
        </w:rPr>
        <w:t>compares</w:t>
      </w:r>
      <w:r w:rsidR="00904294">
        <w:rPr>
          <w:sz w:val="24"/>
          <w:lang w:eastAsia="ja-JP"/>
        </w:rPr>
        <w:t xml:space="preserve"> average</w:t>
      </w:r>
      <w:r w:rsidR="00BC6B01">
        <w:rPr>
          <w:rFonts w:hint="eastAsia"/>
          <w:sz w:val="24"/>
          <w:lang w:eastAsia="ja-JP"/>
        </w:rPr>
        <w:t xml:space="preserve"> </w:t>
      </w:r>
      <w:r w:rsidR="00904294" w:rsidRPr="00A656D2">
        <w:rPr>
          <w:rFonts w:hint="eastAsia"/>
          <w:i/>
          <w:sz w:val="24"/>
          <w:lang w:eastAsia="ja-JP"/>
        </w:rPr>
        <w:t>Period-RD</w:t>
      </w:r>
      <w:r w:rsidR="00904294">
        <w:rPr>
          <w:rFonts w:hint="eastAsia"/>
          <w:sz w:val="24"/>
          <w:lang w:eastAsia="ja-JP"/>
        </w:rPr>
        <w:t xml:space="preserve"> </w:t>
      </w:r>
      <w:r w:rsidR="00904294">
        <w:rPr>
          <w:sz w:val="24"/>
          <w:lang w:eastAsia="ja-JP"/>
        </w:rPr>
        <w:t>in</w:t>
      </w:r>
      <w:r w:rsidR="00C323FE">
        <w:rPr>
          <w:rFonts w:hint="eastAsia"/>
          <w:sz w:val="24"/>
          <w:lang w:eastAsia="ja-JP"/>
        </w:rPr>
        <w:t xml:space="preserve"> </w:t>
      </w:r>
      <w:r w:rsidR="00904294">
        <w:rPr>
          <w:sz w:val="24"/>
          <w:lang w:eastAsia="ja-JP"/>
        </w:rPr>
        <w:t xml:space="preserve">periods with </w:t>
      </w:r>
      <w:r w:rsidR="006E75F1">
        <w:rPr>
          <w:rFonts w:hint="eastAsia"/>
          <w:sz w:val="24"/>
          <w:lang w:eastAsia="ja-JP"/>
        </w:rPr>
        <w:t>dividend</w:t>
      </w:r>
      <w:r w:rsidR="0008747C">
        <w:rPr>
          <w:sz w:val="24"/>
          <w:lang w:eastAsia="ja-JP"/>
        </w:rPr>
        <w:t>-</w:t>
      </w:r>
      <w:r w:rsidR="006E75F1">
        <w:rPr>
          <w:rFonts w:hint="eastAsia"/>
          <w:sz w:val="24"/>
          <w:lang w:eastAsia="ja-JP"/>
        </w:rPr>
        <w:t>collecting</w:t>
      </w:r>
      <w:r w:rsidR="003B699C">
        <w:rPr>
          <w:sz w:val="24"/>
          <w:lang w:eastAsia="ja-JP"/>
        </w:rPr>
        <w:t xml:space="preserve"> </w:t>
      </w:r>
      <w:r w:rsidR="00440147">
        <w:rPr>
          <w:rFonts w:hint="eastAsia"/>
          <w:sz w:val="24"/>
          <w:lang w:eastAsia="ja-JP"/>
        </w:rPr>
        <w:t>investor</w:t>
      </w:r>
      <w:r w:rsidR="00817A74">
        <w:rPr>
          <w:rFonts w:hint="eastAsia"/>
          <w:sz w:val="24"/>
          <w:lang w:eastAsia="ja-JP"/>
        </w:rPr>
        <w:t>s</w:t>
      </w:r>
      <w:r w:rsidR="003B699C">
        <w:rPr>
          <w:sz w:val="24"/>
          <w:lang w:eastAsia="ja-JP"/>
        </w:rPr>
        <w:t xml:space="preserve"> </w:t>
      </w:r>
      <w:r w:rsidR="00904294">
        <w:rPr>
          <w:sz w:val="24"/>
          <w:lang w:eastAsia="ja-JP"/>
        </w:rPr>
        <w:t>present</w:t>
      </w:r>
      <w:r w:rsidR="003B699C">
        <w:rPr>
          <w:sz w:val="24"/>
          <w:lang w:eastAsia="ja-JP"/>
        </w:rPr>
        <w:t xml:space="preserve"> </w:t>
      </w:r>
      <w:r w:rsidR="00904294">
        <w:rPr>
          <w:sz w:val="24"/>
          <w:lang w:eastAsia="ja-JP"/>
        </w:rPr>
        <w:t>to those</w:t>
      </w:r>
      <w:r w:rsidR="00C323FE">
        <w:rPr>
          <w:rFonts w:hint="eastAsia"/>
          <w:sz w:val="24"/>
          <w:lang w:eastAsia="ja-JP"/>
        </w:rPr>
        <w:t xml:space="preserve"> </w:t>
      </w:r>
      <w:r w:rsidR="00EC5B41">
        <w:rPr>
          <w:rFonts w:hint="eastAsia"/>
          <w:sz w:val="24"/>
          <w:lang w:eastAsia="ja-JP"/>
        </w:rPr>
        <w:t>with</w:t>
      </w:r>
      <w:r w:rsidR="00BC6B01">
        <w:rPr>
          <w:rFonts w:hint="eastAsia"/>
          <w:sz w:val="24"/>
          <w:lang w:eastAsia="ja-JP"/>
        </w:rPr>
        <w:t xml:space="preserve"> </w:t>
      </w:r>
      <w:r w:rsidR="00C323FE">
        <w:rPr>
          <w:rFonts w:hint="eastAsia"/>
          <w:sz w:val="24"/>
          <w:lang w:eastAsia="ja-JP"/>
        </w:rPr>
        <w:t xml:space="preserve">only </w:t>
      </w:r>
      <w:r w:rsidR="006E75F1">
        <w:rPr>
          <w:rFonts w:hint="eastAsia"/>
          <w:sz w:val="24"/>
          <w:lang w:eastAsia="ja-JP"/>
        </w:rPr>
        <w:t>speculating</w:t>
      </w:r>
      <w:r w:rsidR="00C323FE">
        <w:rPr>
          <w:rFonts w:hint="eastAsia"/>
          <w:sz w:val="24"/>
          <w:lang w:eastAsia="ja-JP"/>
        </w:rPr>
        <w:t xml:space="preserve"> </w:t>
      </w:r>
      <w:r w:rsidR="00440147">
        <w:rPr>
          <w:rFonts w:hint="eastAsia"/>
          <w:sz w:val="24"/>
          <w:lang w:eastAsia="ja-JP"/>
        </w:rPr>
        <w:t>investor</w:t>
      </w:r>
      <w:r w:rsidR="00817A74">
        <w:rPr>
          <w:rFonts w:hint="eastAsia"/>
          <w:sz w:val="24"/>
          <w:lang w:eastAsia="ja-JP"/>
        </w:rPr>
        <w:t>s</w:t>
      </w:r>
      <w:r w:rsidR="00CF234F">
        <w:rPr>
          <w:rFonts w:hint="eastAsia"/>
          <w:sz w:val="24"/>
          <w:lang w:eastAsia="ja-JP"/>
        </w:rPr>
        <w:t>.</w:t>
      </w:r>
      <w:r w:rsidR="00C323FE">
        <w:rPr>
          <w:rFonts w:hint="eastAsia"/>
          <w:sz w:val="24"/>
          <w:lang w:eastAsia="ja-JP"/>
        </w:rPr>
        <w:t xml:space="preserve"> </w:t>
      </w:r>
      <w:r w:rsidR="003B699C">
        <w:rPr>
          <w:sz w:val="24"/>
          <w:lang w:eastAsia="ja-JP"/>
        </w:rPr>
        <w:t xml:space="preserve">In </w:t>
      </w:r>
      <w:r w:rsidR="000076F9">
        <w:rPr>
          <w:sz w:val="24"/>
          <w:lang w:eastAsia="ja-JP"/>
        </w:rPr>
        <w:t xml:space="preserve">high-liquidity </w:t>
      </w:r>
      <w:r w:rsidR="00C1119A">
        <w:rPr>
          <w:sz w:val="24"/>
          <w:lang w:eastAsia="ja-JP"/>
        </w:rPr>
        <w:t>sessions</w:t>
      </w:r>
      <w:r w:rsidR="003B699C">
        <w:rPr>
          <w:sz w:val="24"/>
          <w:lang w:eastAsia="ja-JP"/>
        </w:rPr>
        <w:t>, t</w:t>
      </w:r>
      <w:r w:rsidR="00C323FE">
        <w:rPr>
          <w:rFonts w:hint="eastAsia"/>
          <w:sz w:val="24"/>
          <w:lang w:eastAsia="ja-JP"/>
        </w:rPr>
        <w:t xml:space="preserve">he average </w:t>
      </w:r>
      <w:r w:rsidR="00C323FE" w:rsidRPr="001042BE">
        <w:rPr>
          <w:rFonts w:hint="eastAsia"/>
          <w:i/>
          <w:sz w:val="24"/>
          <w:lang w:eastAsia="ja-JP"/>
        </w:rPr>
        <w:t>Period-RD</w:t>
      </w:r>
      <w:r w:rsidR="00C323FE">
        <w:rPr>
          <w:rFonts w:hint="eastAsia"/>
          <w:sz w:val="24"/>
          <w:lang w:eastAsia="ja-JP"/>
        </w:rPr>
        <w:t xml:space="preserve"> across periods with </w:t>
      </w:r>
      <w:r w:rsidR="006E75F1">
        <w:rPr>
          <w:rFonts w:hint="eastAsia"/>
          <w:sz w:val="24"/>
          <w:lang w:eastAsia="ja-JP"/>
        </w:rPr>
        <w:t>dividend</w:t>
      </w:r>
      <w:r w:rsidR="0008747C">
        <w:rPr>
          <w:sz w:val="24"/>
          <w:lang w:eastAsia="ja-JP"/>
        </w:rPr>
        <w:t>-</w:t>
      </w:r>
      <w:r w:rsidR="006E75F1">
        <w:rPr>
          <w:rFonts w:hint="eastAsia"/>
          <w:sz w:val="24"/>
          <w:lang w:eastAsia="ja-JP"/>
        </w:rPr>
        <w:t xml:space="preserve">collecting </w:t>
      </w:r>
      <w:r w:rsidR="00440147">
        <w:rPr>
          <w:rFonts w:hint="eastAsia"/>
          <w:sz w:val="24"/>
          <w:lang w:eastAsia="ja-JP"/>
        </w:rPr>
        <w:t>inve</w:t>
      </w:r>
      <w:r w:rsidR="00440147">
        <w:rPr>
          <w:rFonts w:hint="eastAsia"/>
          <w:sz w:val="24"/>
          <w:lang w:eastAsia="ja-JP"/>
        </w:rPr>
        <w:t>s</w:t>
      </w:r>
      <w:r w:rsidR="00440147">
        <w:rPr>
          <w:rFonts w:hint="eastAsia"/>
          <w:sz w:val="24"/>
          <w:lang w:eastAsia="ja-JP"/>
        </w:rPr>
        <w:t>tor</w:t>
      </w:r>
      <w:r w:rsidR="00817A74">
        <w:rPr>
          <w:rFonts w:hint="eastAsia"/>
          <w:sz w:val="24"/>
          <w:lang w:eastAsia="ja-JP"/>
        </w:rPr>
        <w:t>s</w:t>
      </w:r>
      <w:r w:rsidR="00DA0481">
        <w:rPr>
          <w:rFonts w:hint="eastAsia"/>
          <w:sz w:val="24"/>
          <w:lang w:eastAsia="ja-JP"/>
        </w:rPr>
        <w:t xml:space="preserve"> is 0.</w:t>
      </w:r>
      <w:r w:rsidR="00F004C2">
        <w:rPr>
          <w:rFonts w:hint="eastAsia"/>
          <w:sz w:val="24"/>
          <w:lang w:eastAsia="ja-JP"/>
        </w:rPr>
        <w:t>29</w:t>
      </w:r>
      <w:r w:rsidR="00046672">
        <w:rPr>
          <w:rFonts w:hint="eastAsia"/>
          <w:sz w:val="24"/>
          <w:lang w:eastAsia="ja-JP"/>
        </w:rPr>
        <w:t>5</w:t>
      </w:r>
      <w:r w:rsidR="00DA0481">
        <w:rPr>
          <w:rFonts w:hint="eastAsia"/>
          <w:sz w:val="24"/>
          <w:lang w:eastAsia="ja-JP"/>
        </w:rPr>
        <w:t xml:space="preserve"> (significantly different from zero</w:t>
      </w:r>
      <w:r w:rsidR="009F2308">
        <w:rPr>
          <w:rFonts w:hint="eastAsia"/>
          <w:sz w:val="24"/>
          <w:lang w:eastAsia="ja-JP"/>
        </w:rPr>
        <w:t xml:space="preserve"> at </w:t>
      </w:r>
      <w:r w:rsidR="005228B1">
        <w:rPr>
          <w:sz w:val="24"/>
          <w:lang w:eastAsia="ja-JP"/>
        </w:rPr>
        <w:t xml:space="preserve">the </w:t>
      </w:r>
      <w:r w:rsidR="009F2308">
        <w:rPr>
          <w:rFonts w:hint="eastAsia"/>
          <w:sz w:val="24"/>
          <w:lang w:eastAsia="ja-JP"/>
        </w:rPr>
        <w:t>1% level</w:t>
      </w:r>
      <w:r w:rsidR="003A37FA">
        <w:rPr>
          <w:sz w:val="24"/>
          <w:lang w:eastAsia="ja-JP"/>
        </w:rPr>
        <w:t>,</w:t>
      </w:r>
      <w:r w:rsidR="008B4294">
        <w:rPr>
          <w:sz w:val="24"/>
          <w:lang w:eastAsia="ja-JP"/>
        </w:rPr>
        <w:t xml:space="preserve"> </w:t>
      </w:r>
      <w:r w:rsidR="00C1119A">
        <w:rPr>
          <w:sz w:val="24"/>
          <w:lang w:eastAsia="ja-JP"/>
        </w:rPr>
        <w:t>two-sided t-test</w:t>
      </w:r>
      <w:r w:rsidR="00DA0481">
        <w:rPr>
          <w:rFonts w:hint="eastAsia"/>
          <w:sz w:val="24"/>
          <w:lang w:eastAsia="ja-JP"/>
        </w:rPr>
        <w:t>), which ind</w:t>
      </w:r>
      <w:r w:rsidR="00DA0481">
        <w:rPr>
          <w:rFonts w:hint="eastAsia"/>
          <w:sz w:val="24"/>
          <w:lang w:eastAsia="ja-JP"/>
        </w:rPr>
        <w:t>i</w:t>
      </w:r>
      <w:r w:rsidR="00DA0481">
        <w:rPr>
          <w:rFonts w:hint="eastAsia"/>
          <w:sz w:val="24"/>
          <w:lang w:eastAsia="ja-JP"/>
        </w:rPr>
        <w:t xml:space="preserve">cates that prices are on average </w:t>
      </w:r>
      <w:r w:rsidR="00F004C2">
        <w:rPr>
          <w:rFonts w:hint="eastAsia"/>
          <w:sz w:val="24"/>
          <w:lang w:eastAsia="ja-JP"/>
        </w:rPr>
        <w:t>29.</w:t>
      </w:r>
      <w:r w:rsidR="00046672">
        <w:rPr>
          <w:rFonts w:hint="eastAsia"/>
          <w:sz w:val="24"/>
          <w:lang w:eastAsia="ja-JP"/>
        </w:rPr>
        <w:t>5</w:t>
      </w:r>
      <w:r w:rsidR="00DA0481">
        <w:rPr>
          <w:rFonts w:hint="eastAsia"/>
          <w:sz w:val="24"/>
          <w:lang w:eastAsia="ja-JP"/>
        </w:rPr>
        <w:t xml:space="preserve">% higher than </w:t>
      </w:r>
      <w:r w:rsidR="00C40F67">
        <w:rPr>
          <w:sz w:val="24"/>
          <w:lang w:eastAsia="ja-JP"/>
        </w:rPr>
        <w:t xml:space="preserve">the </w:t>
      </w:r>
      <w:r w:rsidR="00DA0481">
        <w:rPr>
          <w:rFonts w:hint="eastAsia"/>
          <w:sz w:val="24"/>
          <w:lang w:eastAsia="ja-JP"/>
        </w:rPr>
        <w:t>fundamental</w:t>
      </w:r>
      <w:r w:rsidR="00C40F67">
        <w:rPr>
          <w:sz w:val="24"/>
          <w:lang w:eastAsia="ja-JP"/>
        </w:rPr>
        <w:t xml:space="preserve"> value</w:t>
      </w:r>
      <w:r w:rsidR="00DA0481">
        <w:rPr>
          <w:rFonts w:hint="eastAsia"/>
          <w:sz w:val="24"/>
          <w:lang w:eastAsia="ja-JP"/>
        </w:rPr>
        <w:t xml:space="preserve">. </w:t>
      </w:r>
      <w:r w:rsidR="003B1C1C">
        <w:rPr>
          <w:rFonts w:hint="eastAsia"/>
          <w:sz w:val="24"/>
          <w:lang w:eastAsia="ja-JP"/>
        </w:rPr>
        <w:t xml:space="preserve">On the other hand, </w:t>
      </w:r>
      <w:r w:rsidR="009F2308">
        <w:rPr>
          <w:rFonts w:hint="eastAsia"/>
          <w:sz w:val="24"/>
          <w:lang w:eastAsia="ja-JP"/>
        </w:rPr>
        <w:t xml:space="preserve">the average </w:t>
      </w:r>
      <w:r w:rsidR="009F2308" w:rsidRPr="001042BE">
        <w:rPr>
          <w:rFonts w:hint="eastAsia"/>
          <w:i/>
          <w:sz w:val="24"/>
          <w:lang w:eastAsia="ja-JP"/>
        </w:rPr>
        <w:t>Period-RD</w:t>
      </w:r>
      <w:r w:rsidR="009F2308">
        <w:rPr>
          <w:rFonts w:hint="eastAsia"/>
          <w:sz w:val="24"/>
          <w:lang w:eastAsia="ja-JP"/>
        </w:rPr>
        <w:t xml:space="preserve"> across periods with only </w:t>
      </w:r>
      <w:r w:rsidR="000076F9">
        <w:rPr>
          <w:rFonts w:hint="eastAsia"/>
          <w:sz w:val="24"/>
          <w:lang w:eastAsia="ja-JP"/>
        </w:rPr>
        <w:t>s</w:t>
      </w:r>
      <w:r w:rsidR="006E75F1">
        <w:rPr>
          <w:rFonts w:hint="eastAsia"/>
          <w:sz w:val="24"/>
          <w:lang w:eastAsia="ja-JP"/>
        </w:rPr>
        <w:t>peculating</w:t>
      </w:r>
      <w:r w:rsidR="009F2308">
        <w:rPr>
          <w:rFonts w:hint="eastAsia"/>
          <w:sz w:val="24"/>
          <w:lang w:eastAsia="ja-JP"/>
        </w:rPr>
        <w:t xml:space="preserve"> </w:t>
      </w:r>
      <w:r w:rsidR="00440147">
        <w:rPr>
          <w:rFonts w:hint="eastAsia"/>
          <w:sz w:val="24"/>
          <w:lang w:eastAsia="ja-JP"/>
        </w:rPr>
        <w:t>investor</w:t>
      </w:r>
      <w:r w:rsidR="00817A74">
        <w:rPr>
          <w:rFonts w:hint="eastAsia"/>
          <w:sz w:val="24"/>
          <w:lang w:eastAsia="ja-JP"/>
        </w:rPr>
        <w:t>s</w:t>
      </w:r>
      <w:r w:rsidR="009F2308">
        <w:rPr>
          <w:rFonts w:hint="eastAsia"/>
          <w:sz w:val="24"/>
          <w:lang w:eastAsia="ja-JP"/>
        </w:rPr>
        <w:t xml:space="preserve"> is much higher</w:t>
      </w:r>
      <w:r w:rsidR="00EC5B41">
        <w:rPr>
          <w:rFonts w:hint="eastAsia"/>
          <w:sz w:val="24"/>
          <w:lang w:eastAsia="ja-JP"/>
        </w:rPr>
        <w:t xml:space="preserve"> (0.741)</w:t>
      </w:r>
      <w:r w:rsidR="006E4B7F">
        <w:rPr>
          <w:rFonts w:hint="eastAsia"/>
          <w:sz w:val="24"/>
          <w:lang w:eastAsia="ja-JP"/>
        </w:rPr>
        <w:t xml:space="preserve"> </w:t>
      </w:r>
      <w:r w:rsidR="009F2308">
        <w:rPr>
          <w:rFonts w:hint="eastAsia"/>
          <w:sz w:val="24"/>
          <w:lang w:eastAsia="ja-JP"/>
        </w:rPr>
        <w:t>and the difference (0.4</w:t>
      </w:r>
      <w:r w:rsidR="00F004C2">
        <w:rPr>
          <w:rFonts w:hint="eastAsia"/>
          <w:sz w:val="24"/>
          <w:lang w:eastAsia="ja-JP"/>
        </w:rPr>
        <w:t>4</w:t>
      </w:r>
      <w:r w:rsidR="00046672">
        <w:rPr>
          <w:rFonts w:hint="eastAsia"/>
          <w:sz w:val="24"/>
          <w:lang w:eastAsia="ja-JP"/>
        </w:rPr>
        <w:t>6</w:t>
      </w:r>
      <w:r w:rsidR="009F2308">
        <w:rPr>
          <w:rFonts w:hint="eastAsia"/>
          <w:sz w:val="24"/>
          <w:lang w:eastAsia="ja-JP"/>
        </w:rPr>
        <w:t xml:space="preserve">) </w:t>
      </w:r>
      <w:r w:rsidR="008B4294">
        <w:rPr>
          <w:sz w:val="24"/>
          <w:lang w:eastAsia="ja-JP"/>
        </w:rPr>
        <w:t>is</w:t>
      </w:r>
      <w:r w:rsidR="009F2308">
        <w:rPr>
          <w:rFonts w:hint="eastAsia"/>
          <w:sz w:val="24"/>
          <w:lang w:eastAsia="ja-JP"/>
        </w:rPr>
        <w:t xml:space="preserve"> </w:t>
      </w:r>
      <w:r w:rsidR="009F1326">
        <w:rPr>
          <w:sz w:val="24"/>
          <w:lang w:eastAsia="ja-JP"/>
        </w:rPr>
        <w:t xml:space="preserve">statistically </w:t>
      </w:r>
      <w:r w:rsidR="009F2308">
        <w:rPr>
          <w:rFonts w:hint="eastAsia"/>
          <w:sz w:val="24"/>
          <w:lang w:eastAsia="ja-JP"/>
        </w:rPr>
        <w:t xml:space="preserve">significant at </w:t>
      </w:r>
      <w:r w:rsidR="00904294">
        <w:rPr>
          <w:sz w:val="24"/>
          <w:lang w:eastAsia="ja-JP"/>
        </w:rPr>
        <w:t xml:space="preserve">the </w:t>
      </w:r>
      <w:r w:rsidR="009F2308">
        <w:rPr>
          <w:rFonts w:hint="eastAsia"/>
          <w:sz w:val="24"/>
          <w:lang w:eastAsia="ja-JP"/>
        </w:rPr>
        <w:t>1% level</w:t>
      </w:r>
      <w:r w:rsidR="008B4294">
        <w:rPr>
          <w:sz w:val="24"/>
          <w:lang w:eastAsia="ja-JP"/>
        </w:rPr>
        <w:t xml:space="preserve"> (</w:t>
      </w:r>
      <w:r w:rsidR="00C1119A">
        <w:rPr>
          <w:sz w:val="24"/>
          <w:lang w:eastAsia="ja-JP"/>
        </w:rPr>
        <w:t>two-sided t-test</w:t>
      </w:r>
      <w:r w:rsidR="008B4294">
        <w:rPr>
          <w:sz w:val="24"/>
          <w:lang w:eastAsia="ja-JP"/>
        </w:rPr>
        <w:t>)</w:t>
      </w:r>
      <w:r w:rsidR="009F2308">
        <w:rPr>
          <w:rFonts w:hint="eastAsia"/>
          <w:sz w:val="24"/>
          <w:lang w:eastAsia="ja-JP"/>
        </w:rPr>
        <w:t xml:space="preserve">. This suggests that </w:t>
      </w:r>
      <w:r w:rsidR="00CF234F">
        <w:rPr>
          <w:rFonts w:hint="eastAsia"/>
          <w:sz w:val="24"/>
          <w:lang w:eastAsia="ja-JP"/>
        </w:rPr>
        <w:t xml:space="preserve">with </w:t>
      </w:r>
      <w:r w:rsidR="00F85140">
        <w:rPr>
          <w:sz w:val="24"/>
          <w:lang w:eastAsia="ja-JP"/>
        </w:rPr>
        <w:t>high-liquidity</w:t>
      </w:r>
      <w:r w:rsidR="0073426C">
        <w:rPr>
          <w:rFonts w:hint="eastAsia"/>
          <w:sz w:val="24"/>
          <w:lang w:eastAsia="ja-JP"/>
        </w:rPr>
        <w:t xml:space="preserve">, </w:t>
      </w:r>
      <w:r w:rsidR="006E75F1">
        <w:rPr>
          <w:rFonts w:hint="eastAsia"/>
          <w:sz w:val="24"/>
          <w:lang w:eastAsia="ja-JP"/>
        </w:rPr>
        <w:t xml:space="preserve">speculating </w:t>
      </w:r>
      <w:r w:rsidR="00440147">
        <w:rPr>
          <w:rFonts w:hint="eastAsia"/>
          <w:sz w:val="24"/>
          <w:lang w:eastAsia="ja-JP"/>
        </w:rPr>
        <w:t>investor</w:t>
      </w:r>
      <w:r w:rsidR="00817A74">
        <w:rPr>
          <w:rFonts w:hint="eastAsia"/>
          <w:sz w:val="24"/>
          <w:lang w:eastAsia="ja-JP"/>
        </w:rPr>
        <w:t>s</w:t>
      </w:r>
      <w:r w:rsidR="009F2308">
        <w:rPr>
          <w:rFonts w:hint="eastAsia"/>
          <w:sz w:val="24"/>
          <w:lang w:eastAsia="ja-JP"/>
        </w:rPr>
        <w:t xml:space="preserve"> amplify the magnitude of </w:t>
      </w:r>
      <w:r w:rsidR="00050E15" w:rsidRPr="00425B42">
        <w:rPr>
          <w:rFonts w:hint="eastAsia"/>
          <w:sz w:val="24"/>
          <w:lang w:eastAsia="ja-JP"/>
        </w:rPr>
        <w:t>overpricing</w:t>
      </w:r>
      <w:r w:rsidR="00D063A5">
        <w:rPr>
          <w:sz w:val="24"/>
          <w:lang w:eastAsia="ja-JP"/>
        </w:rPr>
        <w:t>.</w:t>
      </w:r>
      <w:r w:rsidR="0073426C">
        <w:rPr>
          <w:rFonts w:hint="eastAsia"/>
          <w:sz w:val="24"/>
          <w:lang w:eastAsia="ja-JP"/>
        </w:rPr>
        <w:t xml:space="preserve"> </w:t>
      </w:r>
      <w:r w:rsidR="00AC5E54">
        <w:rPr>
          <w:sz w:val="24"/>
          <w:lang w:eastAsia="ja-JP"/>
        </w:rPr>
        <w:t>As seen in Section 3.3, i</w:t>
      </w:r>
      <w:r w:rsidR="00382FC1">
        <w:rPr>
          <w:sz w:val="24"/>
          <w:lang w:eastAsia="ja-JP"/>
        </w:rPr>
        <w:t xml:space="preserve">f </w:t>
      </w:r>
      <w:r w:rsidR="00BA7D1B">
        <w:rPr>
          <w:rFonts w:hint="eastAsia"/>
          <w:sz w:val="24"/>
          <w:lang w:eastAsia="ja-JP"/>
        </w:rPr>
        <w:t>s</w:t>
      </w:r>
      <w:r w:rsidR="00066D56">
        <w:rPr>
          <w:rFonts w:hint="eastAsia"/>
          <w:sz w:val="24"/>
          <w:lang w:eastAsia="ja-JP"/>
        </w:rPr>
        <w:t>peculating</w:t>
      </w:r>
      <w:r w:rsidR="00050E15">
        <w:rPr>
          <w:rFonts w:hint="eastAsia"/>
          <w:sz w:val="24"/>
          <w:lang w:eastAsia="ja-JP"/>
        </w:rPr>
        <w:t xml:space="preserve"> </w:t>
      </w:r>
      <w:r w:rsidR="00440147">
        <w:rPr>
          <w:rFonts w:hint="eastAsia"/>
          <w:sz w:val="24"/>
          <w:lang w:eastAsia="ja-JP"/>
        </w:rPr>
        <w:t>investor</w:t>
      </w:r>
      <w:r w:rsidR="00817A74">
        <w:rPr>
          <w:rFonts w:hint="eastAsia"/>
          <w:sz w:val="24"/>
          <w:lang w:eastAsia="ja-JP"/>
        </w:rPr>
        <w:t>s</w:t>
      </w:r>
      <w:r w:rsidR="00050E15">
        <w:rPr>
          <w:rFonts w:hint="eastAsia"/>
          <w:sz w:val="24"/>
          <w:lang w:eastAsia="ja-JP"/>
        </w:rPr>
        <w:t xml:space="preserve"> </w:t>
      </w:r>
      <w:r w:rsidR="00402739">
        <w:rPr>
          <w:sz w:val="24"/>
          <w:lang w:eastAsia="ja-JP"/>
        </w:rPr>
        <w:t>h</w:t>
      </w:r>
      <w:r w:rsidR="00402739">
        <w:rPr>
          <w:rFonts w:hint="eastAsia"/>
          <w:sz w:val="24"/>
          <w:lang w:eastAsia="ja-JP"/>
        </w:rPr>
        <w:t>ave difficult</w:t>
      </w:r>
      <w:r w:rsidR="00402739">
        <w:rPr>
          <w:sz w:val="24"/>
          <w:lang w:eastAsia="ja-JP"/>
        </w:rPr>
        <w:t>y</w:t>
      </w:r>
      <w:r w:rsidR="00402739">
        <w:rPr>
          <w:rFonts w:hint="eastAsia"/>
          <w:sz w:val="24"/>
          <w:lang w:eastAsia="ja-JP"/>
        </w:rPr>
        <w:t xml:space="preserve"> in forming rational expect</w:t>
      </w:r>
      <w:r w:rsidR="00402739">
        <w:rPr>
          <w:rFonts w:hint="eastAsia"/>
          <w:sz w:val="24"/>
          <w:lang w:eastAsia="ja-JP"/>
        </w:rPr>
        <w:t>a</w:t>
      </w:r>
      <w:r w:rsidR="00402739">
        <w:rPr>
          <w:rFonts w:hint="eastAsia"/>
          <w:sz w:val="24"/>
          <w:lang w:eastAsia="ja-JP"/>
        </w:rPr>
        <w:t>tions</w:t>
      </w:r>
      <w:r w:rsidR="00AC5E54">
        <w:rPr>
          <w:sz w:val="24"/>
          <w:lang w:eastAsia="ja-JP"/>
        </w:rPr>
        <w:t xml:space="preserve"> of future prices, they </w:t>
      </w:r>
      <w:r w:rsidR="00E61BE4">
        <w:rPr>
          <w:sz w:val="24"/>
          <w:lang w:eastAsia="ja-JP"/>
        </w:rPr>
        <w:t xml:space="preserve">(e.g. traders of G2) </w:t>
      </w:r>
      <w:r w:rsidR="005E327E">
        <w:rPr>
          <w:sz w:val="24"/>
          <w:lang w:eastAsia="ja-JP"/>
        </w:rPr>
        <w:t xml:space="preserve">may </w:t>
      </w:r>
      <w:r w:rsidR="009536E4">
        <w:rPr>
          <w:sz w:val="24"/>
          <w:lang w:eastAsia="ja-JP"/>
        </w:rPr>
        <w:t xml:space="preserve">buy the security at prices over 50 </w:t>
      </w:r>
      <w:r w:rsidR="005E327E">
        <w:rPr>
          <w:sz w:val="24"/>
          <w:lang w:eastAsia="ja-JP"/>
        </w:rPr>
        <w:t>if</w:t>
      </w:r>
      <w:r w:rsidR="00402739">
        <w:rPr>
          <w:sz w:val="24"/>
          <w:lang w:eastAsia="ja-JP"/>
        </w:rPr>
        <w:t xml:space="preserve"> they expect </w:t>
      </w:r>
      <w:r w:rsidR="00AC5E54">
        <w:rPr>
          <w:sz w:val="24"/>
          <w:lang w:eastAsia="ja-JP"/>
        </w:rPr>
        <w:t xml:space="preserve">to </w:t>
      </w:r>
      <w:r w:rsidR="00E66E66">
        <w:rPr>
          <w:sz w:val="24"/>
          <w:lang w:eastAsia="ja-JP"/>
        </w:rPr>
        <w:t xml:space="preserve">find </w:t>
      </w:r>
      <w:r w:rsidR="00D063A5">
        <w:rPr>
          <w:sz w:val="24"/>
          <w:lang w:eastAsia="ja-JP"/>
        </w:rPr>
        <w:t xml:space="preserve">future buyers </w:t>
      </w:r>
      <w:r w:rsidR="00E61BE4">
        <w:rPr>
          <w:sz w:val="24"/>
          <w:lang w:eastAsia="ja-JP"/>
        </w:rPr>
        <w:t xml:space="preserve">(e.g. some traders of G3) </w:t>
      </w:r>
      <w:r w:rsidR="00E66E66">
        <w:rPr>
          <w:sz w:val="24"/>
          <w:lang w:eastAsia="ja-JP"/>
        </w:rPr>
        <w:t xml:space="preserve">who </w:t>
      </w:r>
      <w:r w:rsidR="005E327E">
        <w:rPr>
          <w:sz w:val="24"/>
          <w:lang w:eastAsia="ja-JP"/>
        </w:rPr>
        <w:t xml:space="preserve">may </w:t>
      </w:r>
      <w:r w:rsidR="00E66E66">
        <w:rPr>
          <w:sz w:val="24"/>
          <w:lang w:eastAsia="ja-JP"/>
        </w:rPr>
        <w:t xml:space="preserve">purchase the securities at </w:t>
      </w:r>
      <w:r w:rsidR="008A30B4">
        <w:rPr>
          <w:sz w:val="24"/>
          <w:lang w:eastAsia="ja-JP"/>
        </w:rPr>
        <w:t>even higher prices</w:t>
      </w:r>
      <w:r w:rsidR="00E66E66">
        <w:rPr>
          <w:sz w:val="24"/>
          <w:lang w:eastAsia="ja-JP"/>
        </w:rPr>
        <w:t xml:space="preserve"> with the hope of </w:t>
      </w:r>
      <w:r w:rsidR="005E327E">
        <w:rPr>
          <w:sz w:val="24"/>
          <w:lang w:eastAsia="ja-JP"/>
        </w:rPr>
        <w:t xml:space="preserve">subsequent </w:t>
      </w:r>
      <w:r w:rsidR="00E66E66">
        <w:rPr>
          <w:sz w:val="24"/>
          <w:lang w:eastAsia="ja-JP"/>
        </w:rPr>
        <w:t>price increases</w:t>
      </w:r>
      <w:r w:rsidR="008A30B4">
        <w:rPr>
          <w:sz w:val="24"/>
          <w:lang w:eastAsia="ja-JP"/>
        </w:rPr>
        <w:t>.</w:t>
      </w:r>
      <w:r w:rsidR="006E4B7F">
        <w:rPr>
          <w:rFonts w:hint="eastAsia"/>
          <w:sz w:val="24"/>
          <w:lang w:eastAsia="ja-JP"/>
        </w:rPr>
        <w:t xml:space="preserve"> </w:t>
      </w:r>
      <w:r w:rsidR="00382FC1">
        <w:rPr>
          <w:sz w:val="24"/>
          <w:lang w:eastAsia="ja-JP"/>
        </w:rPr>
        <w:t xml:space="preserve">This </w:t>
      </w:r>
      <w:r w:rsidR="00D063A5">
        <w:rPr>
          <w:sz w:val="24"/>
          <w:lang w:eastAsia="ja-JP"/>
        </w:rPr>
        <w:t xml:space="preserve">“hot potato” game </w:t>
      </w:r>
      <w:r w:rsidR="00382FC1">
        <w:rPr>
          <w:sz w:val="24"/>
          <w:lang w:eastAsia="ja-JP"/>
        </w:rPr>
        <w:t xml:space="preserve">is </w:t>
      </w:r>
      <w:r w:rsidR="00D063A5">
        <w:rPr>
          <w:sz w:val="24"/>
          <w:lang w:eastAsia="ja-JP"/>
        </w:rPr>
        <w:t xml:space="preserve">more </w:t>
      </w:r>
      <w:r w:rsidR="00382FC1">
        <w:rPr>
          <w:sz w:val="24"/>
          <w:lang w:eastAsia="ja-JP"/>
        </w:rPr>
        <w:t xml:space="preserve">likely </w:t>
      </w:r>
      <w:r w:rsidR="008A30B4">
        <w:rPr>
          <w:sz w:val="24"/>
          <w:lang w:eastAsia="ja-JP"/>
        </w:rPr>
        <w:t xml:space="preserve">to occur </w:t>
      </w:r>
      <w:r w:rsidR="00382FC1">
        <w:rPr>
          <w:sz w:val="24"/>
          <w:lang w:eastAsia="ja-JP"/>
        </w:rPr>
        <w:t xml:space="preserve">in </w:t>
      </w:r>
      <w:r w:rsidR="005E327E">
        <w:rPr>
          <w:sz w:val="24"/>
          <w:lang w:eastAsia="ja-JP"/>
        </w:rPr>
        <w:t xml:space="preserve">the </w:t>
      </w:r>
      <w:r w:rsidR="00382FC1">
        <w:rPr>
          <w:sz w:val="24"/>
          <w:lang w:eastAsia="ja-JP"/>
        </w:rPr>
        <w:t>high-liquidity</w:t>
      </w:r>
      <w:r w:rsidR="00D063A5">
        <w:rPr>
          <w:sz w:val="24"/>
          <w:lang w:eastAsia="ja-JP"/>
        </w:rPr>
        <w:t xml:space="preserve"> (H) treatments</w:t>
      </w:r>
      <w:r w:rsidR="0043538C">
        <w:rPr>
          <w:sz w:val="24"/>
          <w:lang w:eastAsia="ja-JP"/>
        </w:rPr>
        <w:t xml:space="preserve"> where traders have </w:t>
      </w:r>
      <w:r w:rsidR="00DD2B46">
        <w:rPr>
          <w:sz w:val="24"/>
          <w:lang w:eastAsia="ja-JP"/>
        </w:rPr>
        <w:t>more</w:t>
      </w:r>
      <w:r w:rsidR="0043538C">
        <w:rPr>
          <w:sz w:val="24"/>
          <w:lang w:eastAsia="ja-JP"/>
        </w:rPr>
        <w:t xml:space="preserve"> cash on hand</w:t>
      </w:r>
      <w:r w:rsidR="005E327E">
        <w:rPr>
          <w:sz w:val="24"/>
          <w:lang w:eastAsia="ja-JP"/>
        </w:rPr>
        <w:t>.</w:t>
      </w:r>
      <w:r w:rsidR="00382FC1">
        <w:rPr>
          <w:sz w:val="24"/>
          <w:lang w:eastAsia="ja-JP"/>
        </w:rPr>
        <w:t xml:space="preserve"> </w:t>
      </w:r>
      <w:r w:rsidR="00896067">
        <w:rPr>
          <w:rStyle w:val="Funotenzeichen"/>
          <w:sz w:val="24"/>
          <w:lang w:eastAsia="ja-JP"/>
        </w:rPr>
        <w:footnoteReference w:id="36"/>
      </w:r>
      <w:r w:rsidR="00833CD3" w:rsidRPr="00833CD3">
        <w:rPr>
          <w:sz w:val="24"/>
          <w:vertAlign w:val="superscript"/>
          <w:lang w:eastAsia="ja-JP"/>
        </w:rPr>
        <w:t>,</w:t>
      </w:r>
      <w:r w:rsidR="00821717">
        <w:rPr>
          <w:sz w:val="24"/>
          <w:lang w:eastAsia="ja-JP"/>
        </w:rPr>
        <w:t xml:space="preserve"> </w:t>
      </w:r>
      <w:r w:rsidR="00821717">
        <w:rPr>
          <w:rStyle w:val="Funotenzeichen"/>
          <w:sz w:val="24"/>
          <w:lang w:eastAsia="ja-JP"/>
        </w:rPr>
        <w:footnoteReference w:id="37"/>
      </w:r>
      <w:r w:rsidR="00F07DF0">
        <w:rPr>
          <w:sz w:val="24"/>
          <w:lang w:eastAsia="ja-JP"/>
        </w:rPr>
        <w:t xml:space="preserve"> We conjecture that </w:t>
      </w:r>
      <w:r w:rsidR="00094264">
        <w:rPr>
          <w:sz w:val="24"/>
          <w:lang w:eastAsia="ja-JP"/>
        </w:rPr>
        <w:t xml:space="preserve">this </w:t>
      </w:r>
      <w:r w:rsidR="00E66E66">
        <w:rPr>
          <w:sz w:val="24"/>
          <w:lang w:eastAsia="ja-JP"/>
        </w:rPr>
        <w:t xml:space="preserve">hot potato game among speculating investors </w:t>
      </w:r>
      <w:r w:rsidR="00094264">
        <w:rPr>
          <w:sz w:val="24"/>
          <w:lang w:eastAsia="ja-JP"/>
        </w:rPr>
        <w:t xml:space="preserve">causes </w:t>
      </w:r>
      <w:r w:rsidR="0073426C">
        <w:rPr>
          <w:rFonts w:hint="eastAsia"/>
          <w:sz w:val="24"/>
          <w:lang w:eastAsia="ja-JP"/>
        </w:rPr>
        <w:t>pos</w:t>
      </w:r>
      <w:r w:rsidR="0073426C">
        <w:rPr>
          <w:rFonts w:hint="eastAsia"/>
          <w:sz w:val="24"/>
          <w:lang w:eastAsia="ja-JP"/>
        </w:rPr>
        <w:t>i</w:t>
      </w:r>
      <w:r w:rsidR="0073426C">
        <w:rPr>
          <w:rFonts w:hint="eastAsia"/>
          <w:sz w:val="24"/>
          <w:lang w:eastAsia="ja-JP"/>
        </w:rPr>
        <w:t xml:space="preserve">tive price deviations from fundamentals </w:t>
      </w:r>
      <w:r w:rsidR="00094264">
        <w:rPr>
          <w:sz w:val="24"/>
          <w:lang w:eastAsia="ja-JP"/>
        </w:rPr>
        <w:t xml:space="preserve">to </w:t>
      </w:r>
      <w:r w:rsidR="003B699C">
        <w:rPr>
          <w:sz w:val="24"/>
          <w:lang w:eastAsia="ja-JP"/>
        </w:rPr>
        <w:t>persist</w:t>
      </w:r>
      <w:r w:rsidR="003B699C">
        <w:rPr>
          <w:rFonts w:hint="eastAsia"/>
          <w:sz w:val="24"/>
          <w:lang w:eastAsia="ja-JP"/>
        </w:rPr>
        <w:t xml:space="preserve"> </w:t>
      </w:r>
      <w:r w:rsidR="00775874">
        <w:rPr>
          <w:rFonts w:hint="eastAsia"/>
          <w:sz w:val="24"/>
          <w:lang w:eastAsia="ja-JP"/>
        </w:rPr>
        <w:t>over time</w:t>
      </w:r>
      <w:r w:rsidR="00E66E66">
        <w:rPr>
          <w:sz w:val="24"/>
          <w:lang w:eastAsia="ja-JP"/>
        </w:rPr>
        <w:t xml:space="preserve"> in H treatments</w:t>
      </w:r>
      <w:r w:rsidR="0073426C">
        <w:rPr>
          <w:rFonts w:hint="eastAsia"/>
          <w:sz w:val="24"/>
          <w:lang w:eastAsia="ja-JP"/>
        </w:rPr>
        <w:t>.</w:t>
      </w:r>
      <w:r w:rsidR="00E66E66">
        <w:rPr>
          <w:rStyle w:val="Funotenzeichen"/>
          <w:sz w:val="24"/>
          <w:lang w:eastAsia="ja-JP"/>
        </w:rPr>
        <w:footnoteReference w:id="38"/>
      </w:r>
      <w:r w:rsidR="00833CD3" w:rsidRPr="00833CD3">
        <w:rPr>
          <w:sz w:val="24"/>
          <w:vertAlign w:val="superscript"/>
          <w:lang w:eastAsia="ja-JP"/>
        </w:rPr>
        <w:t>,</w:t>
      </w:r>
      <w:r w:rsidR="00821717">
        <w:rPr>
          <w:sz w:val="24"/>
          <w:lang w:eastAsia="ja-JP"/>
        </w:rPr>
        <w:t xml:space="preserve"> </w:t>
      </w:r>
      <w:r w:rsidR="00821717">
        <w:rPr>
          <w:rStyle w:val="Funotenzeichen"/>
          <w:sz w:val="24"/>
          <w:lang w:eastAsia="ja-JP"/>
        </w:rPr>
        <w:footnoteReference w:id="39"/>
      </w:r>
    </w:p>
    <w:p w14:paraId="197CF79A" w14:textId="77CC7A35" w:rsidR="00B80FA3" w:rsidRDefault="003B699C" w:rsidP="00E71E9F">
      <w:pPr>
        <w:spacing w:line="480" w:lineRule="auto"/>
        <w:ind w:firstLine="720"/>
        <w:jc w:val="both"/>
        <w:rPr>
          <w:sz w:val="24"/>
          <w:lang w:eastAsia="ja-JP"/>
        </w:rPr>
      </w:pPr>
      <w:r>
        <w:rPr>
          <w:sz w:val="24"/>
          <w:lang w:eastAsia="ja-JP"/>
        </w:rPr>
        <w:t xml:space="preserve">In the </w:t>
      </w:r>
      <w:r w:rsidR="000076F9">
        <w:rPr>
          <w:rFonts w:hint="eastAsia"/>
          <w:sz w:val="24"/>
          <w:lang w:eastAsia="ja-JP"/>
        </w:rPr>
        <w:t xml:space="preserve">low-liquidity </w:t>
      </w:r>
      <w:r w:rsidR="00C1119A">
        <w:rPr>
          <w:sz w:val="24"/>
          <w:lang w:eastAsia="ja-JP"/>
        </w:rPr>
        <w:t>sessions</w:t>
      </w:r>
      <w:r w:rsidR="00894F07">
        <w:rPr>
          <w:rFonts w:hint="eastAsia"/>
          <w:sz w:val="24"/>
          <w:lang w:eastAsia="ja-JP"/>
        </w:rPr>
        <w:t xml:space="preserve">, the </w:t>
      </w:r>
      <w:r w:rsidR="00904294">
        <w:rPr>
          <w:rFonts w:hint="eastAsia"/>
          <w:sz w:val="24"/>
          <w:lang w:eastAsia="ja-JP"/>
        </w:rPr>
        <w:t xml:space="preserve">average </w:t>
      </w:r>
      <w:r w:rsidR="00904294">
        <w:rPr>
          <w:sz w:val="24"/>
          <w:lang w:eastAsia="ja-JP"/>
        </w:rPr>
        <w:t>of</w:t>
      </w:r>
      <w:r w:rsidR="00904294">
        <w:rPr>
          <w:rFonts w:hint="eastAsia"/>
          <w:sz w:val="24"/>
          <w:lang w:eastAsia="ja-JP"/>
        </w:rPr>
        <w:t xml:space="preserve"> </w:t>
      </w:r>
      <w:r w:rsidR="00904294" w:rsidRPr="00A656D2">
        <w:rPr>
          <w:rFonts w:hint="eastAsia"/>
          <w:i/>
          <w:sz w:val="24"/>
          <w:lang w:eastAsia="ja-JP"/>
        </w:rPr>
        <w:t>Period-RD</w:t>
      </w:r>
      <w:r w:rsidR="00904294">
        <w:rPr>
          <w:rFonts w:hint="eastAsia"/>
          <w:sz w:val="24"/>
          <w:lang w:eastAsia="ja-JP"/>
        </w:rPr>
        <w:t xml:space="preserve"> </w:t>
      </w:r>
      <w:r w:rsidR="00904294">
        <w:rPr>
          <w:sz w:val="24"/>
          <w:lang w:eastAsia="ja-JP"/>
        </w:rPr>
        <w:t xml:space="preserve">when </w:t>
      </w:r>
      <w:r w:rsidR="008C73A8">
        <w:rPr>
          <w:rFonts w:hint="eastAsia"/>
          <w:sz w:val="24"/>
          <w:lang w:eastAsia="ja-JP"/>
        </w:rPr>
        <w:t>dividend-collecting</w:t>
      </w:r>
      <w:r w:rsidR="00066D56">
        <w:rPr>
          <w:rFonts w:hint="eastAsia"/>
          <w:sz w:val="24"/>
          <w:lang w:eastAsia="ja-JP"/>
        </w:rPr>
        <w:t xml:space="preserve"> </w:t>
      </w:r>
      <w:r w:rsidR="00440147">
        <w:rPr>
          <w:rFonts w:hint="eastAsia"/>
          <w:sz w:val="24"/>
          <w:lang w:eastAsia="ja-JP"/>
        </w:rPr>
        <w:t>i</w:t>
      </w:r>
      <w:r w:rsidR="00440147">
        <w:rPr>
          <w:rFonts w:hint="eastAsia"/>
          <w:sz w:val="24"/>
          <w:lang w:eastAsia="ja-JP"/>
        </w:rPr>
        <w:t>n</w:t>
      </w:r>
      <w:r w:rsidR="00440147">
        <w:rPr>
          <w:rFonts w:hint="eastAsia"/>
          <w:sz w:val="24"/>
          <w:lang w:eastAsia="ja-JP"/>
        </w:rPr>
        <w:t>vestor</w:t>
      </w:r>
      <w:r w:rsidR="00343B90">
        <w:rPr>
          <w:rFonts w:hint="eastAsia"/>
          <w:sz w:val="24"/>
          <w:lang w:eastAsia="ja-JP"/>
        </w:rPr>
        <w:t>s</w:t>
      </w:r>
      <w:r w:rsidR="00AA66B6">
        <w:rPr>
          <w:sz w:val="24"/>
          <w:lang w:eastAsia="ja-JP"/>
        </w:rPr>
        <w:t xml:space="preserve"> </w:t>
      </w:r>
      <w:r w:rsidR="00904294">
        <w:rPr>
          <w:sz w:val="24"/>
          <w:lang w:eastAsia="ja-JP"/>
        </w:rPr>
        <w:t>are present</w:t>
      </w:r>
      <w:r w:rsidR="00AA66B6">
        <w:rPr>
          <w:sz w:val="24"/>
          <w:lang w:eastAsia="ja-JP"/>
        </w:rPr>
        <w:t xml:space="preserve"> </w:t>
      </w:r>
      <w:r w:rsidR="00894F07">
        <w:rPr>
          <w:rFonts w:hint="eastAsia"/>
          <w:sz w:val="24"/>
          <w:lang w:eastAsia="ja-JP"/>
        </w:rPr>
        <w:t xml:space="preserve">is </w:t>
      </w:r>
      <w:r w:rsidR="00D81000">
        <w:rPr>
          <w:rFonts w:ascii="MS Mincho" w:hAnsi="MS Mincho" w:hint="eastAsia"/>
          <w:sz w:val="24"/>
          <w:lang w:eastAsia="ja-JP"/>
        </w:rPr>
        <w:t>-</w:t>
      </w:r>
      <w:r w:rsidR="00D81000">
        <w:rPr>
          <w:rFonts w:hint="eastAsia"/>
          <w:sz w:val="24"/>
          <w:lang w:eastAsia="ja-JP"/>
        </w:rPr>
        <w:t>0.087,</w:t>
      </w:r>
      <w:r w:rsidR="00EC1CCF">
        <w:rPr>
          <w:rFonts w:hint="eastAsia"/>
          <w:sz w:val="24"/>
          <w:lang w:eastAsia="ja-JP"/>
        </w:rPr>
        <w:t xml:space="preserve"> </w:t>
      </w:r>
      <w:r w:rsidR="004E7B44">
        <w:rPr>
          <w:rFonts w:hint="eastAsia"/>
          <w:sz w:val="24"/>
          <w:lang w:eastAsia="ja-JP"/>
        </w:rPr>
        <w:t xml:space="preserve">which is small </w:t>
      </w:r>
      <w:r w:rsidR="001A7D50">
        <w:rPr>
          <w:sz w:val="24"/>
          <w:lang w:eastAsia="ja-JP"/>
        </w:rPr>
        <w:t>but</w:t>
      </w:r>
      <w:r w:rsidR="004E7B44">
        <w:rPr>
          <w:rFonts w:hint="eastAsia"/>
          <w:sz w:val="24"/>
          <w:lang w:eastAsia="ja-JP"/>
        </w:rPr>
        <w:t xml:space="preserve"> </w:t>
      </w:r>
      <w:r w:rsidR="00FC4400">
        <w:rPr>
          <w:sz w:val="24"/>
          <w:lang w:eastAsia="ja-JP"/>
        </w:rPr>
        <w:t xml:space="preserve">significantly </w:t>
      </w:r>
      <w:r w:rsidR="00D81000">
        <w:rPr>
          <w:rFonts w:hint="eastAsia"/>
          <w:sz w:val="24"/>
          <w:lang w:eastAsia="ja-JP"/>
        </w:rPr>
        <w:t xml:space="preserve">negative </w:t>
      </w:r>
      <w:r w:rsidR="002A16CE">
        <w:rPr>
          <w:sz w:val="24"/>
          <w:lang w:eastAsia="ja-JP"/>
        </w:rPr>
        <w:t>(</w:t>
      </w:r>
      <w:r w:rsidR="00894F07">
        <w:rPr>
          <w:rFonts w:hint="eastAsia"/>
          <w:sz w:val="24"/>
          <w:lang w:eastAsia="ja-JP"/>
        </w:rPr>
        <w:t xml:space="preserve">significantly different from zero at </w:t>
      </w:r>
      <w:r w:rsidR="00904294">
        <w:rPr>
          <w:sz w:val="24"/>
          <w:lang w:eastAsia="ja-JP"/>
        </w:rPr>
        <w:t xml:space="preserve">the </w:t>
      </w:r>
      <w:r w:rsidR="00894F07">
        <w:rPr>
          <w:rFonts w:hint="eastAsia"/>
          <w:sz w:val="24"/>
          <w:lang w:eastAsia="ja-JP"/>
        </w:rPr>
        <w:t>1% level</w:t>
      </w:r>
      <w:r w:rsidR="002A16CE">
        <w:rPr>
          <w:sz w:val="24"/>
          <w:lang w:eastAsia="ja-JP"/>
        </w:rPr>
        <w:t xml:space="preserve">, </w:t>
      </w:r>
      <w:r w:rsidR="00C1119A">
        <w:rPr>
          <w:sz w:val="24"/>
          <w:lang w:eastAsia="ja-JP"/>
        </w:rPr>
        <w:t>two-sided t-test</w:t>
      </w:r>
      <w:r w:rsidR="008B4294">
        <w:rPr>
          <w:sz w:val="24"/>
          <w:lang w:eastAsia="ja-JP"/>
        </w:rPr>
        <w:t>)</w:t>
      </w:r>
      <w:r w:rsidR="00D81000">
        <w:rPr>
          <w:rFonts w:hint="eastAsia"/>
          <w:sz w:val="24"/>
          <w:lang w:eastAsia="ja-JP"/>
        </w:rPr>
        <w:t xml:space="preserve">. This </w:t>
      </w:r>
      <w:r w:rsidR="003A37FA">
        <w:rPr>
          <w:sz w:val="24"/>
          <w:lang w:eastAsia="ja-JP"/>
        </w:rPr>
        <w:t xml:space="preserve">value </w:t>
      </w:r>
      <w:r w:rsidR="00A97318">
        <w:rPr>
          <w:rFonts w:hint="eastAsia"/>
          <w:sz w:val="24"/>
          <w:lang w:eastAsia="ja-JP"/>
        </w:rPr>
        <w:t>indicate</w:t>
      </w:r>
      <w:r w:rsidR="004E7B44">
        <w:rPr>
          <w:rFonts w:hint="eastAsia"/>
          <w:sz w:val="24"/>
          <w:lang w:eastAsia="ja-JP"/>
        </w:rPr>
        <w:t>s</w:t>
      </w:r>
      <w:r w:rsidR="00A97318">
        <w:rPr>
          <w:rFonts w:hint="eastAsia"/>
          <w:sz w:val="24"/>
          <w:lang w:eastAsia="ja-JP"/>
        </w:rPr>
        <w:t xml:space="preserve"> that the security prices </w:t>
      </w:r>
      <w:r w:rsidR="008B4294">
        <w:rPr>
          <w:sz w:val="24"/>
          <w:lang w:eastAsia="ja-JP"/>
        </w:rPr>
        <w:t>b</w:t>
      </w:r>
      <w:r w:rsidR="008B4294">
        <w:rPr>
          <w:sz w:val="24"/>
          <w:lang w:eastAsia="ja-JP"/>
        </w:rPr>
        <w:t>e</w:t>
      </w:r>
      <w:r w:rsidR="008B4294">
        <w:rPr>
          <w:sz w:val="24"/>
          <w:lang w:eastAsia="ja-JP"/>
        </w:rPr>
        <w:lastRenderedPageBreak/>
        <w:t>low</w:t>
      </w:r>
      <w:r w:rsidR="00A97318">
        <w:rPr>
          <w:rFonts w:hint="eastAsia"/>
          <w:sz w:val="24"/>
          <w:lang w:eastAsia="ja-JP"/>
        </w:rPr>
        <w:t xml:space="preserve"> </w:t>
      </w:r>
      <w:r w:rsidR="001A7D50">
        <w:rPr>
          <w:sz w:val="24"/>
          <w:lang w:eastAsia="ja-JP"/>
        </w:rPr>
        <w:t>50</w:t>
      </w:r>
      <w:r w:rsidR="00A97318">
        <w:rPr>
          <w:rFonts w:hint="eastAsia"/>
          <w:sz w:val="24"/>
          <w:lang w:eastAsia="ja-JP"/>
        </w:rPr>
        <w:t xml:space="preserve"> are not </w:t>
      </w:r>
      <w:r w:rsidR="00973EA5">
        <w:rPr>
          <w:rFonts w:hint="eastAsia"/>
          <w:sz w:val="24"/>
          <w:lang w:eastAsia="ja-JP"/>
        </w:rPr>
        <w:t>completely</w:t>
      </w:r>
      <w:r w:rsidR="00A97318">
        <w:rPr>
          <w:rFonts w:hint="eastAsia"/>
          <w:sz w:val="24"/>
          <w:lang w:eastAsia="ja-JP"/>
        </w:rPr>
        <w:t xml:space="preserve"> </w:t>
      </w:r>
      <w:r w:rsidR="004E7B44">
        <w:rPr>
          <w:rFonts w:hint="eastAsia"/>
          <w:sz w:val="24"/>
          <w:lang w:eastAsia="ja-JP"/>
        </w:rPr>
        <w:t xml:space="preserve">driven </w:t>
      </w:r>
      <w:r w:rsidR="00A67B33">
        <w:rPr>
          <w:sz w:val="24"/>
          <w:lang w:eastAsia="ja-JP"/>
        </w:rPr>
        <w:t>to fundamentals</w:t>
      </w:r>
      <w:r w:rsidR="004E7B44">
        <w:rPr>
          <w:rFonts w:hint="eastAsia"/>
          <w:sz w:val="24"/>
          <w:lang w:eastAsia="ja-JP"/>
        </w:rPr>
        <w:t xml:space="preserve"> </w:t>
      </w:r>
      <w:r w:rsidR="00A97318">
        <w:rPr>
          <w:rFonts w:hint="eastAsia"/>
          <w:sz w:val="24"/>
          <w:lang w:eastAsia="ja-JP"/>
        </w:rPr>
        <w:t xml:space="preserve">by the </w:t>
      </w:r>
      <w:r w:rsidR="00A97318">
        <w:rPr>
          <w:sz w:val="24"/>
          <w:lang w:eastAsia="ja-JP"/>
        </w:rPr>
        <w:t>purchases</w:t>
      </w:r>
      <w:r w:rsidR="00A97318">
        <w:rPr>
          <w:rFonts w:hint="eastAsia"/>
          <w:sz w:val="24"/>
          <w:lang w:eastAsia="ja-JP"/>
        </w:rPr>
        <w:t xml:space="preserve"> </w:t>
      </w:r>
      <w:r w:rsidR="004E7B44">
        <w:rPr>
          <w:rFonts w:hint="eastAsia"/>
          <w:sz w:val="24"/>
          <w:lang w:eastAsia="ja-JP"/>
        </w:rPr>
        <w:t xml:space="preserve">of </w:t>
      </w:r>
      <w:r w:rsidR="00A97318">
        <w:rPr>
          <w:rFonts w:hint="eastAsia"/>
          <w:sz w:val="24"/>
          <w:lang w:eastAsia="ja-JP"/>
        </w:rPr>
        <w:t xml:space="preserve">the </w:t>
      </w:r>
      <w:r w:rsidR="00FC4400">
        <w:rPr>
          <w:sz w:val="24"/>
          <w:lang w:eastAsia="ja-JP"/>
        </w:rPr>
        <w:t xml:space="preserve">dividend-collecting investors (the </w:t>
      </w:r>
      <w:r w:rsidR="00821717">
        <w:rPr>
          <w:sz w:val="24"/>
          <w:lang w:eastAsia="ja-JP"/>
        </w:rPr>
        <w:t>last</w:t>
      </w:r>
      <w:r w:rsidR="001A7D50">
        <w:rPr>
          <w:sz w:val="24"/>
          <w:lang w:eastAsia="ja-JP"/>
        </w:rPr>
        <w:t xml:space="preserve"> generation</w:t>
      </w:r>
      <w:r w:rsidR="00FC4400">
        <w:rPr>
          <w:sz w:val="24"/>
          <w:lang w:eastAsia="ja-JP"/>
        </w:rPr>
        <w:t>)</w:t>
      </w:r>
      <w:r w:rsidR="001A7D50">
        <w:rPr>
          <w:sz w:val="24"/>
          <w:lang w:eastAsia="ja-JP"/>
        </w:rPr>
        <w:t xml:space="preserve">. </w:t>
      </w:r>
      <w:r w:rsidR="004E7B44">
        <w:rPr>
          <w:rFonts w:hint="eastAsia"/>
          <w:sz w:val="24"/>
          <w:lang w:eastAsia="ja-JP"/>
        </w:rPr>
        <w:t xml:space="preserve">This imperfect arbitrage may be due </w:t>
      </w:r>
      <w:r w:rsidR="00E8369A">
        <w:rPr>
          <w:rFonts w:hint="eastAsia"/>
          <w:sz w:val="24"/>
          <w:lang w:eastAsia="ja-JP"/>
        </w:rPr>
        <w:t xml:space="preserve">to </w:t>
      </w:r>
      <w:r w:rsidR="001A7D50">
        <w:rPr>
          <w:sz w:val="24"/>
          <w:lang w:eastAsia="ja-JP"/>
        </w:rPr>
        <w:t xml:space="preserve">dividend-collecting </w:t>
      </w:r>
      <w:r w:rsidR="006F035B">
        <w:rPr>
          <w:sz w:val="24"/>
          <w:lang w:eastAsia="ja-JP"/>
        </w:rPr>
        <w:t>investors</w:t>
      </w:r>
      <w:r w:rsidR="006F035B">
        <w:rPr>
          <w:rFonts w:hint="eastAsia"/>
          <w:sz w:val="24"/>
          <w:lang w:eastAsia="ja-JP"/>
        </w:rPr>
        <w:t xml:space="preserve"> not hav</w:t>
      </w:r>
      <w:r w:rsidR="00A67B33">
        <w:rPr>
          <w:sz w:val="24"/>
          <w:lang w:eastAsia="ja-JP"/>
        </w:rPr>
        <w:t>ing</w:t>
      </w:r>
      <w:r w:rsidR="006F035B">
        <w:rPr>
          <w:rFonts w:hint="eastAsia"/>
          <w:sz w:val="24"/>
          <w:lang w:eastAsia="ja-JP"/>
        </w:rPr>
        <w:t xml:space="preserve"> </w:t>
      </w:r>
      <w:r w:rsidR="001A7D50">
        <w:rPr>
          <w:sz w:val="24"/>
          <w:lang w:eastAsia="ja-JP"/>
        </w:rPr>
        <w:t xml:space="preserve">strong incentive to buy securities at prices slightly lower than 50, nor having </w:t>
      </w:r>
      <w:r w:rsidR="004E7B44">
        <w:rPr>
          <w:rFonts w:hint="eastAsia"/>
          <w:sz w:val="24"/>
          <w:lang w:eastAsia="ja-JP"/>
        </w:rPr>
        <w:t xml:space="preserve">sufficient cash to buy securities </w:t>
      </w:r>
      <w:r w:rsidR="0008747C">
        <w:rPr>
          <w:sz w:val="24"/>
          <w:lang w:eastAsia="ja-JP"/>
        </w:rPr>
        <w:t xml:space="preserve">at </w:t>
      </w:r>
      <w:r w:rsidR="00AA66B6">
        <w:rPr>
          <w:sz w:val="24"/>
          <w:lang w:eastAsia="ja-JP"/>
        </w:rPr>
        <w:t>this level of liquidity</w:t>
      </w:r>
      <w:r w:rsidR="009536E4">
        <w:rPr>
          <w:sz w:val="24"/>
          <w:lang w:eastAsia="ja-JP"/>
        </w:rPr>
        <w:t xml:space="preserve"> </w:t>
      </w:r>
      <w:r w:rsidR="009536E4">
        <w:rPr>
          <w:rFonts w:hint="eastAsia"/>
          <w:sz w:val="24"/>
          <w:lang w:eastAsia="ja-JP"/>
        </w:rPr>
        <w:t>(C/A-ratio = 2)</w:t>
      </w:r>
      <w:r w:rsidR="00AA66B6">
        <w:rPr>
          <w:sz w:val="24"/>
          <w:lang w:eastAsia="ja-JP"/>
        </w:rPr>
        <w:t>.</w:t>
      </w:r>
      <w:r w:rsidR="004E7B44">
        <w:rPr>
          <w:rStyle w:val="Funotenzeichen"/>
          <w:sz w:val="24"/>
          <w:lang w:eastAsia="ja-JP"/>
        </w:rPr>
        <w:footnoteReference w:id="40"/>
      </w:r>
      <w:r w:rsidR="00AA66B6">
        <w:rPr>
          <w:sz w:val="24"/>
          <w:lang w:eastAsia="ja-JP"/>
        </w:rPr>
        <w:t xml:space="preserve"> </w:t>
      </w:r>
      <w:r w:rsidR="00821717">
        <w:rPr>
          <w:sz w:val="24"/>
          <w:lang w:eastAsia="ja-JP"/>
        </w:rPr>
        <w:t>In addition</w:t>
      </w:r>
      <w:r w:rsidR="00F55018">
        <w:rPr>
          <w:sz w:val="24"/>
          <w:lang w:eastAsia="ja-JP"/>
        </w:rPr>
        <w:t>, t</w:t>
      </w:r>
      <w:r w:rsidR="00126056">
        <w:rPr>
          <w:sz w:val="24"/>
          <w:lang w:eastAsia="ja-JP"/>
        </w:rPr>
        <w:t xml:space="preserve">he </w:t>
      </w:r>
      <w:r w:rsidR="00A97318">
        <w:rPr>
          <w:rFonts w:hint="eastAsia"/>
          <w:sz w:val="24"/>
          <w:lang w:eastAsia="ja-JP"/>
        </w:rPr>
        <w:t xml:space="preserve">average </w:t>
      </w:r>
      <w:r w:rsidR="00A97318" w:rsidRPr="001042BE">
        <w:rPr>
          <w:rFonts w:hint="eastAsia"/>
          <w:i/>
          <w:sz w:val="24"/>
          <w:lang w:eastAsia="ja-JP"/>
        </w:rPr>
        <w:t>Period-RD</w:t>
      </w:r>
      <w:r w:rsidR="00A97318">
        <w:rPr>
          <w:rFonts w:hint="eastAsia"/>
          <w:sz w:val="24"/>
          <w:lang w:eastAsia="ja-JP"/>
        </w:rPr>
        <w:t xml:space="preserve"> </w:t>
      </w:r>
      <w:r w:rsidR="00126056">
        <w:rPr>
          <w:sz w:val="24"/>
          <w:lang w:eastAsia="ja-JP"/>
        </w:rPr>
        <w:t xml:space="preserve">when only speculating investors are present </w:t>
      </w:r>
      <w:r w:rsidR="004E7B44">
        <w:rPr>
          <w:rFonts w:hint="eastAsia"/>
          <w:sz w:val="24"/>
          <w:lang w:eastAsia="ja-JP"/>
        </w:rPr>
        <w:t xml:space="preserve">is </w:t>
      </w:r>
      <w:r w:rsidR="00A97318">
        <w:rPr>
          <w:rFonts w:ascii="MS Mincho" w:hAnsi="MS Mincho" w:hint="eastAsia"/>
          <w:sz w:val="24"/>
          <w:lang w:eastAsia="ja-JP"/>
        </w:rPr>
        <w:t>-</w:t>
      </w:r>
      <w:r w:rsidR="00A97318">
        <w:rPr>
          <w:rFonts w:hint="eastAsia"/>
          <w:sz w:val="24"/>
          <w:lang w:eastAsia="ja-JP"/>
        </w:rPr>
        <w:t>0.34</w:t>
      </w:r>
      <w:r w:rsidR="00F004C2">
        <w:rPr>
          <w:rFonts w:hint="eastAsia"/>
          <w:sz w:val="24"/>
          <w:lang w:eastAsia="ja-JP"/>
        </w:rPr>
        <w:t>0</w:t>
      </w:r>
      <w:r w:rsidR="006F035B">
        <w:rPr>
          <w:rFonts w:hint="eastAsia"/>
          <w:sz w:val="24"/>
          <w:lang w:eastAsia="ja-JP"/>
        </w:rPr>
        <w:t>, which is signi</w:t>
      </w:r>
      <w:r w:rsidR="006F035B">
        <w:rPr>
          <w:rFonts w:hint="eastAsia"/>
          <w:sz w:val="24"/>
          <w:lang w:eastAsia="ja-JP"/>
        </w:rPr>
        <w:t>f</w:t>
      </w:r>
      <w:r w:rsidR="006F035B">
        <w:rPr>
          <w:rFonts w:hint="eastAsia"/>
          <w:sz w:val="24"/>
          <w:lang w:eastAsia="ja-JP"/>
        </w:rPr>
        <w:t xml:space="preserve">icantly </w:t>
      </w:r>
      <w:r w:rsidR="00E71E9F">
        <w:rPr>
          <w:sz w:val="24"/>
          <w:lang w:eastAsia="ja-JP"/>
        </w:rPr>
        <w:t>l</w:t>
      </w:r>
      <w:r w:rsidR="00645307">
        <w:rPr>
          <w:sz w:val="24"/>
          <w:lang w:eastAsia="ja-JP"/>
        </w:rPr>
        <w:t>ess</w:t>
      </w:r>
      <w:r w:rsidR="00AA66B6">
        <w:rPr>
          <w:rFonts w:hint="eastAsia"/>
          <w:sz w:val="24"/>
          <w:lang w:eastAsia="ja-JP"/>
        </w:rPr>
        <w:t xml:space="preserve"> </w:t>
      </w:r>
      <w:r w:rsidR="006F035B">
        <w:rPr>
          <w:rFonts w:hint="eastAsia"/>
          <w:sz w:val="24"/>
          <w:lang w:eastAsia="ja-JP"/>
        </w:rPr>
        <w:t xml:space="preserve">than </w:t>
      </w:r>
      <w:r w:rsidR="009B5885">
        <w:rPr>
          <w:rFonts w:ascii="MS Mincho" w:hAnsi="MS Mincho"/>
          <w:sz w:val="24"/>
          <w:lang w:eastAsia="ja-JP"/>
        </w:rPr>
        <w:t>-</w:t>
      </w:r>
      <w:r w:rsidR="009B5885">
        <w:rPr>
          <w:sz w:val="24"/>
          <w:lang w:eastAsia="ja-JP"/>
        </w:rPr>
        <w:t>0.</w:t>
      </w:r>
      <w:r w:rsidR="006F035B">
        <w:rPr>
          <w:rFonts w:hint="eastAsia"/>
          <w:sz w:val="24"/>
          <w:lang w:eastAsia="ja-JP"/>
        </w:rPr>
        <w:t>087</w:t>
      </w:r>
      <w:r w:rsidR="00A97318">
        <w:rPr>
          <w:rFonts w:hint="eastAsia"/>
          <w:sz w:val="24"/>
          <w:lang w:eastAsia="ja-JP"/>
        </w:rPr>
        <w:t xml:space="preserve"> </w:t>
      </w:r>
      <w:r w:rsidR="006F035B">
        <w:rPr>
          <w:rFonts w:hint="eastAsia"/>
          <w:sz w:val="24"/>
          <w:lang w:eastAsia="ja-JP"/>
        </w:rPr>
        <w:t xml:space="preserve">at </w:t>
      </w:r>
      <w:r w:rsidR="00A67B33">
        <w:rPr>
          <w:sz w:val="24"/>
          <w:lang w:eastAsia="ja-JP"/>
        </w:rPr>
        <w:t xml:space="preserve">the </w:t>
      </w:r>
      <w:r w:rsidR="006F035B">
        <w:rPr>
          <w:rFonts w:hint="eastAsia"/>
          <w:sz w:val="24"/>
          <w:lang w:eastAsia="ja-JP"/>
        </w:rPr>
        <w:t>1% level</w:t>
      </w:r>
      <w:r w:rsidR="008B4294">
        <w:rPr>
          <w:sz w:val="24"/>
          <w:lang w:eastAsia="ja-JP"/>
        </w:rPr>
        <w:t xml:space="preserve"> (</w:t>
      </w:r>
      <w:r w:rsidR="00C1119A">
        <w:rPr>
          <w:sz w:val="24"/>
          <w:lang w:eastAsia="ja-JP"/>
        </w:rPr>
        <w:t>two-sided t-test</w:t>
      </w:r>
      <w:r w:rsidR="008B4294">
        <w:rPr>
          <w:sz w:val="24"/>
          <w:lang w:eastAsia="ja-JP"/>
        </w:rPr>
        <w:t>)</w:t>
      </w:r>
      <w:r w:rsidR="00645307">
        <w:rPr>
          <w:sz w:val="24"/>
          <w:lang w:eastAsia="ja-JP"/>
        </w:rPr>
        <w:t xml:space="preserve">, </w:t>
      </w:r>
      <w:r w:rsidR="006F035B">
        <w:rPr>
          <w:rFonts w:hint="eastAsia"/>
          <w:sz w:val="24"/>
          <w:lang w:eastAsia="ja-JP"/>
        </w:rPr>
        <w:t>indicat</w:t>
      </w:r>
      <w:r w:rsidR="00645307">
        <w:rPr>
          <w:sz w:val="24"/>
          <w:lang w:eastAsia="ja-JP"/>
        </w:rPr>
        <w:t>ing</w:t>
      </w:r>
      <w:r w:rsidR="00425B42">
        <w:rPr>
          <w:rFonts w:hint="eastAsia"/>
          <w:sz w:val="24"/>
          <w:lang w:eastAsia="ja-JP"/>
        </w:rPr>
        <w:t xml:space="preserve"> that </w:t>
      </w:r>
      <w:r w:rsidR="00EC5B41">
        <w:rPr>
          <w:rFonts w:hint="eastAsia"/>
          <w:sz w:val="24"/>
          <w:lang w:eastAsia="ja-JP"/>
        </w:rPr>
        <w:t xml:space="preserve">with </w:t>
      </w:r>
      <w:r w:rsidR="007347D3">
        <w:rPr>
          <w:sz w:val="24"/>
          <w:lang w:eastAsia="ja-JP"/>
        </w:rPr>
        <w:t>low</w:t>
      </w:r>
      <w:r w:rsidR="00EC5B41">
        <w:rPr>
          <w:rFonts w:hint="eastAsia"/>
          <w:sz w:val="24"/>
          <w:lang w:eastAsia="ja-JP"/>
        </w:rPr>
        <w:t xml:space="preserve"> liquidity, </w:t>
      </w:r>
      <w:r w:rsidR="00425B42">
        <w:rPr>
          <w:rFonts w:hint="eastAsia"/>
          <w:sz w:val="24"/>
          <w:lang w:eastAsia="ja-JP"/>
        </w:rPr>
        <w:t>investors</w:t>
      </w:r>
      <w:r w:rsidR="00425B42">
        <w:rPr>
          <w:sz w:val="24"/>
          <w:lang w:eastAsia="ja-JP"/>
        </w:rPr>
        <w:t>’</w:t>
      </w:r>
      <w:r w:rsidR="00425B42">
        <w:rPr>
          <w:rFonts w:hint="eastAsia"/>
          <w:sz w:val="24"/>
          <w:lang w:eastAsia="ja-JP"/>
        </w:rPr>
        <w:t xml:space="preserve"> short</w:t>
      </w:r>
      <w:r w:rsidR="00066D56">
        <w:rPr>
          <w:rFonts w:hint="eastAsia"/>
          <w:sz w:val="24"/>
          <w:lang w:eastAsia="ja-JP"/>
        </w:rPr>
        <w:t>-term speculation</w:t>
      </w:r>
      <w:r w:rsidR="00425B42">
        <w:rPr>
          <w:rFonts w:hint="eastAsia"/>
          <w:sz w:val="24"/>
          <w:lang w:eastAsia="ja-JP"/>
        </w:rPr>
        <w:t xml:space="preserve"> </w:t>
      </w:r>
      <w:r w:rsidR="006F035B">
        <w:rPr>
          <w:rFonts w:hint="eastAsia"/>
          <w:sz w:val="24"/>
          <w:lang w:eastAsia="ja-JP"/>
        </w:rPr>
        <w:t>magnif</w:t>
      </w:r>
      <w:r w:rsidR="00066D56">
        <w:rPr>
          <w:rFonts w:hint="eastAsia"/>
          <w:sz w:val="24"/>
          <w:lang w:eastAsia="ja-JP"/>
        </w:rPr>
        <w:t>ies</w:t>
      </w:r>
      <w:r w:rsidR="006F035B">
        <w:rPr>
          <w:rFonts w:hint="eastAsia"/>
          <w:sz w:val="24"/>
          <w:lang w:eastAsia="ja-JP"/>
        </w:rPr>
        <w:t xml:space="preserve"> the undervaluation.</w:t>
      </w:r>
      <w:r w:rsidR="00196D2E">
        <w:rPr>
          <w:rStyle w:val="Funotenzeichen"/>
          <w:sz w:val="24"/>
          <w:lang w:eastAsia="ja-JP"/>
        </w:rPr>
        <w:footnoteReference w:id="41"/>
      </w:r>
      <w:r w:rsidR="00126056">
        <w:rPr>
          <w:sz w:val="24"/>
          <w:lang w:eastAsia="ja-JP"/>
        </w:rPr>
        <w:t xml:space="preserve"> </w:t>
      </w:r>
      <w:r w:rsidR="007347D3">
        <w:rPr>
          <w:sz w:val="24"/>
          <w:lang w:eastAsia="ja-JP"/>
        </w:rPr>
        <w:t xml:space="preserve">We conjecture that this might be caused by speculating investors’ fear of future market </w:t>
      </w:r>
      <w:r w:rsidR="00F55018">
        <w:rPr>
          <w:sz w:val="24"/>
          <w:lang w:eastAsia="ja-JP"/>
        </w:rPr>
        <w:t>il</w:t>
      </w:r>
      <w:r w:rsidR="007347D3">
        <w:rPr>
          <w:sz w:val="24"/>
          <w:lang w:eastAsia="ja-JP"/>
        </w:rPr>
        <w:t>liquidity. As seen in Section 3.3, speculating investors</w:t>
      </w:r>
      <w:r w:rsidR="00821717">
        <w:rPr>
          <w:sz w:val="24"/>
          <w:lang w:eastAsia="ja-JP"/>
        </w:rPr>
        <w:t xml:space="preserve"> (e.g.</w:t>
      </w:r>
      <w:r w:rsidR="00645307">
        <w:rPr>
          <w:sz w:val="24"/>
          <w:lang w:eastAsia="ja-JP"/>
        </w:rPr>
        <w:t>,</w:t>
      </w:r>
      <w:r w:rsidR="00821717">
        <w:rPr>
          <w:sz w:val="24"/>
          <w:lang w:eastAsia="ja-JP"/>
        </w:rPr>
        <w:t xml:space="preserve"> traders of G3)</w:t>
      </w:r>
      <w:r w:rsidR="002B4065">
        <w:rPr>
          <w:sz w:val="24"/>
          <w:lang w:eastAsia="ja-JP"/>
        </w:rPr>
        <w:t>,</w:t>
      </w:r>
      <w:r w:rsidR="007347D3">
        <w:rPr>
          <w:sz w:val="24"/>
          <w:lang w:eastAsia="ja-JP"/>
        </w:rPr>
        <w:t xml:space="preserve"> who </w:t>
      </w:r>
      <w:r w:rsidR="00645307">
        <w:rPr>
          <w:sz w:val="24"/>
          <w:lang w:eastAsia="ja-JP"/>
        </w:rPr>
        <w:t xml:space="preserve">expect </w:t>
      </w:r>
      <w:r w:rsidR="007347D3">
        <w:rPr>
          <w:sz w:val="24"/>
          <w:lang w:eastAsia="ja-JP"/>
        </w:rPr>
        <w:t>the dividend-collecting investors</w:t>
      </w:r>
      <w:r w:rsidR="002B4065">
        <w:rPr>
          <w:sz w:val="24"/>
          <w:lang w:eastAsia="ja-JP"/>
        </w:rPr>
        <w:t>’</w:t>
      </w:r>
      <w:r w:rsidR="00821717">
        <w:rPr>
          <w:sz w:val="24"/>
          <w:lang w:eastAsia="ja-JP"/>
        </w:rPr>
        <w:t xml:space="preserve"> (e.g.</w:t>
      </w:r>
      <w:r w:rsidR="00645307">
        <w:rPr>
          <w:sz w:val="24"/>
          <w:lang w:eastAsia="ja-JP"/>
        </w:rPr>
        <w:t>,</w:t>
      </w:r>
      <w:r w:rsidR="00821717">
        <w:rPr>
          <w:sz w:val="24"/>
          <w:lang w:eastAsia="ja-JP"/>
        </w:rPr>
        <w:t xml:space="preserve"> G4’s)</w:t>
      </w:r>
      <w:r w:rsidR="002B4065">
        <w:rPr>
          <w:sz w:val="24"/>
          <w:lang w:eastAsia="ja-JP"/>
        </w:rPr>
        <w:t xml:space="preserve"> arbitrage not </w:t>
      </w:r>
      <w:r w:rsidR="00645307">
        <w:rPr>
          <w:sz w:val="24"/>
          <w:lang w:eastAsia="ja-JP"/>
        </w:rPr>
        <w:t xml:space="preserve">to be </w:t>
      </w:r>
      <w:r w:rsidR="002B4065">
        <w:rPr>
          <w:sz w:val="24"/>
          <w:lang w:eastAsia="ja-JP"/>
        </w:rPr>
        <w:t xml:space="preserve">perfect, </w:t>
      </w:r>
      <w:r w:rsidR="007C1F0F">
        <w:rPr>
          <w:sz w:val="24"/>
          <w:lang w:eastAsia="ja-JP"/>
        </w:rPr>
        <w:t xml:space="preserve">may </w:t>
      </w:r>
      <w:r w:rsidR="002B4065">
        <w:rPr>
          <w:sz w:val="24"/>
          <w:lang w:eastAsia="ja-JP"/>
        </w:rPr>
        <w:t xml:space="preserve">fear that they </w:t>
      </w:r>
      <w:r w:rsidR="00FC4400">
        <w:rPr>
          <w:sz w:val="24"/>
          <w:lang w:eastAsia="ja-JP"/>
        </w:rPr>
        <w:t>cannot</w:t>
      </w:r>
      <w:r w:rsidR="002B4065">
        <w:rPr>
          <w:sz w:val="24"/>
          <w:lang w:eastAsia="ja-JP"/>
        </w:rPr>
        <w:t xml:space="preserve"> sell securities </w:t>
      </w:r>
      <w:r w:rsidR="00FC4400">
        <w:rPr>
          <w:sz w:val="24"/>
          <w:lang w:eastAsia="ja-JP"/>
        </w:rPr>
        <w:t>around 50</w:t>
      </w:r>
      <w:r w:rsidR="002B4065">
        <w:rPr>
          <w:sz w:val="24"/>
          <w:lang w:eastAsia="ja-JP"/>
        </w:rPr>
        <w:t>, or may be forced to dump them in fire sale</w:t>
      </w:r>
      <w:r w:rsidR="00645307">
        <w:rPr>
          <w:sz w:val="24"/>
          <w:lang w:eastAsia="ja-JP"/>
        </w:rPr>
        <w:t xml:space="preserve"> price</w:t>
      </w:r>
      <w:r w:rsidR="002B4065">
        <w:rPr>
          <w:sz w:val="24"/>
          <w:lang w:eastAsia="ja-JP"/>
        </w:rPr>
        <w:t>s. Th</w:t>
      </w:r>
      <w:r w:rsidR="007C1F0F">
        <w:rPr>
          <w:sz w:val="24"/>
          <w:lang w:eastAsia="ja-JP"/>
        </w:rPr>
        <w:t xml:space="preserve">is would induce them to trade </w:t>
      </w:r>
      <w:r w:rsidR="00602281">
        <w:rPr>
          <w:sz w:val="24"/>
          <w:lang w:eastAsia="ja-JP"/>
        </w:rPr>
        <w:t>at prices below 50</w:t>
      </w:r>
      <w:r w:rsidR="007C1F0F">
        <w:rPr>
          <w:sz w:val="24"/>
          <w:lang w:eastAsia="ja-JP"/>
        </w:rPr>
        <w:t>.</w:t>
      </w:r>
      <w:r w:rsidR="001407A2">
        <w:rPr>
          <w:rStyle w:val="Funotenzeichen"/>
          <w:sz w:val="24"/>
          <w:lang w:eastAsia="ja-JP"/>
        </w:rPr>
        <w:footnoteReference w:id="42"/>
      </w:r>
      <w:r w:rsidR="00602281">
        <w:rPr>
          <w:sz w:val="24"/>
          <w:lang w:eastAsia="ja-JP"/>
        </w:rPr>
        <w:t xml:space="preserve"> This is more likely to occur in L-treatments</w:t>
      </w:r>
      <w:r w:rsidR="00FC4400">
        <w:rPr>
          <w:sz w:val="24"/>
          <w:lang w:eastAsia="ja-JP"/>
        </w:rPr>
        <w:t xml:space="preserve"> </w:t>
      </w:r>
      <w:r w:rsidR="00602281">
        <w:rPr>
          <w:sz w:val="24"/>
          <w:lang w:eastAsia="ja-JP"/>
        </w:rPr>
        <w:t xml:space="preserve">than in H-treatments, </w:t>
      </w:r>
      <w:r w:rsidR="007C1F0F">
        <w:rPr>
          <w:sz w:val="24"/>
          <w:lang w:eastAsia="ja-JP"/>
        </w:rPr>
        <w:t xml:space="preserve">when </w:t>
      </w:r>
      <w:r w:rsidR="00670E47">
        <w:rPr>
          <w:sz w:val="24"/>
          <w:lang w:eastAsia="ja-JP"/>
        </w:rPr>
        <w:t xml:space="preserve">each </w:t>
      </w:r>
      <w:r w:rsidR="00FA2BF7">
        <w:rPr>
          <w:sz w:val="24"/>
          <w:lang w:eastAsia="ja-JP"/>
        </w:rPr>
        <w:t>di</w:t>
      </w:r>
      <w:r w:rsidR="00FA2BF7">
        <w:rPr>
          <w:sz w:val="24"/>
          <w:lang w:eastAsia="ja-JP"/>
        </w:rPr>
        <w:t>v</w:t>
      </w:r>
      <w:r w:rsidR="00FA2BF7">
        <w:rPr>
          <w:sz w:val="24"/>
          <w:lang w:eastAsia="ja-JP"/>
        </w:rPr>
        <w:t>idend-collecting investor do</w:t>
      </w:r>
      <w:r w:rsidR="007C1F0F">
        <w:rPr>
          <w:sz w:val="24"/>
          <w:lang w:eastAsia="ja-JP"/>
        </w:rPr>
        <w:t>es</w:t>
      </w:r>
      <w:r w:rsidR="00FA2BF7">
        <w:rPr>
          <w:sz w:val="24"/>
          <w:lang w:eastAsia="ja-JP"/>
        </w:rPr>
        <w:t xml:space="preserve"> not have </w:t>
      </w:r>
      <w:r w:rsidR="00FC4400">
        <w:rPr>
          <w:sz w:val="24"/>
          <w:lang w:eastAsia="ja-JP"/>
        </w:rPr>
        <w:t>sufficient</w:t>
      </w:r>
      <w:r w:rsidR="00FA2BF7">
        <w:rPr>
          <w:sz w:val="24"/>
          <w:lang w:eastAsia="ja-JP"/>
        </w:rPr>
        <w:t xml:space="preserve"> cash to conduct perfect arbitrage in L</w:t>
      </w:r>
      <w:r w:rsidR="00670E47">
        <w:rPr>
          <w:sz w:val="24"/>
          <w:lang w:eastAsia="ja-JP"/>
        </w:rPr>
        <w:t xml:space="preserve"> treatments.</w:t>
      </w:r>
      <w:r w:rsidR="00FA2BF7" w:rsidRPr="00FA2BF7">
        <w:rPr>
          <w:rStyle w:val="Funotenzeichen"/>
          <w:sz w:val="24"/>
          <w:lang w:eastAsia="ja-JP"/>
        </w:rPr>
        <w:t xml:space="preserve"> </w:t>
      </w:r>
      <w:r w:rsidR="00FA2BF7">
        <w:rPr>
          <w:rStyle w:val="Funotenzeichen"/>
          <w:sz w:val="24"/>
          <w:lang w:eastAsia="ja-JP"/>
        </w:rPr>
        <w:footnoteReference w:id="43"/>
      </w:r>
      <w:r w:rsidR="00FA2BF7">
        <w:rPr>
          <w:sz w:val="24"/>
          <w:lang w:eastAsia="ja-JP"/>
        </w:rPr>
        <w:t xml:space="preserve"> </w:t>
      </w:r>
    </w:p>
    <w:p w14:paraId="182C9B2B" w14:textId="5F2A488B" w:rsidR="004A23D0" w:rsidRDefault="00BC7F45" w:rsidP="004A23D0">
      <w:pPr>
        <w:spacing w:line="480" w:lineRule="auto"/>
        <w:ind w:firstLine="720"/>
        <w:jc w:val="both"/>
        <w:rPr>
          <w:sz w:val="24"/>
          <w:lang w:eastAsia="ja-JP"/>
        </w:rPr>
      </w:pPr>
      <w:r>
        <w:rPr>
          <w:sz w:val="24"/>
          <w:lang w:eastAsia="ja-JP"/>
        </w:rPr>
        <w:t>Figure</w:t>
      </w:r>
      <w:r w:rsidRPr="00BC7F45">
        <w:rPr>
          <w:sz w:val="24"/>
          <w:lang w:eastAsia="ja-JP"/>
        </w:rPr>
        <w:t xml:space="preserve"> </w:t>
      </w:r>
      <w:r>
        <w:rPr>
          <w:sz w:val="24"/>
          <w:lang w:eastAsia="ja-JP"/>
        </w:rPr>
        <w:t>6</w:t>
      </w:r>
      <w:r w:rsidRPr="00BC7F45">
        <w:rPr>
          <w:sz w:val="24"/>
          <w:lang w:eastAsia="ja-JP"/>
        </w:rPr>
        <w:t xml:space="preserve"> presents </w:t>
      </w:r>
      <w:r w:rsidRPr="00BE21AD">
        <w:rPr>
          <w:i/>
          <w:sz w:val="24"/>
          <w:lang w:eastAsia="ja-JP"/>
        </w:rPr>
        <w:t>Period-RD</w:t>
      </w:r>
      <w:r w:rsidRPr="00BC7F45">
        <w:rPr>
          <w:sz w:val="24"/>
          <w:lang w:eastAsia="ja-JP"/>
        </w:rPr>
        <w:t xml:space="preserve"> </w:t>
      </w:r>
      <w:r w:rsidR="00485E7C">
        <w:rPr>
          <w:sz w:val="24"/>
          <w:lang w:eastAsia="ja-JP"/>
        </w:rPr>
        <w:t>classified</w:t>
      </w:r>
      <w:r w:rsidR="00485E7C" w:rsidRPr="00BC7F45">
        <w:rPr>
          <w:sz w:val="24"/>
          <w:lang w:eastAsia="ja-JP"/>
        </w:rPr>
        <w:t xml:space="preserve"> </w:t>
      </w:r>
      <w:r w:rsidRPr="00BC7F45">
        <w:rPr>
          <w:sz w:val="24"/>
          <w:lang w:eastAsia="ja-JP"/>
        </w:rPr>
        <w:t xml:space="preserve">by the number of </w:t>
      </w:r>
      <w:r w:rsidR="007C1F0F">
        <w:rPr>
          <w:sz w:val="24"/>
          <w:lang w:eastAsia="ja-JP"/>
        </w:rPr>
        <w:t xml:space="preserve">subsequent </w:t>
      </w:r>
      <w:r w:rsidRPr="00BC7F45">
        <w:rPr>
          <w:sz w:val="24"/>
          <w:lang w:eastAsia="ja-JP"/>
        </w:rPr>
        <w:t xml:space="preserve">generations to enter the market. In the high-liquidity treatments </w:t>
      </w:r>
      <w:r>
        <w:rPr>
          <w:sz w:val="24"/>
          <w:lang w:eastAsia="ja-JP"/>
        </w:rPr>
        <w:t>(</w:t>
      </w:r>
      <w:r w:rsidR="00485E7C">
        <w:rPr>
          <w:sz w:val="24"/>
          <w:lang w:eastAsia="ja-JP"/>
        </w:rPr>
        <w:t xml:space="preserve">Panel </w:t>
      </w:r>
      <w:r>
        <w:rPr>
          <w:sz w:val="24"/>
          <w:lang w:eastAsia="ja-JP"/>
        </w:rPr>
        <w:t>A)</w:t>
      </w:r>
      <w:r w:rsidR="009607AC">
        <w:rPr>
          <w:sz w:val="24"/>
          <w:lang w:eastAsia="ja-JP"/>
        </w:rPr>
        <w:t>,</w:t>
      </w:r>
      <w:r>
        <w:rPr>
          <w:sz w:val="24"/>
          <w:lang w:eastAsia="ja-JP"/>
        </w:rPr>
        <w:t xml:space="preserve"> </w:t>
      </w:r>
      <w:r w:rsidR="009607AC">
        <w:rPr>
          <w:sz w:val="24"/>
          <w:lang w:eastAsia="ja-JP"/>
        </w:rPr>
        <w:t>when th</w:t>
      </w:r>
      <w:r w:rsidR="007C1F0F">
        <w:rPr>
          <w:sz w:val="24"/>
          <w:lang w:eastAsia="ja-JP"/>
        </w:rPr>
        <w:t xml:space="preserve">is number is two or more, </w:t>
      </w:r>
      <w:r w:rsidRPr="00BE21AD">
        <w:rPr>
          <w:i/>
          <w:sz w:val="24"/>
          <w:lang w:eastAsia="ja-JP"/>
        </w:rPr>
        <w:lastRenderedPageBreak/>
        <w:t>Period-RD</w:t>
      </w:r>
      <w:r w:rsidRPr="00BC7F45">
        <w:rPr>
          <w:sz w:val="24"/>
          <w:lang w:eastAsia="ja-JP"/>
        </w:rPr>
        <w:t xml:space="preserve">s </w:t>
      </w:r>
      <w:r w:rsidR="000426CF">
        <w:rPr>
          <w:sz w:val="24"/>
          <w:lang w:eastAsia="ja-JP"/>
        </w:rPr>
        <w:t>are</w:t>
      </w:r>
      <w:r w:rsidR="009607AC">
        <w:rPr>
          <w:sz w:val="24"/>
          <w:lang w:eastAsia="ja-JP"/>
        </w:rPr>
        <w:t xml:space="preserve"> significantly different from period</w:t>
      </w:r>
      <w:r w:rsidR="007C1F0F">
        <w:rPr>
          <w:sz w:val="24"/>
          <w:lang w:eastAsia="ja-JP"/>
        </w:rPr>
        <w:t>s</w:t>
      </w:r>
      <w:r w:rsidR="009607AC">
        <w:rPr>
          <w:sz w:val="24"/>
          <w:lang w:eastAsia="ja-JP"/>
        </w:rPr>
        <w:t xml:space="preserve"> with</w:t>
      </w:r>
      <w:r w:rsidR="009607AC" w:rsidRPr="00BC7F45">
        <w:rPr>
          <w:sz w:val="24"/>
          <w:lang w:eastAsia="ja-JP"/>
        </w:rPr>
        <w:t xml:space="preserve"> dividend</w:t>
      </w:r>
      <w:r w:rsidR="009607AC">
        <w:rPr>
          <w:sz w:val="24"/>
          <w:lang w:eastAsia="ja-JP"/>
        </w:rPr>
        <w:t>-</w:t>
      </w:r>
      <w:r w:rsidR="009607AC" w:rsidRPr="00BC7F45">
        <w:rPr>
          <w:sz w:val="24"/>
          <w:lang w:eastAsia="ja-JP"/>
        </w:rPr>
        <w:t xml:space="preserve">collecting </w:t>
      </w:r>
      <w:r w:rsidR="009607AC">
        <w:rPr>
          <w:sz w:val="24"/>
          <w:lang w:eastAsia="ja-JP"/>
        </w:rPr>
        <w:t>investors</w:t>
      </w:r>
      <w:r w:rsidR="00F55018">
        <w:rPr>
          <w:sz w:val="24"/>
          <w:lang w:eastAsia="ja-JP"/>
        </w:rPr>
        <w:t xml:space="preserve">, </w:t>
      </w:r>
      <w:r w:rsidR="004A23D0">
        <w:rPr>
          <w:sz w:val="24"/>
          <w:lang w:eastAsia="ja-JP"/>
        </w:rPr>
        <w:t>ind</w:t>
      </w:r>
      <w:r w:rsidR="004A23D0">
        <w:rPr>
          <w:sz w:val="24"/>
          <w:lang w:eastAsia="ja-JP"/>
        </w:rPr>
        <w:t>i</w:t>
      </w:r>
      <w:r w:rsidR="004A23D0">
        <w:rPr>
          <w:sz w:val="24"/>
          <w:lang w:eastAsia="ja-JP"/>
        </w:rPr>
        <w:t>cat</w:t>
      </w:r>
      <w:r w:rsidR="00F55018">
        <w:rPr>
          <w:sz w:val="24"/>
          <w:lang w:eastAsia="ja-JP"/>
        </w:rPr>
        <w:t>ing</w:t>
      </w:r>
      <w:r w:rsidR="004A23D0">
        <w:rPr>
          <w:sz w:val="24"/>
          <w:lang w:eastAsia="ja-JP"/>
        </w:rPr>
        <w:t xml:space="preserve"> that prices are higher</w:t>
      </w:r>
      <w:r w:rsidRPr="00BC7F45">
        <w:rPr>
          <w:sz w:val="24"/>
          <w:lang w:eastAsia="ja-JP"/>
        </w:rPr>
        <w:t xml:space="preserve"> than </w:t>
      </w:r>
      <w:r w:rsidR="00485E7C">
        <w:rPr>
          <w:sz w:val="24"/>
          <w:lang w:eastAsia="ja-JP"/>
        </w:rPr>
        <w:t xml:space="preserve">in </w:t>
      </w:r>
      <w:r w:rsidRPr="00BC7F45">
        <w:rPr>
          <w:sz w:val="24"/>
          <w:lang w:eastAsia="ja-JP"/>
        </w:rPr>
        <w:t xml:space="preserve">the periods </w:t>
      </w:r>
      <w:r w:rsidR="005D6FC3">
        <w:rPr>
          <w:sz w:val="24"/>
          <w:lang w:eastAsia="ja-JP"/>
        </w:rPr>
        <w:t xml:space="preserve">with dividend-collecting investors. This </w:t>
      </w:r>
      <w:r w:rsidR="005F44B6">
        <w:rPr>
          <w:sz w:val="24"/>
          <w:lang w:eastAsia="ja-JP"/>
        </w:rPr>
        <w:t>seem</w:t>
      </w:r>
      <w:r w:rsidR="00F55018">
        <w:rPr>
          <w:sz w:val="24"/>
          <w:lang w:eastAsia="ja-JP"/>
        </w:rPr>
        <w:t>s</w:t>
      </w:r>
      <w:r w:rsidR="005F44B6">
        <w:rPr>
          <w:sz w:val="24"/>
          <w:lang w:eastAsia="ja-JP"/>
        </w:rPr>
        <w:t xml:space="preserve"> to </w:t>
      </w:r>
      <w:r w:rsidR="008C2B41">
        <w:rPr>
          <w:sz w:val="24"/>
          <w:lang w:eastAsia="ja-JP"/>
        </w:rPr>
        <w:t xml:space="preserve">suggest that </w:t>
      </w:r>
      <w:r w:rsidR="005F44B6">
        <w:rPr>
          <w:sz w:val="24"/>
          <w:lang w:eastAsia="ja-JP"/>
        </w:rPr>
        <w:t xml:space="preserve">in high-liquidity treatments </w:t>
      </w:r>
      <w:r w:rsidR="008C2B41">
        <w:rPr>
          <w:sz w:val="24"/>
          <w:lang w:eastAsia="ja-JP"/>
        </w:rPr>
        <w:t xml:space="preserve">speculating investors participate </w:t>
      </w:r>
      <w:r w:rsidR="007C1F0F">
        <w:rPr>
          <w:sz w:val="24"/>
          <w:lang w:eastAsia="ja-JP"/>
        </w:rPr>
        <w:t xml:space="preserve">in a </w:t>
      </w:r>
      <w:r w:rsidR="008C2B41">
        <w:rPr>
          <w:sz w:val="24"/>
          <w:lang w:eastAsia="ja-JP"/>
        </w:rPr>
        <w:t xml:space="preserve">“hot potato” game when at least </w:t>
      </w:r>
      <w:r w:rsidR="00F55018">
        <w:rPr>
          <w:sz w:val="24"/>
          <w:lang w:eastAsia="ja-JP"/>
        </w:rPr>
        <w:t xml:space="preserve">two </w:t>
      </w:r>
      <w:r w:rsidR="007C1F0F">
        <w:rPr>
          <w:sz w:val="24"/>
          <w:lang w:eastAsia="ja-JP"/>
        </w:rPr>
        <w:t xml:space="preserve">future </w:t>
      </w:r>
      <w:r w:rsidR="00F55018">
        <w:rPr>
          <w:sz w:val="24"/>
          <w:lang w:eastAsia="ja-JP"/>
        </w:rPr>
        <w:t xml:space="preserve">generations </w:t>
      </w:r>
      <w:r w:rsidR="007C1F0F">
        <w:rPr>
          <w:sz w:val="24"/>
          <w:lang w:eastAsia="ja-JP"/>
        </w:rPr>
        <w:t xml:space="preserve">enter the market </w:t>
      </w:r>
      <w:r w:rsidR="00757E87">
        <w:rPr>
          <w:sz w:val="24"/>
          <w:lang w:eastAsia="ja-JP"/>
        </w:rPr>
        <w:t xml:space="preserve">(i.e., </w:t>
      </w:r>
      <w:r w:rsidR="009360D2">
        <w:rPr>
          <w:sz w:val="24"/>
          <w:lang w:eastAsia="ja-JP"/>
        </w:rPr>
        <w:t xml:space="preserve">when </w:t>
      </w:r>
      <w:r w:rsidR="00757E87">
        <w:rPr>
          <w:sz w:val="24"/>
          <w:lang w:eastAsia="ja-JP"/>
        </w:rPr>
        <w:t xml:space="preserve">at least one entering </w:t>
      </w:r>
      <w:r w:rsidR="008C2B41">
        <w:rPr>
          <w:sz w:val="24"/>
          <w:lang w:eastAsia="ja-JP"/>
        </w:rPr>
        <w:t>generation of speculating investors</w:t>
      </w:r>
      <w:r w:rsidR="0035727A">
        <w:rPr>
          <w:sz w:val="24"/>
          <w:lang w:eastAsia="ja-JP"/>
        </w:rPr>
        <w:t xml:space="preserve"> is</w:t>
      </w:r>
      <w:r w:rsidR="009360D2">
        <w:rPr>
          <w:sz w:val="24"/>
          <w:lang w:eastAsia="ja-JP"/>
        </w:rPr>
        <w:t xml:space="preserve"> left</w:t>
      </w:r>
      <w:r w:rsidR="00757E87">
        <w:rPr>
          <w:sz w:val="24"/>
          <w:lang w:eastAsia="ja-JP"/>
        </w:rPr>
        <w:t xml:space="preserve"> </w:t>
      </w:r>
      <w:r w:rsidR="008C2B41">
        <w:rPr>
          <w:rStyle w:val="Funotenzeichen"/>
          <w:sz w:val="24"/>
          <w:lang w:eastAsia="ja-JP"/>
        </w:rPr>
        <w:footnoteReference w:id="44"/>
      </w:r>
      <w:r w:rsidR="00757E87">
        <w:rPr>
          <w:sz w:val="24"/>
          <w:lang w:eastAsia="ja-JP"/>
        </w:rPr>
        <w:t>).</w:t>
      </w:r>
      <w:r w:rsidR="0016612E">
        <w:rPr>
          <w:sz w:val="24"/>
          <w:lang w:eastAsia="ja-JP"/>
        </w:rPr>
        <w:t xml:space="preserve"> </w:t>
      </w:r>
      <w:r w:rsidR="00B47857">
        <w:rPr>
          <w:sz w:val="24"/>
          <w:lang w:eastAsia="ja-JP"/>
        </w:rPr>
        <w:t xml:space="preserve">Moreover we find that </w:t>
      </w:r>
      <w:r w:rsidR="00B47857" w:rsidRPr="00BE21AD">
        <w:rPr>
          <w:i/>
          <w:sz w:val="24"/>
          <w:lang w:eastAsia="ja-JP"/>
        </w:rPr>
        <w:t>Period-RD</w:t>
      </w:r>
      <w:r w:rsidR="00B47857" w:rsidRPr="00BC7F45">
        <w:rPr>
          <w:sz w:val="24"/>
          <w:lang w:eastAsia="ja-JP"/>
        </w:rPr>
        <w:t xml:space="preserve"> </w:t>
      </w:r>
      <w:r w:rsidR="00B47857">
        <w:rPr>
          <w:sz w:val="24"/>
          <w:lang w:eastAsia="ja-JP"/>
        </w:rPr>
        <w:t>tends to increase with the number of generations left, indicating that hot potato game is more likely to occur when traders are further away from the terminal generation. I</w:t>
      </w:r>
      <w:r w:rsidRPr="00BC7F45">
        <w:rPr>
          <w:sz w:val="24"/>
          <w:lang w:eastAsia="ja-JP"/>
        </w:rPr>
        <w:t xml:space="preserve">n low-liquidity treatments </w:t>
      </w:r>
      <w:r>
        <w:rPr>
          <w:sz w:val="24"/>
          <w:lang w:eastAsia="ja-JP"/>
        </w:rPr>
        <w:t>(</w:t>
      </w:r>
      <w:r w:rsidR="00485E7C">
        <w:rPr>
          <w:sz w:val="24"/>
          <w:lang w:eastAsia="ja-JP"/>
        </w:rPr>
        <w:t xml:space="preserve">Panel </w:t>
      </w:r>
      <w:r>
        <w:rPr>
          <w:sz w:val="24"/>
          <w:lang w:eastAsia="ja-JP"/>
        </w:rPr>
        <w:t>B)</w:t>
      </w:r>
      <w:r w:rsidR="004A23D0">
        <w:rPr>
          <w:sz w:val="24"/>
          <w:lang w:eastAsia="ja-JP"/>
        </w:rPr>
        <w:t>, five out of seven values</w:t>
      </w:r>
      <w:r w:rsidR="004A23D0" w:rsidRPr="00BC7F45">
        <w:rPr>
          <w:sz w:val="24"/>
          <w:lang w:eastAsia="ja-JP"/>
        </w:rPr>
        <w:t xml:space="preserve"> of the </w:t>
      </w:r>
      <w:r w:rsidR="004A23D0" w:rsidRPr="00BE21AD">
        <w:rPr>
          <w:i/>
          <w:sz w:val="24"/>
          <w:lang w:eastAsia="ja-JP"/>
        </w:rPr>
        <w:t>Period-RD</w:t>
      </w:r>
      <w:r w:rsidR="004A23D0" w:rsidRPr="00BC7F45">
        <w:rPr>
          <w:sz w:val="24"/>
          <w:lang w:eastAsia="ja-JP"/>
        </w:rPr>
        <w:t xml:space="preserve">s are </w:t>
      </w:r>
      <w:r w:rsidR="004A23D0">
        <w:rPr>
          <w:sz w:val="24"/>
          <w:lang w:eastAsia="ja-JP"/>
        </w:rPr>
        <w:t xml:space="preserve">significantly </w:t>
      </w:r>
      <w:r w:rsidR="004A23D0" w:rsidRPr="00BC7F45">
        <w:rPr>
          <w:sz w:val="24"/>
          <w:lang w:eastAsia="ja-JP"/>
        </w:rPr>
        <w:t>smaller (more negative) than the</w:t>
      </w:r>
      <w:r w:rsidR="004A23D0" w:rsidRPr="00BE21AD">
        <w:rPr>
          <w:i/>
          <w:sz w:val="24"/>
          <w:lang w:eastAsia="ja-JP"/>
        </w:rPr>
        <w:t xml:space="preserve"> Period-RD</w:t>
      </w:r>
      <w:r w:rsidR="004A23D0" w:rsidRPr="00BC7F45">
        <w:rPr>
          <w:sz w:val="24"/>
          <w:lang w:eastAsia="ja-JP"/>
        </w:rPr>
        <w:t xml:space="preserve"> </w:t>
      </w:r>
      <w:r w:rsidR="004A23D0">
        <w:rPr>
          <w:sz w:val="24"/>
          <w:lang w:eastAsia="ja-JP"/>
        </w:rPr>
        <w:t xml:space="preserve">in the periods with dividend-collecting investors. </w:t>
      </w:r>
      <w:r w:rsidR="000426CF">
        <w:rPr>
          <w:sz w:val="24"/>
          <w:lang w:eastAsia="ja-JP"/>
        </w:rPr>
        <w:t>Note that</w:t>
      </w:r>
      <w:r w:rsidR="004A23D0">
        <w:rPr>
          <w:sz w:val="24"/>
          <w:lang w:eastAsia="ja-JP"/>
        </w:rPr>
        <w:t xml:space="preserve"> the difference is </w:t>
      </w:r>
      <w:r w:rsidR="005F44B6">
        <w:rPr>
          <w:sz w:val="24"/>
          <w:lang w:eastAsia="ja-JP"/>
        </w:rPr>
        <w:t xml:space="preserve">statistically </w:t>
      </w:r>
      <w:r w:rsidR="004A23D0">
        <w:rPr>
          <w:sz w:val="24"/>
          <w:lang w:eastAsia="ja-JP"/>
        </w:rPr>
        <w:t xml:space="preserve">significant even when the number of entering generations is one (i.e., </w:t>
      </w:r>
      <w:r w:rsidR="00757E87">
        <w:rPr>
          <w:sz w:val="24"/>
          <w:lang w:eastAsia="ja-JP"/>
        </w:rPr>
        <w:t>when t</w:t>
      </w:r>
      <w:r w:rsidR="004A23D0">
        <w:rPr>
          <w:sz w:val="24"/>
          <w:lang w:eastAsia="ja-JP"/>
        </w:rPr>
        <w:t xml:space="preserve">he </w:t>
      </w:r>
      <w:r w:rsidR="00757E87">
        <w:rPr>
          <w:sz w:val="24"/>
          <w:lang w:eastAsia="ja-JP"/>
        </w:rPr>
        <w:t xml:space="preserve">following </w:t>
      </w:r>
      <w:r w:rsidR="004A23D0">
        <w:rPr>
          <w:sz w:val="24"/>
          <w:lang w:eastAsia="ja-JP"/>
        </w:rPr>
        <w:t xml:space="preserve">generation is the </w:t>
      </w:r>
      <w:r w:rsidR="00757E87">
        <w:rPr>
          <w:sz w:val="24"/>
          <w:lang w:eastAsia="ja-JP"/>
        </w:rPr>
        <w:t xml:space="preserve">group of </w:t>
      </w:r>
      <w:r w:rsidR="004A23D0">
        <w:rPr>
          <w:sz w:val="24"/>
          <w:lang w:eastAsia="ja-JP"/>
        </w:rPr>
        <w:t>dividend</w:t>
      </w:r>
      <w:r w:rsidR="007A7E19">
        <w:rPr>
          <w:sz w:val="24"/>
          <w:lang w:eastAsia="ja-JP"/>
        </w:rPr>
        <w:t>-</w:t>
      </w:r>
      <w:r w:rsidR="004A23D0">
        <w:rPr>
          <w:sz w:val="24"/>
          <w:lang w:eastAsia="ja-JP"/>
        </w:rPr>
        <w:t>collecting investors). T</w:t>
      </w:r>
      <w:r w:rsidR="00FD4EE1">
        <w:rPr>
          <w:sz w:val="24"/>
          <w:lang w:eastAsia="ja-JP"/>
        </w:rPr>
        <w:t xml:space="preserve">his </w:t>
      </w:r>
      <w:r w:rsidR="00757E87">
        <w:rPr>
          <w:sz w:val="24"/>
          <w:lang w:eastAsia="ja-JP"/>
        </w:rPr>
        <w:t xml:space="preserve">confirms our conjecture that speculating investors’ fear of future market illiquidity </w:t>
      </w:r>
      <w:r w:rsidR="007A7E19">
        <w:rPr>
          <w:sz w:val="24"/>
          <w:lang w:eastAsia="ja-JP"/>
        </w:rPr>
        <w:t xml:space="preserve">and price drops </w:t>
      </w:r>
      <w:r w:rsidR="00FD4EE1">
        <w:rPr>
          <w:sz w:val="24"/>
          <w:lang w:eastAsia="ja-JP"/>
        </w:rPr>
        <w:t xml:space="preserve">tends to </w:t>
      </w:r>
      <w:r w:rsidR="007C1F0F">
        <w:rPr>
          <w:sz w:val="24"/>
          <w:lang w:eastAsia="ja-JP"/>
        </w:rPr>
        <w:t xml:space="preserve">keep the </w:t>
      </w:r>
      <w:r w:rsidR="00FD4EE1">
        <w:rPr>
          <w:rFonts w:hint="eastAsia"/>
          <w:sz w:val="24"/>
          <w:lang w:eastAsia="ja-JP"/>
        </w:rPr>
        <w:t xml:space="preserve">prices </w:t>
      </w:r>
      <w:r w:rsidR="00FD4EE1">
        <w:rPr>
          <w:sz w:val="24"/>
          <w:lang w:eastAsia="ja-JP"/>
        </w:rPr>
        <w:t>below</w:t>
      </w:r>
      <w:r w:rsidR="00FD4EE1">
        <w:rPr>
          <w:rFonts w:hint="eastAsia"/>
          <w:sz w:val="24"/>
          <w:lang w:eastAsia="ja-JP"/>
        </w:rPr>
        <w:t xml:space="preserve"> </w:t>
      </w:r>
      <w:r w:rsidR="007C1F0F">
        <w:rPr>
          <w:sz w:val="24"/>
          <w:lang w:eastAsia="ja-JP"/>
        </w:rPr>
        <w:t xml:space="preserve">the </w:t>
      </w:r>
      <w:r w:rsidR="00FD4EE1">
        <w:rPr>
          <w:rFonts w:hint="eastAsia"/>
          <w:sz w:val="24"/>
          <w:lang w:eastAsia="ja-JP"/>
        </w:rPr>
        <w:t>fundamentals</w:t>
      </w:r>
      <w:r w:rsidR="004A23D0">
        <w:rPr>
          <w:sz w:val="24"/>
          <w:lang w:eastAsia="ja-JP"/>
        </w:rPr>
        <w:t>.</w:t>
      </w:r>
    </w:p>
    <w:p w14:paraId="1A62416A" w14:textId="3CB64564" w:rsidR="004A23D0" w:rsidRDefault="00B47857" w:rsidP="00AA66B6">
      <w:pPr>
        <w:spacing w:line="480" w:lineRule="auto"/>
        <w:ind w:firstLine="720"/>
        <w:jc w:val="both"/>
        <w:rPr>
          <w:sz w:val="24"/>
          <w:lang w:eastAsia="ja-JP"/>
        </w:rPr>
      </w:pPr>
      <w:r>
        <w:rPr>
          <w:sz w:val="24"/>
          <w:lang w:eastAsia="ja-JP"/>
        </w:rPr>
        <w:t xml:space="preserve">From these observations </w:t>
      </w:r>
      <w:r w:rsidR="007C1F0F">
        <w:rPr>
          <w:sz w:val="24"/>
          <w:lang w:eastAsia="ja-JP"/>
        </w:rPr>
        <w:t xml:space="preserve">it appears likely </w:t>
      </w:r>
      <w:r>
        <w:rPr>
          <w:sz w:val="24"/>
          <w:lang w:eastAsia="ja-JP"/>
        </w:rPr>
        <w:t xml:space="preserve">that mispricing </w:t>
      </w:r>
      <w:r w:rsidR="007C1F0F">
        <w:rPr>
          <w:sz w:val="24"/>
          <w:lang w:eastAsia="ja-JP"/>
        </w:rPr>
        <w:t>here</w:t>
      </w:r>
      <w:r>
        <w:rPr>
          <w:sz w:val="24"/>
          <w:lang w:eastAsia="ja-JP"/>
        </w:rPr>
        <w:t xml:space="preserve"> is mainly </w:t>
      </w:r>
      <w:r w:rsidR="007C1F0F">
        <w:rPr>
          <w:sz w:val="24"/>
          <w:lang w:eastAsia="ja-JP"/>
        </w:rPr>
        <w:t xml:space="preserve">strategic and not just error by speculating investors. </w:t>
      </w:r>
      <w:r>
        <w:rPr>
          <w:sz w:val="24"/>
          <w:lang w:eastAsia="ja-JP"/>
        </w:rPr>
        <w:t>Overpricing in high-liquidity treatments occur</w:t>
      </w:r>
      <w:r w:rsidR="00955BC3">
        <w:rPr>
          <w:sz w:val="24"/>
          <w:lang w:eastAsia="ja-JP"/>
        </w:rPr>
        <w:t>s</w:t>
      </w:r>
      <w:r>
        <w:rPr>
          <w:sz w:val="24"/>
          <w:lang w:eastAsia="ja-JP"/>
        </w:rPr>
        <w:t xml:space="preserve"> due to investors’ </w:t>
      </w:r>
      <w:r w:rsidR="00AD601C">
        <w:rPr>
          <w:sz w:val="24"/>
          <w:lang w:eastAsia="ja-JP"/>
        </w:rPr>
        <w:t>“buy low and sell high” strateg</w:t>
      </w:r>
      <w:r w:rsidR="006070DD">
        <w:rPr>
          <w:sz w:val="24"/>
          <w:lang w:eastAsia="ja-JP"/>
        </w:rPr>
        <w:t>y</w:t>
      </w:r>
      <w:r w:rsidR="00AD601C">
        <w:rPr>
          <w:sz w:val="24"/>
          <w:lang w:eastAsia="ja-JP"/>
        </w:rPr>
        <w:t>; undervaluation in low-liquidity treatments occur</w:t>
      </w:r>
      <w:r w:rsidR="00955BC3">
        <w:rPr>
          <w:sz w:val="24"/>
          <w:lang w:eastAsia="ja-JP"/>
        </w:rPr>
        <w:t>s</w:t>
      </w:r>
      <w:r w:rsidR="00AD601C">
        <w:rPr>
          <w:sz w:val="24"/>
          <w:lang w:eastAsia="ja-JP"/>
        </w:rPr>
        <w:t xml:space="preserve"> due to </w:t>
      </w:r>
      <w:r w:rsidR="006070DD">
        <w:rPr>
          <w:sz w:val="24"/>
          <w:lang w:eastAsia="ja-JP"/>
        </w:rPr>
        <w:t xml:space="preserve">their </w:t>
      </w:r>
      <w:r w:rsidR="00955BC3">
        <w:rPr>
          <w:sz w:val="24"/>
          <w:lang w:eastAsia="ja-JP"/>
        </w:rPr>
        <w:t>anticipation of low</w:t>
      </w:r>
      <w:r w:rsidR="007A7E19">
        <w:rPr>
          <w:sz w:val="24"/>
          <w:lang w:eastAsia="ja-JP"/>
        </w:rPr>
        <w:t xml:space="preserve"> </w:t>
      </w:r>
      <w:r w:rsidR="00955BC3">
        <w:rPr>
          <w:sz w:val="24"/>
          <w:lang w:eastAsia="ja-JP"/>
        </w:rPr>
        <w:t xml:space="preserve">price in the </w:t>
      </w:r>
      <w:r w:rsidR="007A7E19">
        <w:rPr>
          <w:sz w:val="24"/>
          <w:lang w:eastAsia="ja-JP"/>
        </w:rPr>
        <w:t>future</w:t>
      </w:r>
      <w:r w:rsidR="006070DD">
        <w:rPr>
          <w:sz w:val="24"/>
          <w:lang w:eastAsia="ja-JP"/>
        </w:rPr>
        <w:t xml:space="preserve">. </w:t>
      </w:r>
      <w:r w:rsidR="007A7E19">
        <w:rPr>
          <w:sz w:val="24"/>
          <w:lang w:eastAsia="ja-JP"/>
        </w:rPr>
        <w:t xml:space="preserve">These </w:t>
      </w:r>
      <w:r w:rsidR="006070DD">
        <w:rPr>
          <w:sz w:val="24"/>
          <w:lang w:eastAsia="ja-JP"/>
        </w:rPr>
        <w:t xml:space="preserve">strategies </w:t>
      </w:r>
      <w:r w:rsidR="00955BC3">
        <w:rPr>
          <w:sz w:val="24"/>
          <w:lang w:eastAsia="ja-JP"/>
        </w:rPr>
        <w:t xml:space="preserve">arise not from </w:t>
      </w:r>
      <w:r w:rsidR="006070DD">
        <w:rPr>
          <w:sz w:val="24"/>
          <w:lang w:eastAsia="ja-JP"/>
        </w:rPr>
        <w:t>REE</w:t>
      </w:r>
      <w:r w:rsidR="00536D6B">
        <w:rPr>
          <w:sz w:val="24"/>
          <w:lang w:eastAsia="ja-JP"/>
        </w:rPr>
        <w:t xml:space="preserve">, but </w:t>
      </w:r>
      <w:r w:rsidR="00955BC3">
        <w:rPr>
          <w:sz w:val="24"/>
          <w:lang w:eastAsia="ja-JP"/>
        </w:rPr>
        <w:t xml:space="preserve">from </w:t>
      </w:r>
      <w:r w:rsidR="00F06782">
        <w:rPr>
          <w:sz w:val="24"/>
          <w:lang w:eastAsia="ja-JP"/>
        </w:rPr>
        <w:t>the difficulty of forming (common knowledge of) rational expectations.</w:t>
      </w:r>
    </w:p>
    <w:p w14:paraId="33265B9F" w14:textId="77777777" w:rsidR="00BC7F45" w:rsidRPr="00D70B56" w:rsidRDefault="00283C74" w:rsidP="00BC7F45">
      <w:pPr>
        <w:spacing w:line="480" w:lineRule="auto"/>
        <w:jc w:val="center"/>
        <w:rPr>
          <w:i/>
          <w:sz w:val="24"/>
          <w:lang w:eastAsia="ja-JP"/>
        </w:rPr>
      </w:pPr>
      <w:r>
        <w:rPr>
          <w:i/>
          <w:sz w:val="24"/>
          <w:lang w:eastAsia="ja-JP"/>
        </w:rPr>
        <w:t>(</w:t>
      </w:r>
      <w:r w:rsidR="00BC7F45">
        <w:rPr>
          <w:i/>
          <w:sz w:val="24"/>
          <w:lang w:eastAsia="ja-JP"/>
        </w:rPr>
        <w:t>Figure</w:t>
      </w:r>
      <w:r w:rsidR="00BC7F45" w:rsidRPr="00D70B56">
        <w:rPr>
          <w:i/>
          <w:sz w:val="24"/>
          <w:lang w:eastAsia="ja-JP"/>
        </w:rPr>
        <w:t xml:space="preserve"> </w:t>
      </w:r>
      <w:r w:rsidR="00BC7F45">
        <w:rPr>
          <w:i/>
          <w:sz w:val="24"/>
          <w:lang w:eastAsia="ja-JP"/>
        </w:rPr>
        <w:t>6</w:t>
      </w:r>
      <w:r w:rsidR="00BC7F45" w:rsidRPr="00D70B56">
        <w:rPr>
          <w:i/>
          <w:sz w:val="24"/>
          <w:lang w:eastAsia="ja-JP"/>
        </w:rPr>
        <w:t xml:space="preserve"> about here</w:t>
      </w:r>
      <w:r>
        <w:rPr>
          <w:i/>
          <w:sz w:val="24"/>
          <w:lang w:eastAsia="ja-JP"/>
        </w:rPr>
        <w:t>)</w:t>
      </w:r>
    </w:p>
    <w:p w14:paraId="744DAE14" w14:textId="77777777" w:rsidR="008A47C6" w:rsidRDefault="008A47C6" w:rsidP="00AA66B6">
      <w:pPr>
        <w:spacing w:line="480" w:lineRule="auto"/>
        <w:ind w:firstLine="720"/>
        <w:jc w:val="both"/>
        <w:rPr>
          <w:sz w:val="24"/>
          <w:lang w:eastAsia="ja-JP"/>
        </w:rPr>
      </w:pPr>
    </w:p>
    <w:p w14:paraId="4F9E6E81" w14:textId="7D694F88" w:rsidR="008A47C6" w:rsidRDefault="008A47C6" w:rsidP="008A47C6">
      <w:pPr>
        <w:spacing w:line="480" w:lineRule="auto"/>
        <w:jc w:val="both"/>
        <w:rPr>
          <w:sz w:val="24"/>
          <w:lang w:eastAsia="ja-JP"/>
        </w:rPr>
      </w:pPr>
      <w:r>
        <w:rPr>
          <w:sz w:val="24"/>
          <w:lang w:eastAsia="ja-JP"/>
        </w:rPr>
        <w:t>4</w:t>
      </w:r>
      <w:r>
        <w:rPr>
          <w:rFonts w:hint="eastAsia"/>
          <w:sz w:val="24"/>
          <w:lang w:eastAsia="ja-JP"/>
        </w:rPr>
        <w:t>.</w:t>
      </w:r>
      <w:r w:rsidR="009653C7">
        <w:rPr>
          <w:sz w:val="24"/>
          <w:lang w:eastAsia="ja-JP"/>
        </w:rPr>
        <w:t>4</w:t>
      </w:r>
      <w:r>
        <w:rPr>
          <w:rFonts w:hint="eastAsia"/>
          <w:sz w:val="24"/>
          <w:lang w:eastAsia="ja-JP"/>
        </w:rPr>
        <w:t xml:space="preserve"> </w:t>
      </w:r>
      <w:r>
        <w:rPr>
          <w:sz w:val="24"/>
          <w:lang w:eastAsia="ja-JP"/>
        </w:rPr>
        <w:t>Volatility of prices</w:t>
      </w:r>
    </w:p>
    <w:p w14:paraId="0C022621" w14:textId="3790E765" w:rsidR="008A47C6" w:rsidRPr="003D580D" w:rsidRDefault="008A47C6" w:rsidP="008A47C6">
      <w:pPr>
        <w:spacing w:after="120" w:line="480" w:lineRule="auto"/>
        <w:ind w:firstLine="720"/>
        <w:jc w:val="both"/>
        <w:rPr>
          <w:sz w:val="24"/>
          <w:szCs w:val="24"/>
        </w:rPr>
      </w:pPr>
      <w:r w:rsidRPr="003D580D">
        <w:rPr>
          <w:sz w:val="24"/>
          <w:szCs w:val="24"/>
        </w:rPr>
        <w:t xml:space="preserve">To </w:t>
      </w:r>
      <w:r>
        <w:rPr>
          <w:sz w:val="24"/>
          <w:szCs w:val="24"/>
        </w:rPr>
        <w:t>estimate</w:t>
      </w:r>
      <w:r w:rsidRPr="003D580D">
        <w:rPr>
          <w:sz w:val="24"/>
          <w:szCs w:val="24"/>
        </w:rPr>
        <w:t xml:space="preserve"> </w:t>
      </w:r>
      <w:r w:rsidR="003B14F8">
        <w:rPr>
          <w:sz w:val="24"/>
          <w:szCs w:val="24"/>
        </w:rPr>
        <w:t xml:space="preserve">within-period </w:t>
      </w:r>
      <w:r w:rsidRPr="003D580D">
        <w:rPr>
          <w:sz w:val="24"/>
          <w:szCs w:val="24"/>
        </w:rPr>
        <w:t>price volatility, we calculate for each period the standard deviation of log-returns (</w:t>
      </w:r>
      <w:r w:rsidRPr="005926E0">
        <w:rPr>
          <w:i/>
          <w:sz w:val="24"/>
          <w:szCs w:val="24"/>
        </w:rPr>
        <w:t>VOLA</w:t>
      </w:r>
      <w:r w:rsidRPr="003D580D">
        <w:rPr>
          <w:sz w:val="24"/>
          <w:szCs w:val="24"/>
        </w:rPr>
        <w:t xml:space="preserve">) </w:t>
      </w:r>
      <w:r w:rsidR="003B14F8">
        <w:rPr>
          <w:sz w:val="24"/>
          <w:szCs w:val="24"/>
        </w:rPr>
        <w:t>using (</w:t>
      </w:r>
      <w:r w:rsidR="009360D2">
        <w:rPr>
          <w:sz w:val="24"/>
          <w:szCs w:val="24"/>
        </w:rPr>
        <w:t>11</w:t>
      </w:r>
      <w:r w:rsidR="003B14F8">
        <w:rPr>
          <w:sz w:val="24"/>
          <w:szCs w:val="24"/>
        </w:rPr>
        <w:t xml:space="preserve">) </w:t>
      </w:r>
      <w:r w:rsidRPr="003D580D">
        <w:rPr>
          <w:sz w:val="24"/>
          <w:szCs w:val="24"/>
        </w:rPr>
        <w:t xml:space="preserve">(here </w:t>
      </w:r>
      <m:oMath>
        <m:r>
          <w:rPr>
            <w:rFonts w:ascii="Cambria Math" w:hAnsi="Cambria Math"/>
            <w:sz w:val="24"/>
            <w:szCs w:val="24"/>
          </w:rPr>
          <m:t>RET</m:t>
        </m:r>
      </m:oMath>
      <w:r w:rsidRPr="003D580D">
        <w:rPr>
          <w:sz w:val="24"/>
          <w:szCs w:val="24"/>
          <w:vertAlign w:val="subscript"/>
        </w:rPr>
        <w:t>t</w:t>
      </w:r>
      <w:r w:rsidR="003B14F8">
        <w:rPr>
          <w:sz w:val="24"/>
          <w:szCs w:val="24"/>
          <w:vertAlign w:val="subscript"/>
        </w:rPr>
        <w:t xml:space="preserve"> </w:t>
      </w:r>
      <w:r w:rsidRPr="003D580D">
        <w:rPr>
          <w:sz w:val="24"/>
          <w:szCs w:val="24"/>
        </w:rPr>
        <w:t>=</w:t>
      </w:r>
      <w:r w:rsidR="003B14F8">
        <w:rPr>
          <w:sz w:val="24"/>
          <w:szCs w:val="24"/>
        </w:rPr>
        <w:t xml:space="preserve"> </w:t>
      </w:r>
      <w:proofErr w:type="gramStart"/>
      <w:r w:rsidRPr="003D580D">
        <w:rPr>
          <w:sz w:val="24"/>
          <w:szCs w:val="24"/>
        </w:rPr>
        <w:t>ln(</w:t>
      </w:r>
      <w:proofErr w:type="gramEnd"/>
      <w:r w:rsidRPr="003D580D">
        <w:rPr>
          <w:sz w:val="24"/>
          <w:szCs w:val="24"/>
        </w:rPr>
        <w:t>P</w:t>
      </w:r>
      <w:r w:rsidRPr="003D580D">
        <w:rPr>
          <w:sz w:val="24"/>
          <w:szCs w:val="24"/>
          <w:vertAlign w:val="subscript"/>
        </w:rPr>
        <w:t>t</w:t>
      </w:r>
      <w:r w:rsidRPr="003D580D">
        <w:rPr>
          <w:sz w:val="24"/>
          <w:szCs w:val="24"/>
        </w:rPr>
        <w:t>/P</w:t>
      </w:r>
      <w:r w:rsidRPr="003D580D">
        <w:rPr>
          <w:sz w:val="24"/>
          <w:szCs w:val="24"/>
          <w:vertAlign w:val="subscript"/>
        </w:rPr>
        <w:t>t-1</w:t>
      </w:r>
      <w:r w:rsidRPr="003D580D">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RET</m:t>
            </m:r>
          </m:e>
        </m:acc>
      </m:oMath>
      <w:r w:rsidRPr="003D580D">
        <w:rPr>
          <w:sz w:val="24"/>
          <w:szCs w:val="24"/>
        </w:rPr>
        <w:t xml:space="preserve">: mean of log returns in period </w:t>
      </w:r>
      <w:r w:rsidRPr="005926E0">
        <w:rPr>
          <w:i/>
          <w:sz w:val="24"/>
          <w:szCs w:val="24"/>
        </w:rPr>
        <w:t>p</w:t>
      </w:r>
      <w:r w:rsidRPr="003D580D">
        <w:rPr>
          <w:sz w:val="24"/>
          <w:szCs w:val="24"/>
        </w:rPr>
        <w:t xml:space="preserve">; </w:t>
      </w:r>
      <w:r w:rsidRPr="005926E0">
        <w:rPr>
          <w:i/>
          <w:sz w:val="24"/>
          <w:szCs w:val="24"/>
        </w:rPr>
        <w:t>T</w:t>
      </w:r>
      <w:r w:rsidR="003B14F8">
        <w:rPr>
          <w:sz w:val="24"/>
          <w:szCs w:val="24"/>
        </w:rPr>
        <w:t xml:space="preserve"> </w:t>
      </w:r>
      <w:r w:rsidRPr="003D580D">
        <w:rPr>
          <w:sz w:val="24"/>
          <w:szCs w:val="24"/>
        </w:rPr>
        <w:t>=</w:t>
      </w:r>
      <w:r w:rsidR="003B14F8">
        <w:rPr>
          <w:sz w:val="24"/>
          <w:szCs w:val="24"/>
        </w:rPr>
        <w:t xml:space="preserve"> </w:t>
      </w:r>
      <w:r w:rsidRPr="003D580D">
        <w:rPr>
          <w:sz w:val="24"/>
          <w:szCs w:val="24"/>
        </w:rPr>
        <w:t xml:space="preserve">number of transactions in period </w:t>
      </w:r>
      <w:r w:rsidRPr="005926E0">
        <w:rPr>
          <w:i/>
          <w:sz w:val="24"/>
          <w:szCs w:val="24"/>
        </w:rPr>
        <w:t>p</w:t>
      </w:r>
      <w:r w:rsidR="008F36F3">
        <w:rPr>
          <w:sz w:val="24"/>
          <w:szCs w:val="24"/>
        </w:rPr>
        <w:t>).</w:t>
      </w:r>
    </w:p>
    <w:p w14:paraId="497D7C9B" w14:textId="7B1F1C02" w:rsidR="008A47C6" w:rsidRPr="00DC0547" w:rsidRDefault="008A47C6" w:rsidP="008A47C6">
      <w:pPr>
        <w:tabs>
          <w:tab w:val="right" w:pos="9072"/>
        </w:tabs>
        <w:spacing w:line="480" w:lineRule="auto"/>
        <w:ind w:firstLine="720"/>
        <w:jc w:val="both"/>
        <w:rPr>
          <w:sz w:val="24"/>
          <w:szCs w:val="24"/>
          <w:lang w:eastAsia="ja-JP"/>
        </w:rPr>
      </w:pPr>
      <w:r w:rsidRPr="003D580D">
        <w:rPr>
          <w:noProof/>
          <w:sz w:val="24"/>
          <w:szCs w:val="24"/>
          <w:lang w:val="de-DE" w:eastAsia="de-DE"/>
        </w:rPr>
        <w:lastRenderedPageBreak/>
        <w:drawing>
          <wp:inline distT="0" distB="0" distL="0" distR="0" wp14:anchorId="0AEBE863" wp14:editId="173ED33E">
            <wp:extent cx="2483892" cy="318908"/>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82290" cy="318702"/>
                    </a:xfrm>
                    <a:prstGeom prst="rect">
                      <a:avLst/>
                    </a:prstGeom>
                  </pic:spPr>
                </pic:pic>
              </a:graphicData>
            </a:graphic>
          </wp:inline>
        </w:drawing>
      </w:r>
      <w:r w:rsidRPr="00402739">
        <w:rPr>
          <w:sz w:val="24"/>
          <w:szCs w:val="24"/>
          <w:lang w:eastAsia="ja-JP"/>
        </w:rPr>
        <w:tab/>
      </w:r>
      <w:r w:rsidR="007819FF" w:rsidRPr="00DC0547">
        <w:rPr>
          <w:sz w:val="24"/>
          <w:szCs w:val="24"/>
          <w:lang w:eastAsia="ja-JP"/>
        </w:rPr>
        <w:t>(</w:t>
      </w:r>
      <w:r w:rsidR="007819FF" w:rsidRPr="00E647AF">
        <w:rPr>
          <w:sz w:val="24"/>
          <w:szCs w:val="24"/>
          <w:lang w:eastAsia="ja-JP"/>
        </w:rPr>
        <w:t>11</w:t>
      </w:r>
      <w:r w:rsidR="007819FF" w:rsidRPr="00DC0547">
        <w:rPr>
          <w:sz w:val="24"/>
          <w:szCs w:val="24"/>
          <w:lang w:eastAsia="ja-JP"/>
        </w:rPr>
        <w:t>)</w:t>
      </w:r>
    </w:p>
    <w:p w14:paraId="6E221E1F" w14:textId="3F510218" w:rsidR="008A47C6" w:rsidRDefault="00757E87" w:rsidP="008A47C6">
      <w:pPr>
        <w:spacing w:after="120" w:line="480" w:lineRule="auto"/>
        <w:ind w:firstLine="720"/>
        <w:jc w:val="both"/>
        <w:rPr>
          <w:sz w:val="24"/>
          <w:lang w:eastAsia="ja-JP"/>
        </w:rPr>
      </w:pPr>
      <w:r>
        <w:rPr>
          <w:sz w:val="24"/>
          <w:szCs w:val="24"/>
        </w:rPr>
        <w:t xml:space="preserve">Table 7 </w:t>
      </w:r>
      <w:r w:rsidR="008A47C6" w:rsidRPr="003D580D">
        <w:rPr>
          <w:sz w:val="24"/>
          <w:szCs w:val="24"/>
        </w:rPr>
        <w:t>compare</w:t>
      </w:r>
      <w:r>
        <w:rPr>
          <w:sz w:val="24"/>
          <w:szCs w:val="24"/>
        </w:rPr>
        <w:t>s</w:t>
      </w:r>
      <w:r w:rsidR="008A47C6" w:rsidRPr="003D580D">
        <w:rPr>
          <w:sz w:val="24"/>
          <w:szCs w:val="24"/>
        </w:rPr>
        <w:t xml:space="preserve"> average </w:t>
      </w:r>
      <w:r w:rsidR="008A47C6">
        <w:rPr>
          <w:sz w:val="24"/>
          <w:szCs w:val="24"/>
        </w:rPr>
        <w:t>p</w:t>
      </w:r>
      <w:r w:rsidR="008A47C6" w:rsidRPr="003D580D">
        <w:rPr>
          <w:sz w:val="24"/>
          <w:szCs w:val="24"/>
        </w:rPr>
        <w:t>eriod-</w:t>
      </w:r>
      <w:r w:rsidR="008A47C6" w:rsidRPr="005926E0">
        <w:rPr>
          <w:i/>
          <w:sz w:val="24"/>
          <w:szCs w:val="24"/>
        </w:rPr>
        <w:t>VOLA</w:t>
      </w:r>
      <w:r w:rsidR="008A47C6" w:rsidRPr="003D580D">
        <w:rPr>
          <w:sz w:val="24"/>
          <w:szCs w:val="24"/>
        </w:rPr>
        <w:t xml:space="preserve"> across all periods with dividend-collecting investors (0.135 in H and 0.091 in L) with periods populated only by speculating invest</w:t>
      </w:r>
      <w:r w:rsidR="00DC0547">
        <w:rPr>
          <w:sz w:val="24"/>
          <w:szCs w:val="24"/>
        </w:rPr>
        <w:t>ors (0.222 in H and 0.266 in L)</w:t>
      </w:r>
      <w:r w:rsidR="00955BC3">
        <w:rPr>
          <w:sz w:val="24"/>
          <w:szCs w:val="24"/>
        </w:rPr>
        <w:t xml:space="preserve">, and the differences </w:t>
      </w:r>
      <w:r w:rsidR="008A47C6" w:rsidRPr="003D580D">
        <w:rPr>
          <w:sz w:val="24"/>
          <w:szCs w:val="24"/>
        </w:rPr>
        <w:t xml:space="preserve">(0.086 in H and 0.175 in L) </w:t>
      </w:r>
      <w:r w:rsidR="00955BC3">
        <w:rPr>
          <w:sz w:val="24"/>
          <w:szCs w:val="24"/>
        </w:rPr>
        <w:t>are</w:t>
      </w:r>
      <w:r w:rsidR="008A47C6" w:rsidRPr="003D580D">
        <w:rPr>
          <w:sz w:val="24"/>
          <w:szCs w:val="24"/>
        </w:rPr>
        <w:t xml:space="preserve"> large in abs</w:t>
      </w:r>
      <w:r w:rsidR="008A47C6" w:rsidRPr="003D580D">
        <w:rPr>
          <w:sz w:val="24"/>
          <w:szCs w:val="24"/>
        </w:rPr>
        <w:t>o</w:t>
      </w:r>
      <w:r w:rsidR="008A47C6" w:rsidRPr="003D580D">
        <w:rPr>
          <w:sz w:val="24"/>
          <w:szCs w:val="24"/>
        </w:rPr>
        <w:t xml:space="preserve">lute terms and statistically significant at the 1% level for each </w:t>
      </w:r>
      <w:r w:rsidR="008A47C6">
        <w:rPr>
          <w:sz w:val="24"/>
          <w:szCs w:val="24"/>
        </w:rPr>
        <w:t>of the two</w:t>
      </w:r>
      <w:r w:rsidR="008A47C6" w:rsidRPr="003D580D">
        <w:rPr>
          <w:sz w:val="24"/>
          <w:szCs w:val="24"/>
        </w:rPr>
        <w:t xml:space="preserve"> treatment</w:t>
      </w:r>
      <w:r w:rsidR="008A47C6">
        <w:rPr>
          <w:sz w:val="24"/>
          <w:szCs w:val="24"/>
        </w:rPr>
        <w:t>s</w:t>
      </w:r>
      <w:r w:rsidR="008A47C6" w:rsidRPr="003D580D">
        <w:rPr>
          <w:sz w:val="24"/>
          <w:szCs w:val="24"/>
        </w:rPr>
        <w:t xml:space="preserve"> (two-sided </w:t>
      </w:r>
      <w:r w:rsidR="008A47C6" w:rsidRPr="005926E0">
        <w:rPr>
          <w:i/>
          <w:sz w:val="24"/>
          <w:szCs w:val="24"/>
        </w:rPr>
        <w:t>t</w:t>
      </w:r>
      <w:r w:rsidR="008A47C6" w:rsidRPr="003D580D">
        <w:rPr>
          <w:sz w:val="24"/>
          <w:szCs w:val="24"/>
        </w:rPr>
        <w:t>-test</w:t>
      </w:r>
      <w:r w:rsidR="008A47C6">
        <w:rPr>
          <w:sz w:val="24"/>
          <w:szCs w:val="24"/>
        </w:rPr>
        <w:t>s</w:t>
      </w:r>
      <w:r w:rsidR="008A47C6" w:rsidRPr="003D580D">
        <w:rPr>
          <w:sz w:val="24"/>
          <w:szCs w:val="24"/>
        </w:rPr>
        <w:t>). These results indicate that speculating investors introduce a higher level of price volatility to the market</w:t>
      </w:r>
      <w:r>
        <w:rPr>
          <w:sz w:val="24"/>
          <w:szCs w:val="24"/>
        </w:rPr>
        <w:t xml:space="preserve"> even within a period</w:t>
      </w:r>
      <w:r w:rsidR="008A47C6" w:rsidRPr="003D580D">
        <w:rPr>
          <w:sz w:val="24"/>
          <w:szCs w:val="24"/>
        </w:rPr>
        <w:t xml:space="preserve">. </w:t>
      </w:r>
      <w:r w:rsidR="00955BC3">
        <w:rPr>
          <w:sz w:val="24"/>
          <w:szCs w:val="24"/>
        </w:rPr>
        <w:t>When</w:t>
      </w:r>
      <w:r w:rsidR="00955BC3" w:rsidRPr="003D580D">
        <w:rPr>
          <w:sz w:val="24"/>
          <w:szCs w:val="24"/>
        </w:rPr>
        <w:t xml:space="preserve"> </w:t>
      </w:r>
      <w:r w:rsidR="008A47C6" w:rsidRPr="003D580D">
        <w:rPr>
          <w:sz w:val="24"/>
          <w:szCs w:val="24"/>
        </w:rPr>
        <w:t>dividend-collecting investors are present</w:t>
      </w:r>
      <w:r w:rsidR="00955BC3">
        <w:rPr>
          <w:sz w:val="24"/>
          <w:szCs w:val="24"/>
        </w:rPr>
        <w:t>,</w:t>
      </w:r>
      <w:r w:rsidR="008A47C6" w:rsidRPr="003D580D">
        <w:rPr>
          <w:sz w:val="24"/>
          <w:szCs w:val="24"/>
        </w:rPr>
        <w:t xml:space="preserve"> volatility is significantly lower.</w:t>
      </w:r>
      <w:r w:rsidR="0053487C">
        <w:rPr>
          <w:sz w:val="24"/>
          <w:szCs w:val="24"/>
        </w:rPr>
        <w:t xml:space="preserve"> </w:t>
      </w:r>
      <w:r w:rsidR="0053487C">
        <w:rPr>
          <w:sz w:val="24"/>
          <w:lang w:eastAsia="ja-JP"/>
        </w:rPr>
        <w:t xml:space="preserve">The </w:t>
      </w:r>
      <w:r w:rsidR="005C1C01">
        <w:rPr>
          <w:sz w:val="24"/>
          <w:lang w:eastAsia="ja-JP"/>
        </w:rPr>
        <w:t>n</w:t>
      </w:r>
      <w:r w:rsidR="0053487C">
        <w:rPr>
          <w:sz w:val="24"/>
          <w:lang w:eastAsia="ja-JP"/>
        </w:rPr>
        <w:t xml:space="preserve">ull hypothesis </w:t>
      </w:r>
      <w:r w:rsidR="0053487C" w:rsidRPr="005926E0">
        <w:rPr>
          <w:i/>
          <w:sz w:val="24"/>
          <w:lang w:eastAsia="ja-JP"/>
        </w:rPr>
        <w:t>IV</w:t>
      </w:r>
      <w:r w:rsidR="0053487C" w:rsidRPr="005926E0">
        <w:rPr>
          <w:i/>
          <w:sz w:val="24"/>
          <w:vertAlign w:val="subscript"/>
          <w:lang w:eastAsia="ja-JP"/>
        </w:rPr>
        <w:t>0</w:t>
      </w:r>
      <w:r w:rsidR="0053487C">
        <w:rPr>
          <w:sz w:val="24"/>
          <w:lang w:eastAsia="ja-JP"/>
        </w:rPr>
        <w:t xml:space="preserve"> (that the presence of </w:t>
      </w:r>
      <w:r w:rsidR="0053487C">
        <w:rPr>
          <w:rFonts w:hint="eastAsia"/>
          <w:sz w:val="24"/>
          <w:lang w:eastAsia="ja-JP"/>
        </w:rPr>
        <w:t>spec</w:t>
      </w:r>
      <w:r w:rsidR="0053487C">
        <w:rPr>
          <w:rFonts w:hint="eastAsia"/>
          <w:sz w:val="24"/>
          <w:lang w:eastAsia="ja-JP"/>
        </w:rPr>
        <w:t>u</w:t>
      </w:r>
      <w:r w:rsidR="0053487C">
        <w:rPr>
          <w:rFonts w:hint="eastAsia"/>
          <w:sz w:val="24"/>
          <w:lang w:eastAsia="ja-JP"/>
        </w:rPr>
        <w:t>lating investors</w:t>
      </w:r>
      <w:r w:rsidR="0053487C">
        <w:rPr>
          <w:sz w:val="24"/>
          <w:lang w:eastAsia="ja-JP"/>
        </w:rPr>
        <w:t xml:space="preserve"> does not impact price volatility) can be rejected in favor of the alternative </w:t>
      </w:r>
      <w:r w:rsidR="0053487C" w:rsidRPr="005926E0">
        <w:rPr>
          <w:i/>
          <w:sz w:val="24"/>
          <w:lang w:eastAsia="ja-JP"/>
        </w:rPr>
        <w:t>IV</w:t>
      </w:r>
      <w:r w:rsidR="0053487C" w:rsidRPr="005926E0">
        <w:rPr>
          <w:i/>
          <w:sz w:val="24"/>
          <w:vertAlign w:val="subscript"/>
          <w:lang w:eastAsia="ja-JP"/>
        </w:rPr>
        <w:t>A</w:t>
      </w:r>
      <w:r w:rsidR="0053487C">
        <w:rPr>
          <w:rFonts w:hint="eastAsia"/>
          <w:sz w:val="24"/>
          <w:lang w:eastAsia="ja-JP"/>
        </w:rPr>
        <w:t>.</w:t>
      </w:r>
      <w:r>
        <w:rPr>
          <w:sz w:val="24"/>
          <w:lang w:eastAsia="ja-JP"/>
        </w:rPr>
        <w:t xml:space="preserve"> </w:t>
      </w:r>
    </w:p>
    <w:p w14:paraId="01E557AA" w14:textId="61D2FB47" w:rsidR="00F06782" w:rsidRDefault="00F06782" w:rsidP="00955BC3">
      <w:pPr>
        <w:spacing w:line="480" w:lineRule="auto"/>
        <w:jc w:val="center"/>
        <w:rPr>
          <w:i/>
          <w:sz w:val="24"/>
          <w:lang w:eastAsia="ja-JP"/>
        </w:rPr>
      </w:pPr>
      <w:r>
        <w:rPr>
          <w:i/>
          <w:sz w:val="24"/>
          <w:lang w:eastAsia="ja-JP"/>
        </w:rPr>
        <w:t>(Table 7</w:t>
      </w:r>
      <w:r w:rsidRPr="00D70B56">
        <w:rPr>
          <w:i/>
          <w:sz w:val="24"/>
          <w:lang w:eastAsia="ja-JP"/>
        </w:rPr>
        <w:t xml:space="preserve"> about here</w:t>
      </w:r>
      <w:r>
        <w:rPr>
          <w:i/>
          <w:sz w:val="24"/>
          <w:lang w:eastAsia="ja-JP"/>
        </w:rPr>
        <w:t>)</w:t>
      </w:r>
    </w:p>
    <w:p w14:paraId="49704F26" w14:textId="77777777" w:rsidR="00F06782" w:rsidRPr="003D580D" w:rsidRDefault="00F06782" w:rsidP="00955BC3">
      <w:pPr>
        <w:spacing w:line="480" w:lineRule="auto"/>
        <w:jc w:val="center"/>
        <w:rPr>
          <w:sz w:val="24"/>
          <w:szCs w:val="24"/>
        </w:rPr>
      </w:pPr>
    </w:p>
    <w:p w14:paraId="5A689706" w14:textId="07DDD89B" w:rsidR="00B67A3C" w:rsidRPr="00C33E8E" w:rsidRDefault="00DE3FAD" w:rsidP="00B67A3C">
      <w:pPr>
        <w:spacing w:line="480" w:lineRule="auto"/>
        <w:jc w:val="both"/>
        <w:rPr>
          <w:sz w:val="24"/>
          <w:lang w:eastAsia="ja-JP"/>
        </w:rPr>
      </w:pPr>
      <w:r>
        <w:rPr>
          <w:sz w:val="24"/>
          <w:lang w:eastAsia="ja-JP"/>
        </w:rPr>
        <w:t>4.5</w:t>
      </w:r>
      <w:r w:rsidR="00B67A3C">
        <w:rPr>
          <w:sz w:val="24"/>
          <w:lang w:eastAsia="ja-JP"/>
        </w:rPr>
        <w:t>.</w:t>
      </w:r>
      <w:r w:rsidR="00B67A3C" w:rsidRPr="00C33E8E">
        <w:rPr>
          <w:rFonts w:hint="eastAsia"/>
          <w:sz w:val="24"/>
          <w:lang w:eastAsia="ja-JP"/>
        </w:rPr>
        <w:t xml:space="preserve"> </w:t>
      </w:r>
      <w:r w:rsidR="00B67A3C" w:rsidRPr="00C33E8E">
        <w:rPr>
          <w:sz w:val="24"/>
          <w:lang w:eastAsia="ja-JP"/>
        </w:rPr>
        <w:t xml:space="preserve">Formation of </w:t>
      </w:r>
      <w:r w:rsidR="00B67A3C" w:rsidRPr="00C33E8E">
        <w:rPr>
          <w:rFonts w:hint="eastAsia"/>
          <w:sz w:val="24"/>
          <w:lang w:eastAsia="ja-JP"/>
        </w:rPr>
        <w:t>Expectations</w:t>
      </w:r>
    </w:p>
    <w:p w14:paraId="3B072A66" w14:textId="4B9C9D1B" w:rsidR="004379ED" w:rsidRDefault="009360D2" w:rsidP="00B67A3C">
      <w:pPr>
        <w:spacing w:line="480" w:lineRule="auto"/>
        <w:ind w:firstLine="720"/>
        <w:jc w:val="both"/>
        <w:rPr>
          <w:sz w:val="24"/>
          <w:lang w:eastAsia="ja-JP"/>
        </w:rPr>
      </w:pPr>
      <w:r>
        <w:rPr>
          <w:sz w:val="24"/>
          <w:lang w:eastAsia="ja-JP"/>
        </w:rPr>
        <w:t xml:space="preserve">Lastly, we investigate formation of price expectations and examine whether it differs between markets with dividend-collecting investors and </w:t>
      </w:r>
      <w:r w:rsidR="00C40B63">
        <w:rPr>
          <w:sz w:val="24"/>
          <w:lang w:eastAsia="ja-JP"/>
        </w:rPr>
        <w:t>markets</w:t>
      </w:r>
      <w:r>
        <w:rPr>
          <w:sz w:val="24"/>
          <w:lang w:eastAsia="ja-JP"/>
        </w:rPr>
        <w:t xml:space="preserve"> with only speculating inve</w:t>
      </w:r>
      <w:r>
        <w:rPr>
          <w:sz w:val="24"/>
          <w:lang w:eastAsia="ja-JP"/>
        </w:rPr>
        <w:t>s</w:t>
      </w:r>
      <w:r>
        <w:rPr>
          <w:sz w:val="24"/>
          <w:lang w:eastAsia="ja-JP"/>
        </w:rPr>
        <w:t xml:space="preserve">tors. </w:t>
      </w:r>
      <w:r w:rsidR="00AE4FA6">
        <w:rPr>
          <w:sz w:val="24"/>
          <w:lang w:eastAsia="ja-JP"/>
        </w:rPr>
        <w:t xml:space="preserve">Since the dividend-collecting investors would focus on the known fundamental value, their presence in the markets should readily bring the investor expectations close to this value. </w:t>
      </w:r>
      <w:r>
        <w:rPr>
          <w:sz w:val="24"/>
          <w:lang w:eastAsia="ja-JP"/>
        </w:rPr>
        <w:t xml:space="preserve">In contrast, in a market with only speculating investors, investors </w:t>
      </w:r>
      <w:r w:rsidR="00C40B63">
        <w:rPr>
          <w:sz w:val="24"/>
          <w:lang w:eastAsia="ja-JP"/>
        </w:rPr>
        <w:t xml:space="preserve">would </w:t>
      </w:r>
      <w:r>
        <w:rPr>
          <w:sz w:val="24"/>
          <w:lang w:eastAsia="ja-JP"/>
        </w:rPr>
        <w:t xml:space="preserve">have </w:t>
      </w:r>
      <w:r w:rsidR="00B24374">
        <w:rPr>
          <w:sz w:val="24"/>
          <w:lang w:eastAsia="ja-JP"/>
        </w:rPr>
        <w:t xml:space="preserve">difficulties in </w:t>
      </w:r>
      <w:r w:rsidR="00EB53A4">
        <w:rPr>
          <w:sz w:val="24"/>
          <w:lang w:eastAsia="ja-JP"/>
        </w:rPr>
        <w:t xml:space="preserve">arriving at </w:t>
      </w:r>
      <w:r w:rsidR="000E036C">
        <w:rPr>
          <w:sz w:val="24"/>
          <w:lang w:eastAsia="ja-JP"/>
        </w:rPr>
        <w:t>expect</w:t>
      </w:r>
      <w:r w:rsidR="00EB53A4">
        <w:rPr>
          <w:sz w:val="24"/>
          <w:lang w:eastAsia="ja-JP"/>
        </w:rPr>
        <w:t xml:space="preserve">ations of </w:t>
      </w:r>
      <w:r w:rsidR="000E036C">
        <w:rPr>
          <w:sz w:val="24"/>
          <w:lang w:eastAsia="ja-JP"/>
        </w:rPr>
        <w:t>future prices through backward induction due to lack of common knowledge of rational expectations</w:t>
      </w:r>
      <w:r w:rsidR="003655CE">
        <w:rPr>
          <w:sz w:val="24"/>
          <w:lang w:eastAsia="ja-JP"/>
        </w:rPr>
        <w:t xml:space="preserve"> among all generations of investors</w:t>
      </w:r>
      <w:r w:rsidR="000E036C">
        <w:rPr>
          <w:sz w:val="24"/>
          <w:lang w:eastAsia="ja-JP"/>
        </w:rPr>
        <w:t>.</w:t>
      </w:r>
      <w:r>
        <w:rPr>
          <w:sz w:val="24"/>
          <w:lang w:eastAsia="ja-JP"/>
        </w:rPr>
        <w:t xml:space="preserve"> </w:t>
      </w:r>
      <w:r w:rsidR="003655CE">
        <w:rPr>
          <w:sz w:val="24"/>
          <w:lang w:eastAsia="ja-JP"/>
        </w:rPr>
        <w:t>To compare the acc</w:t>
      </w:r>
      <w:r w:rsidR="003655CE">
        <w:rPr>
          <w:sz w:val="24"/>
          <w:lang w:eastAsia="ja-JP"/>
        </w:rPr>
        <w:t>u</w:t>
      </w:r>
      <w:r w:rsidR="003655CE">
        <w:rPr>
          <w:sz w:val="24"/>
          <w:lang w:eastAsia="ja-JP"/>
        </w:rPr>
        <w:t xml:space="preserve">racy of price expectations between </w:t>
      </w:r>
      <w:r w:rsidR="00EB53A4">
        <w:rPr>
          <w:sz w:val="24"/>
          <w:lang w:eastAsia="ja-JP"/>
        </w:rPr>
        <w:t xml:space="preserve">the </w:t>
      </w:r>
      <w:r w:rsidR="003655CE">
        <w:rPr>
          <w:sz w:val="24"/>
          <w:lang w:eastAsia="ja-JP"/>
        </w:rPr>
        <w:t xml:space="preserve">two </w:t>
      </w:r>
      <w:r w:rsidR="00C40B63">
        <w:rPr>
          <w:sz w:val="24"/>
          <w:lang w:eastAsia="ja-JP"/>
        </w:rPr>
        <w:t xml:space="preserve">kinds of </w:t>
      </w:r>
      <w:r w:rsidR="003655CE">
        <w:rPr>
          <w:sz w:val="24"/>
          <w:lang w:eastAsia="ja-JP"/>
        </w:rPr>
        <w:t>markets, we calculated the absolute dev</w:t>
      </w:r>
      <w:r w:rsidR="003655CE">
        <w:rPr>
          <w:sz w:val="24"/>
          <w:lang w:eastAsia="ja-JP"/>
        </w:rPr>
        <w:t>i</w:t>
      </w:r>
      <w:r w:rsidR="003655CE">
        <w:rPr>
          <w:sz w:val="24"/>
          <w:lang w:eastAsia="ja-JP"/>
        </w:rPr>
        <w:t xml:space="preserve">ations of expected prices (EP) from realized prices (P), normalized by prices, abs (EP-P)/P. During the experiment, we collected from the predictors the data on their expectation of mean transactions prices at the beginning of each period. </w:t>
      </w:r>
      <w:r w:rsidR="003655CE">
        <w:rPr>
          <w:rStyle w:val="Funotenzeichen"/>
          <w:sz w:val="24"/>
          <w:lang w:eastAsia="ja-JP"/>
        </w:rPr>
        <w:footnoteReference w:id="45"/>
      </w:r>
      <w:r w:rsidR="0016612E">
        <w:rPr>
          <w:sz w:val="24"/>
          <w:lang w:eastAsia="ja-JP"/>
        </w:rPr>
        <w:t xml:space="preserve"> T</w:t>
      </w:r>
      <w:r w:rsidR="003655CE">
        <w:rPr>
          <w:sz w:val="24"/>
          <w:lang w:eastAsia="ja-JP"/>
        </w:rPr>
        <w:t>he cross-sectional average of the pr</w:t>
      </w:r>
      <w:r w:rsidR="003655CE">
        <w:rPr>
          <w:sz w:val="24"/>
          <w:lang w:eastAsia="ja-JP"/>
        </w:rPr>
        <w:t>e</w:t>
      </w:r>
      <w:r w:rsidR="003655CE">
        <w:rPr>
          <w:sz w:val="24"/>
          <w:lang w:eastAsia="ja-JP"/>
        </w:rPr>
        <w:lastRenderedPageBreak/>
        <w:t xml:space="preserve">dictors’ price expectations is used for EP, and the average realized price of the period is use as P. </w:t>
      </w:r>
      <w:r w:rsidR="004379ED">
        <w:rPr>
          <w:sz w:val="24"/>
          <w:lang w:eastAsia="ja-JP"/>
        </w:rPr>
        <w:t xml:space="preserve">Table 8 </w:t>
      </w:r>
      <w:r w:rsidR="003655CE">
        <w:rPr>
          <w:sz w:val="24"/>
          <w:lang w:eastAsia="ja-JP"/>
        </w:rPr>
        <w:t xml:space="preserve">presents </w:t>
      </w:r>
      <w:r w:rsidR="004379ED">
        <w:rPr>
          <w:sz w:val="24"/>
          <w:lang w:eastAsia="ja-JP"/>
        </w:rPr>
        <w:t>a c</w:t>
      </w:r>
      <w:r w:rsidR="004379ED" w:rsidRPr="00AF0AE6">
        <w:rPr>
          <w:sz w:val="24"/>
          <w:lang w:eastAsia="ja-JP"/>
        </w:rPr>
        <w:t xml:space="preserve">omparison of </w:t>
      </w:r>
      <w:r w:rsidR="003655CE">
        <w:rPr>
          <w:sz w:val="24"/>
          <w:lang w:eastAsia="ja-JP"/>
        </w:rPr>
        <w:t>the average of</w:t>
      </w:r>
      <w:r w:rsidR="009141B4">
        <w:rPr>
          <w:sz w:val="24"/>
          <w:lang w:eastAsia="ja-JP"/>
        </w:rPr>
        <w:t xml:space="preserve"> abs (EP-P)/P </w:t>
      </w:r>
      <w:r w:rsidR="004379ED" w:rsidRPr="00AF0AE6">
        <w:rPr>
          <w:sz w:val="24"/>
          <w:lang w:eastAsia="ja-JP"/>
        </w:rPr>
        <w:t xml:space="preserve">between </w:t>
      </w:r>
      <w:r w:rsidR="004379ED">
        <w:rPr>
          <w:sz w:val="24"/>
          <w:lang w:eastAsia="ja-JP"/>
        </w:rPr>
        <w:t>p</w:t>
      </w:r>
      <w:r w:rsidR="004379ED" w:rsidRPr="00AF0AE6">
        <w:rPr>
          <w:rFonts w:hint="eastAsia"/>
          <w:sz w:val="24"/>
          <w:lang w:eastAsia="ja-JP"/>
        </w:rPr>
        <w:t xml:space="preserve">eriods with </w:t>
      </w:r>
      <w:r w:rsidR="004379ED">
        <w:rPr>
          <w:sz w:val="24"/>
          <w:lang w:eastAsia="ja-JP"/>
        </w:rPr>
        <w:t>d</w:t>
      </w:r>
      <w:r w:rsidR="004379ED" w:rsidRPr="00AF0AE6">
        <w:rPr>
          <w:rFonts w:hint="eastAsia"/>
          <w:sz w:val="24"/>
          <w:lang w:eastAsia="ja-JP"/>
        </w:rPr>
        <w:t>i</w:t>
      </w:r>
      <w:r w:rsidR="004379ED" w:rsidRPr="00AF0AE6">
        <w:rPr>
          <w:rFonts w:hint="eastAsia"/>
          <w:sz w:val="24"/>
          <w:lang w:eastAsia="ja-JP"/>
        </w:rPr>
        <w:t>v</w:t>
      </w:r>
      <w:r w:rsidR="004379ED" w:rsidRPr="00AF0AE6">
        <w:rPr>
          <w:rFonts w:hint="eastAsia"/>
          <w:sz w:val="24"/>
          <w:lang w:eastAsia="ja-JP"/>
        </w:rPr>
        <w:t>idend</w:t>
      </w:r>
      <w:r w:rsidR="004379ED" w:rsidRPr="00AF0AE6">
        <w:rPr>
          <w:sz w:val="24"/>
          <w:lang w:eastAsia="ja-JP"/>
        </w:rPr>
        <w:t>-</w:t>
      </w:r>
      <w:r w:rsidR="004379ED">
        <w:rPr>
          <w:sz w:val="24"/>
          <w:lang w:eastAsia="ja-JP"/>
        </w:rPr>
        <w:t>c</w:t>
      </w:r>
      <w:r w:rsidR="004379ED" w:rsidRPr="00AF0AE6">
        <w:rPr>
          <w:rFonts w:hint="eastAsia"/>
          <w:sz w:val="24"/>
          <w:lang w:eastAsia="ja-JP"/>
        </w:rPr>
        <w:t xml:space="preserve">ollecting </w:t>
      </w:r>
      <w:r w:rsidR="004379ED">
        <w:rPr>
          <w:sz w:val="24"/>
          <w:lang w:eastAsia="ja-JP"/>
        </w:rPr>
        <w:t>i</w:t>
      </w:r>
      <w:r w:rsidR="004379ED" w:rsidRPr="00AF0AE6">
        <w:rPr>
          <w:rFonts w:hint="eastAsia"/>
          <w:sz w:val="24"/>
          <w:lang w:eastAsia="ja-JP"/>
        </w:rPr>
        <w:t xml:space="preserve">nvestors and </w:t>
      </w:r>
      <w:r w:rsidR="004379ED">
        <w:rPr>
          <w:sz w:val="24"/>
          <w:lang w:eastAsia="ja-JP"/>
        </w:rPr>
        <w:t>p</w:t>
      </w:r>
      <w:r w:rsidR="004379ED" w:rsidRPr="00AF0AE6">
        <w:rPr>
          <w:rFonts w:hint="eastAsia"/>
          <w:sz w:val="24"/>
          <w:lang w:eastAsia="ja-JP"/>
        </w:rPr>
        <w:t xml:space="preserve">eriods with only </w:t>
      </w:r>
      <w:r w:rsidR="004379ED">
        <w:rPr>
          <w:sz w:val="24"/>
          <w:lang w:eastAsia="ja-JP"/>
        </w:rPr>
        <w:t>s</w:t>
      </w:r>
      <w:r w:rsidR="004379ED" w:rsidRPr="00AF0AE6">
        <w:rPr>
          <w:rFonts w:hint="eastAsia"/>
          <w:sz w:val="24"/>
          <w:lang w:eastAsia="ja-JP"/>
        </w:rPr>
        <w:t xml:space="preserve">peculating </w:t>
      </w:r>
      <w:r w:rsidR="004379ED">
        <w:rPr>
          <w:sz w:val="24"/>
          <w:lang w:eastAsia="ja-JP"/>
        </w:rPr>
        <w:t>i</w:t>
      </w:r>
      <w:r w:rsidR="004379ED" w:rsidRPr="00AF0AE6">
        <w:rPr>
          <w:rFonts w:hint="eastAsia"/>
          <w:sz w:val="24"/>
          <w:lang w:eastAsia="ja-JP"/>
        </w:rPr>
        <w:t>nvestors</w:t>
      </w:r>
      <w:r w:rsidR="004379ED">
        <w:rPr>
          <w:sz w:val="24"/>
          <w:lang w:eastAsia="ja-JP"/>
        </w:rPr>
        <w:t xml:space="preserve">. We see that both for high- as well as low-liquidity markets, </w:t>
      </w:r>
      <w:r w:rsidR="009141B4">
        <w:rPr>
          <w:sz w:val="24"/>
          <w:lang w:eastAsia="ja-JP"/>
        </w:rPr>
        <w:t>the average of abs (EP-P)/P in periods with only spe</w:t>
      </w:r>
      <w:r w:rsidR="009141B4">
        <w:rPr>
          <w:sz w:val="24"/>
          <w:lang w:eastAsia="ja-JP"/>
        </w:rPr>
        <w:t>c</w:t>
      </w:r>
      <w:r w:rsidR="009141B4">
        <w:rPr>
          <w:sz w:val="24"/>
          <w:lang w:eastAsia="ja-JP"/>
        </w:rPr>
        <w:t xml:space="preserve">ulating investors is significantly higher than that in periods with dividend-collecting investors. This indicates that </w:t>
      </w:r>
      <w:r w:rsidR="004379ED">
        <w:rPr>
          <w:sz w:val="24"/>
          <w:lang w:eastAsia="ja-JP"/>
        </w:rPr>
        <w:t xml:space="preserve">price expectations are </w:t>
      </w:r>
      <w:r w:rsidR="009141B4">
        <w:rPr>
          <w:sz w:val="24"/>
          <w:lang w:eastAsia="ja-JP"/>
        </w:rPr>
        <w:t xml:space="preserve">less accurate when only speculating investors are present, than </w:t>
      </w:r>
      <w:r w:rsidR="004379ED">
        <w:rPr>
          <w:sz w:val="24"/>
          <w:lang w:eastAsia="ja-JP"/>
        </w:rPr>
        <w:t xml:space="preserve">when dividend-collecting investors are </w:t>
      </w:r>
      <w:r w:rsidR="0047614F">
        <w:rPr>
          <w:sz w:val="24"/>
          <w:lang w:eastAsia="ja-JP"/>
        </w:rPr>
        <w:t xml:space="preserve">also </w:t>
      </w:r>
      <w:r w:rsidR="004379ED">
        <w:rPr>
          <w:sz w:val="24"/>
          <w:lang w:eastAsia="ja-JP"/>
        </w:rPr>
        <w:t>present</w:t>
      </w:r>
      <w:r w:rsidR="009141B4">
        <w:rPr>
          <w:sz w:val="24"/>
          <w:lang w:eastAsia="ja-JP"/>
        </w:rPr>
        <w:t>.</w:t>
      </w:r>
      <w:r w:rsidR="00706869">
        <w:rPr>
          <w:sz w:val="24"/>
          <w:lang w:eastAsia="ja-JP"/>
        </w:rPr>
        <w:t xml:space="preserve"> </w:t>
      </w:r>
      <w:r w:rsidR="00706869">
        <w:rPr>
          <w:rStyle w:val="Funotenzeichen"/>
          <w:sz w:val="24"/>
          <w:lang w:eastAsia="ja-JP"/>
        </w:rPr>
        <w:footnoteReference w:id="46"/>
      </w:r>
      <w:r w:rsidR="004379ED">
        <w:rPr>
          <w:sz w:val="24"/>
          <w:lang w:eastAsia="ja-JP"/>
        </w:rPr>
        <w:t xml:space="preserve"> </w:t>
      </w:r>
    </w:p>
    <w:p w14:paraId="79A2A0F0" w14:textId="2E17CED7" w:rsidR="004379ED" w:rsidRDefault="004379ED" w:rsidP="004379ED">
      <w:pPr>
        <w:spacing w:line="480" w:lineRule="auto"/>
        <w:jc w:val="center"/>
        <w:rPr>
          <w:i/>
          <w:sz w:val="24"/>
          <w:lang w:eastAsia="ja-JP"/>
        </w:rPr>
      </w:pPr>
      <w:r>
        <w:rPr>
          <w:i/>
          <w:sz w:val="24"/>
          <w:lang w:eastAsia="ja-JP"/>
        </w:rPr>
        <w:t>(Table 8</w:t>
      </w:r>
      <w:r w:rsidRPr="00D70B56">
        <w:rPr>
          <w:i/>
          <w:sz w:val="24"/>
          <w:lang w:eastAsia="ja-JP"/>
        </w:rPr>
        <w:t xml:space="preserve"> about here</w:t>
      </w:r>
      <w:r>
        <w:rPr>
          <w:i/>
          <w:sz w:val="24"/>
          <w:lang w:eastAsia="ja-JP"/>
        </w:rPr>
        <w:t>)</w:t>
      </w:r>
    </w:p>
    <w:p w14:paraId="590B7F1F" w14:textId="3ECF4E28" w:rsidR="00B67A3C" w:rsidRDefault="002C525D" w:rsidP="00B67A3C">
      <w:pPr>
        <w:spacing w:line="480" w:lineRule="auto"/>
        <w:ind w:firstLine="720"/>
        <w:jc w:val="both"/>
        <w:rPr>
          <w:sz w:val="24"/>
          <w:lang w:eastAsia="ja-JP"/>
        </w:rPr>
      </w:pPr>
      <w:r>
        <w:rPr>
          <w:sz w:val="24"/>
          <w:lang w:eastAsia="ja-JP"/>
        </w:rPr>
        <w:t>If</w:t>
      </w:r>
      <w:r w:rsidR="004379ED">
        <w:rPr>
          <w:sz w:val="24"/>
          <w:lang w:eastAsia="ja-JP"/>
        </w:rPr>
        <w:t xml:space="preserve"> speculating investors </w:t>
      </w:r>
      <w:r w:rsidR="00B67A3C">
        <w:rPr>
          <w:rFonts w:hint="eastAsia"/>
          <w:sz w:val="24"/>
          <w:lang w:eastAsia="ja-JP"/>
        </w:rPr>
        <w:t>have difficult</w:t>
      </w:r>
      <w:r w:rsidR="00B67A3C">
        <w:rPr>
          <w:sz w:val="24"/>
          <w:lang w:eastAsia="ja-JP"/>
        </w:rPr>
        <w:t>ies</w:t>
      </w:r>
      <w:r w:rsidR="00B67A3C">
        <w:rPr>
          <w:rFonts w:hint="eastAsia"/>
          <w:sz w:val="24"/>
          <w:lang w:eastAsia="ja-JP"/>
        </w:rPr>
        <w:t xml:space="preserve"> in </w:t>
      </w:r>
      <w:r w:rsidR="00B67A3C">
        <w:rPr>
          <w:sz w:val="24"/>
          <w:lang w:eastAsia="ja-JP"/>
        </w:rPr>
        <w:t>form</w:t>
      </w:r>
      <w:r w:rsidR="00B67A3C">
        <w:rPr>
          <w:rFonts w:hint="eastAsia"/>
          <w:sz w:val="24"/>
          <w:lang w:eastAsia="ja-JP"/>
        </w:rPr>
        <w:t>ing</w:t>
      </w:r>
      <w:r w:rsidR="00B67A3C">
        <w:rPr>
          <w:sz w:val="24"/>
          <w:lang w:eastAsia="ja-JP"/>
        </w:rPr>
        <w:t xml:space="preserve"> rational expectations </w:t>
      </w:r>
      <w:r w:rsidR="00B67A3C">
        <w:rPr>
          <w:rFonts w:hint="eastAsia"/>
          <w:sz w:val="24"/>
          <w:lang w:eastAsia="ja-JP"/>
        </w:rPr>
        <w:t>of future prices</w:t>
      </w:r>
      <w:r w:rsidR="00B67A3C">
        <w:rPr>
          <w:sz w:val="24"/>
          <w:lang w:eastAsia="ja-JP"/>
        </w:rPr>
        <w:t xml:space="preserve"> through backward induction</w:t>
      </w:r>
      <w:r w:rsidR="00B67A3C">
        <w:rPr>
          <w:rFonts w:hint="eastAsia"/>
          <w:sz w:val="24"/>
          <w:lang w:eastAsia="ja-JP"/>
        </w:rPr>
        <w:t>,</w:t>
      </w:r>
      <w:r w:rsidR="00B67A3C">
        <w:rPr>
          <w:sz w:val="24"/>
          <w:lang w:eastAsia="ja-JP"/>
        </w:rPr>
        <w:t xml:space="preserve"> how else do </w:t>
      </w:r>
      <w:r w:rsidR="00B67A3C">
        <w:rPr>
          <w:rFonts w:hint="eastAsia"/>
          <w:sz w:val="24"/>
          <w:lang w:eastAsia="ja-JP"/>
        </w:rPr>
        <w:t xml:space="preserve">they </w:t>
      </w:r>
      <w:r w:rsidR="00B67A3C">
        <w:rPr>
          <w:sz w:val="24"/>
          <w:lang w:eastAsia="ja-JP"/>
        </w:rPr>
        <w:t xml:space="preserve">form their expectations? We use the </w:t>
      </w:r>
      <w:r>
        <w:rPr>
          <w:sz w:val="24"/>
          <w:lang w:eastAsia="ja-JP"/>
        </w:rPr>
        <w:t xml:space="preserve">price predictions </w:t>
      </w:r>
      <w:r w:rsidR="00B67A3C">
        <w:rPr>
          <w:sz w:val="24"/>
          <w:lang w:eastAsia="ja-JP"/>
        </w:rPr>
        <w:t xml:space="preserve">data </w:t>
      </w:r>
      <w:r>
        <w:rPr>
          <w:sz w:val="24"/>
          <w:lang w:eastAsia="ja-JP"/>
        </w:rPr>
        <w:t xml:space="preserve">to try to address this question. </w:t>
      </w:r>
      <w:r w:rsidR="00B67A3C" w:rsidRPr="005E5471">
        <w:rPr>
          <w:rFonts w:hint="eastAsia"/>
          <w:sz w:val="24"/>
          <w:lang w:eastAsia="ja-JP"/>
        </w:rPr>
        <w:t>We</w:t>
      </w:r>
      <w:r w:rsidR="00B67A3C">
        <w:rPr>
          <w:rFonts w:hint="eastAsia"/>
          <w:sz w:val="24"/>
          <w:lang w:eastAsia="ja-JP"/>
        </w:rPr>
        <w:t xml:space="preserve"> </w:t>
      </w:r>
      <w:r w:rsidR="00B67A3C">
        <w:rPr>
          <w:sz w:val="24"/>
          <w:lang w:eastAsia="ja-JP"/>
        </w:rPr>
        <w:t xml:space="preserve">postulate two </w:t>
      </w:r>
      <w:r w:rsidR="008D1B38">
        <w:rPr>
          <w:sz w:val="24"/>
          <w:lang w:eastAsia="ja-JP"/>
        </w:rPr>
        <w:t xml:space="preserve">simple </w:t>
      </w:r>
      <w:r w:rsidR="00B67A3C">
        <w:rPr>
          <w:sz w:val="24"/>
          <w:lang w:eastAsia="ja-JP"/>
        </w:rPr>
        <w:t xml:space="preserve">models of </w:t>
      </w:r>
      <w:r w:rsidR="00B67A3C">
        <w:rPr>
          <w:rFonts w:hint="eastAsia"/>
          <w:sz w:val="24"/>
          <w:lang w:eastAsia="ja-JP"/>
        </w:rPr>
        <w:t>the price expectation formation process; one is the fundamental model and the other is the trend model (Hirota and Sunder 2007).</w:t>
      </w:r>
      <w:r w:rsidR="00B67A3C">
        <w:rPr>
          <w:sz w:val="24"/>
          <w:lang w:eastAsia="ja-JP"/>
        </w:rPr>
        <w:t xml:space="preserve"> </w:t>
      </w:r>
      <w:r w:rsidR="00B67A3C">
        <w:rPr>
          <w:rFonts w:hint="eastAsia"/>
          <w:sz w:val="24"/>
          <w:lang w:eastAsia="ja-JP"/>
        </w:rPr>
        <w:t>The fundamental model assumes that investors form expe</w:t>
      </w:r>
      <w:r w:rsidR="00B67A3C">
        <w:rPr>
          <w:rFonts w:hint="eastAsia"/>
          <w:sz w:val="24"/>
          <w:lang w:eastAsia="ja-JP"/>
        </w:rPr>
        <w:t>c</w:t>
      </w:r>
      <w:r w:rsidR="00B67A3C">
        <w:rPr>
          <w:rFonts w:hint="eastAsia"/>
          <w:sz w:val="24"/>
          <w:lang w:eastAsia="ja-JP"/>
        </w:rPr>
        <w:t xml:space="preserve">tations of future prices based </w:t>
      </w:r>
      <w:r w:rsidR="00B67A3C">
        <w:rPr>
          <w:sz w:val="24"/>
          <w:lang w:eastAsia="ja-JP"/>
        </w:rPr>
        <w:t xml:space="preserve">on </w:t>
      </w:r>
      <w:r w:rsidR="00B67A3C" w:rsidRPr="00E647AF">
        <w:rPr>
          <w:sz w:val="24"/>
          <w:lang w:eastAsia="ja-JP"/>
        </w:rPr>
        <w:t>backward induction</w:t>
      </w:r>
      <w:r w:rsidR="00B67A3C" w:rsidRPr="007819FF">
        <w:rPr>
          <w:sz w:val="24"/>
          <w:lang w:eastAsia="ja-JP"/>
        </w:rPr>
        <w:t xml:space="preserve"> </w:t>
      </w:r>
      <w:r w:rsidR="00B67A3C">
        <w:rPr>
          <w:sz w:val="24"/>
          <w:lang w:eastAsia="ja-JP"/>
        </w:rPr>
        <w:t>from the</w:t>
      </w:r>
      <w:r w:rsidR="00B67A3C">
        <w:rPr>
          <w:rFonts w:hint="eastAsia"/>
          <w:sz w:val="24"/>
          <w:lang w:eastAsia="ja-JP"/>
        </w:rPr>
        <w:t xml:space="preserve"> deviation </w:t>
      </w:r>
      <w:r w:rsidR="00B67A3C">
        <w:rPr>
          <w:sz w:val="24"/>
          <w:lang w:eastAsia="ja-JP"/>
        </w:rPr>
        <w:t xml:space="preserve">of </w:t>
      </w:r>
      <w:r w:rsidR="00B67A3C">
        <w:rPr>
          <w:rFonts w:hint="eastAsia"/>
          <w:sz w:val="24"/>
          <w:lang w:eastAsia="ja-JP"/>
        </w:rPr>
        <w:t>price</w:t>
      </w:r>
      <w:r w:rsidR="00B67A3C">
        <w:rPr>
          <w:sz w:val="24"/>
          <w:lang w:eastAsia="ja-JP"/>
        </w:rPr>
        <w:t>s</w:t>
      </w:r>
      <w:r w:rsidR="00B67A3C">
        <w:rPr>
          <w:rFonts w:hint="eastAsia"/>
          <w:sz w:val="24"/>
          <w:lang w:eastAsia="ja-JP"/>
        </w:rPr>
        <w:t xml:space="preserve"> from the fundamental value of the security. </w:t>
      </w:r>
    </w:p>
    <w:p w14:paraId="2918AC98" w14:textId="460565E8" w:rsidR="00B67A3C" w:rsidRDefault="00B67A3C" w:rsidP="00B67A3C">
      <w:pPr>
        <w:tabs>
          <w:tab w:val="right" w:pos="9072"/>
        </w:tabs>
        <w:spacing w:line="480" w:lineRule="auto"/>
        <w:ind w:firstLine="720"/>
        <w:jc w:val="both"/>
        <w:rPr>
          <w:sz w:val="24"/>
          <w:lang w:eastAsia="ja-JP"/>
        </w:rPr>
      </w:pPr>
      <m:oMath>
        <m:r>
          <w:rPr>
            <w:rFonts w:ascii="Cambria Math" w:hAnsi="Cambria Math"/>
            <w:sz w:val="24"/>
            <w:szCs w:val="24"/>
            <w:lang w:eastAsia="ja-JP"/>
          </w:rPr>
          <m:t xml:space="preserve"> </m:t>
        </m:r>
        <m:sSub>
          <m:sSubPr>
            <m:ctrlPr>
              <w:rPr>
                <w:rFonts w:ascii="Cambria Math" w:hAnsi="Cambria Math"/>
                <w:i/>
                <w:sz w:val="24"/>
                <w:szCs w:val="24"/>
                <w:lang w:eastAsia="ja-JP"/>
              </w:rPr>
            </m:ctrlPr>
          </m:sSubPr>
          <m:e>
            <m:r>
              <w:rPr>
                <w:rFonts w:ascii="Cambria Math" w:hAnsi="Cambria Math"/>
                <w:sz w:val="24"/>
                <w:szCs w:val="24"/>
                <w:lang w:eastAsia="ja-JP"/>
              </w:rPr>
              <m:t>E</m:t>
            </m:r>
          </m:e>
          <m:sub>
            <m:r>
              <w:rPr>
                <w:rFonts w:ascii="Cambria Math" w:hAnsi="Cambria Math"/>
                <w:sz w:val="24"/>
                <w:szCs w:val="24"/>
                <w:lang w:eastAsia="ja-JP"/>
              </w:rPr>
              <m:t>t</m:t>
            </m:r>
          </m:sub>
        </m:sSub>
        <m:d>
          <m:dPr>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t+1</m:t>
                </m:r>
              </m:sub>
            </m:sSub>
          </m:e>
        </m:d>
        <m:r>
          <w:rPr>
            <w:rFonts w:ascii="Cambria Math" w:hAnsi="Cambria Math"/>
            <w:sz w:val="24"/>
            <w:szCs w:val="24"/>
            <w:lang w:eastAsia="ja-JP"/>
          </w:rPr>
          <m:t>=</m:t>
        </m:r>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r>
          <w:rPr>
            <w:rFonts w:ascii="Cambria Math" w:hAnsi="Cambria Math"/>
            <w:sz w:val="24"/>
            <w:szCs w:val="24"/>
            <w:lang w:eastAsia="ja-JP"/>
          </w:rPr>
          <m:t>+α(</m:t>
        </m:r>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sub>
        </m:sSub>
        <m:r>
          <w:rPr>
            <w:rFonts w:ascii="Cambria Math" w:hAnsi="Cambria Math"/>
            <w:sz w:val="24"/>
            <w:szCs w:val="24"/>
            <w:lang w:eastAsia="ja-JP"/>
          </w:rPr>
          <m:t>)</m:t>
        </m:r>
      </m:oMath>
      <w:r w:rsidRPr="00E551F6">
        <w:rPr>
          <w:rFonts w:hint="eastAsia"/>
          <w:sz w:val="24"/>
          <w:szCs w:val="24"/>
          <w:lang w:eastAsia="ja-JP"/>
        </w:rPr>
        <w:t xml:space="preserve"> </w:t>
      </w:r>
      <w:r>
        <w:rPr>
          <w:sz w:val="24"/>
          <w:szCs w:val="24"/>
          <w:lang w:eastAsia="ja-JP"/>
        </w:rPr>
        <w:tab/>
      </w:r>
      <w:r>
        <w:rPr>
          <w:rFonts w:hint="eastAsia"/>
          <w:sz w:val="24"/>
          <w:lang w:eastAsia="ja-JP"/>
        </w:rPr>
        <w:t>(</w:t>
      </w:r>
      <w:r w:rsidR="007819FF">
        <w:rPr>
          <w:sz w:val="24"/>
          <w:lang w:eastAsia="ja-JP"/>
        </w:rPr>
        <w:t>12</w:t>
      </w:r>
      <w:r>
        <w:rPr>
          <w:rFonts w:hint="eastAsia"/>
          <w:sz w:val="24"/>
          <w:lang w:eastAsia="ja-JP"/>
        </w:rPr>
        <w:t>)</w:t>
      </w:r>
    </w:p>
    <w:p w14:paraId="32A1FF03" w14:textId="3ED9FBF7" w:rsidR="00B67A3C" w:rsidRDefault="00B67A3C" w:rsidP="00B67A3C">
      <w:pPr>
        <w:spacing w:line="480" w:lineRule="auto"/>
        <w:jc w:val="both"/>
        <w:rPr>
          <w:sz w:val="24"/>
          <w:lang w:eastAsia="ja-JP"/>
        </w:rPr>
      </w:pPr>
      <w:proofErr w:type="gramStart"/>
      <w:r>
        <w:rPr>
          <w:rFonts w:hint="eastAsia"/>
          <w:sz w:val="24"/>
          <w:lang w:eastAsia="ja-JP"/>
        </w:rPr>
        <w:t>w</w:t>
      </w:r>
      <w:r>
        <w:rPr>
          <w:sz w:val="24"/>
          <w:lang w:eastAsia="ja-JP"/>
        </w:rPr>
        <w:t>h</w:t>
      </w:r>
      <w:r>
        <w:rPr>
          <w:rFonts w:hint="eastAsia"/>
          <w:sz w:val="24"/>
          <w:lang w:eastAsia="ja-JP"/>
        </w:rPr>
        <w:t>ere</w:t>
      </w:r>
      <w:proofErr w:type="gramEnd"/>
      <w:r>
        <w:rPr>
          <w:rFonts w:hint="eastAsia"/>
          <w:sz w:val="24"/>
          <w:lang w:eastAsia="ja-JP"/>
        </w:rPr>
        <w:t xml:space="preserve"> </w:t>
      </w:r>
      <w:r w:rsidRPr="004250FA">
        <w:rPr>
          <w:i/>
          <w:sz w:val="24"/>
          <w:lang w:eastAsia="ja-JP"/>
        </w:rPr>
        <w:t>P</w:t>
      </w:r>
      <w:r w:rsidRPr="004250FA">
        <w:rPr>
          <w:i/>
          <w:sz w:val="24"/>
          <w:vertAlign w:val="subscript"/>
          <w:lang w:eastAsia="ja-JP"/>
        </w:rPr>
        <w:t>t</w:t>
      </w:r>
      <w:r w:rsidRPr="004250FA">
        <w:rPr>
          <w:sz w:val="24"/>
          <w:vertAlign w:val="subscript"/>
          <w:lang w:eastAsia="ja-JP"/>
        </w:rPr>
        <w:t xml:space="preserve"> </w:t>
      </w:r>
      <w:r>
        <w:rPr>
          <w:sz w:val="24"/>
          <w:lang w:eastAsia="ja-JP"/>
        </w:rPr>
        <w:t>is price of the security at time</w:t>
      </w:r>
      <w:r w:rsidRPr="004250FA">
        <w:rPr>
          <w:i/>
          <w:sz w:val="24"/>
          <w:lang w:eastAsia="ja-JP"/>
        </w:rPr>
        <w:t xml:space="preserve"> t</w:t>
      </w:r>
      <w:r>
        <w:rPr>
          <w:sz w:val="24"/>
          <w:lang w:eastAsia="ja-JP"/>
        </w:rPr>
        <w:t xml:space="preserve">, </w:t>
      </w:r>
      <w:r w:rsidRPr="004250FA">
        <w:rPr>
          <w:i/>
          <w:sz w:val="24"/>
          <w:lang w:eastAsia="ja-JP"/>
        </w:rPr>
        <w:t>F</w:t>
      </w:r>
      <w:r w:rsidRPr="004250FA">
        <w:rPr>
          <w:i/>
          <w:sz w:val="24"/>
          <w:vertAlign w:val="subscript"/>
          <w:lang w:eastAsia="ja-JP"/>
        </w:rPr>
        <w:t>t</w:t>
      </w:r>
      <w:r w:rsidRPr="004250FA">
        <w:rPr>
          <w:sz w:val="24"/>
          <w:vertAlign w:val="subscript"/>
          <w:lang w:eastAsia="ja-JP"/>
        </w:rPr>
        <w:t xml:space="preserve"> </w:t>
      </w:r>
      <w:r>
        <w:rPr>
          <w:sz w:val="24"/>
          <w:lang w:eastAsia="ja-JP"/>
        </w:rPr>
        <w:t xml:space="preserve">is the fundamental value, </w:t>
      </w:r>
      <w:r w:rsidRPr="004250FA">
        <w:rPr>
          <w:i/>
          <w:sz w:val="24"/>
          <w:lang w:eastAsia="ja-JP"/>
        </w:rPr>
        <w:t>E</w:t>
      </w:r>
      <w:r w:rsidRPr="004250FA">
        <w:rPr>
          <w:i/>
          <w:sz w:val="24"/>
          <w:vertAlign w:val="subscript"/>
          <w:lang w:eastAsia="ja-JP"/>
        </w:rPr>
        <w:t>t</w:t>
      </w:r>
      <w:r w:rsidRPr="004250FA">
        <w:rPr>
          <w:sz w:val="24"/>
          <w:vertAlign w:val="subscript"/>
          <w:lang w:eastAsia="ja-JP"/>
        </w:rPr>
        <w:t xml:space="preserve"> </w:t>
      </w:r>
      <w:r>
        <w:rPr>
          <w:sz w:val="24"/>
          <w:lang w:eastAsia="ja-JP"/>
        </w:rPr>
        <w:t>(</w:t>
      </w:r>
      <w:r w:rsidRPr="004250FA">
        <w:rPr>
          <w:i/>
          <w:sz w:val="24"/>
          <w:lang w:eastAsia="ja-JP"/>
        </w:rPr>
        <w:t>P</w:t>
      </w:r>
      <w:r w:rsidRPr="004250FA">
        <w:rPr>
          <w:i/>
          <w:sz w:val="24"/>
          <w:vertAlign w:val="subscript"/>
          <w:lang w:eastAsia="ja-JP"/>
        </w:rPr>
        <w:t>t+1</w:t>
      </w:r>
      <w:r>
        <w:rPr>
          <w:sz w:val="24"/>
          <w:lang w:eastAsia="ja-JP"/>
        </w:rPr>
        <w:t>) is investor’s expectation at time</w:t>
      </w:r>
      <w:r w:rsidRPr="004250FA">
        <w:rPr>
          <w:i/>
          <w:sz w:val="24"/>
          <w:lang w:eastAsia="ja-JP"/>
        </w:rPr>
        <w:t xml:space="preserve"> t</w:t>
      </w:r>
      <w:r>
        <w:rPr>
          <w:sz w:val="24"/>
          <w:lang w:eastAsia="ja-JP"/>
        </w:rPr>
        <w:t xml:space="preserve"> of price at time </w:t>
      </w:r>
      <w:r w:rsidRPr="004250FA">
        <w:rPr>
          <w:i/>
          <w:sz w:val="24"/>
          <w:lang w:eastAsia="ja-JP"/>
        </w:rPr>
        <w:t>t</w:t>
      </w:r>
      <w:r>
        <w:rPr>
          <w:sz w:val="24"/>
          <w:lang w:eastAsia="ja-JP"/>
        </w:rPr>
        <w:t>+</w:t>
      </w:r>
      <w:r w:rsidRPr="004250FA">
        <w:rPr>
          <w:i/>
          <w:sz w:val="24"/>
          <w:lang w:eastAsia="ja-JP"/>
        </w:rPr>
        <w:t>1</w:t>
      </w:r>
      <w:r>
        <w:rPr>
          <w:sz w:val="24"/>
          <w:lang w:eastAsia="ja-JP"/>
        </w:rPr>
        <w:t xml:space="preserve">, and </w:t>
      </w:r>
      <w:r>
        <w:rPr>
          <w:rFonts w:hint="eastAsia"/>
          <w:sz w:val="24"/>
          <w:lang w:eastAsia="ja-JP"/>
        </w:rPr>
        <w:sym w:font="Symbol" w:char="F061"/>
      </w:r>
      <w:r>
        <w:rPr>
          <w:rFonts w:hint="eastAsia"/>
          <w:sz w:val="24"/>
          <w:lang w:eastAsia="ja-JP"/>
        </w:rPr>
        <w:t xml:space="preserve"> (&gt;</w:t>
      </w:r>
      <w:r>
        <w:rPr>
          <w:sz w:val="24"/>
          <w:lang w:eastAsia="ja-JP"/>
        </w:rPr>
        <w:t xml:space="preserve"> </w:t>
      </w:r>
      <w:r>
        <w:rPr>
          <w:rFonts w:hint="eastAsia"/>
          <w:sz w:val="24"/>
          <w:lang w:eastAsia="ja-JP"/>
        </w:rPr>
        <w:t xml:space="preserve">0) is the adjustment coefficient. With this model, investors expect future price </w:t>
      </w:r>
      <w:r>
        <w:rPr>
          <w:sz w:val="24"/>
          <w:lang w:eastAsia="ja-JP"/>
        </w:rPr>
        <w:t>appreciation</w:t>
      </w:r>
      <w:r>
        <w:rPr>
          <w:rFonts w:hint="eastAsia"/>
          <w:sz w:val="24"/>
          <w:lang w:eastAsia="ja-JP"/>
        </w:rPr>
        <w:t xml:space="preserve"> (</w:t>
      </w:r>
      <w:r>
        <w:rPr>
          <w:sz w:val="24"/>
          <w:lang w:eastAsia="ja-JP"/>
        </w:rPr>
        <w:t>depreciation</w:t>
      </w:r>
      <w:r>
        <w:rPr>
          <w:rFonts w:hint="eastAsia"/>
          <w:sz w:val="24"/>
          <w:lang w:eastAsia="ja-JP"/>
        </w:rPr>
        <w:t xml:space="preserve">) if the fundamental value, </w:t>
      </w:r>
      <w:r w:rsidRPr="00F457EF">
        <w:rPr>
          <w:rFonts w:hint="eastAsia"/>
          <w:i/>
          <w:sz w:val="24"/>
          <w:lang w:eastAsia="ja-JP"/>
        </w:rPr>
        <w:t>F</w:t>
      </w:r>
      <w:r w:rsidRPr="00F457EF">
        <w:rPr>
          <w:rFonts w:hint="eastAsia"/>
          <w:i/>
          <w:sz w:val="24"/>
          <w:vertAlign w:val="subscript"/>
          <w:lang w:eastAsia="ja-JP"/>
        </w:rPr>
        <w:t>t</w:t>
      </w:r>
      <w:r>
        <w:rPr>
          <w:sz w:val="24"/>
          <w:lang w:eastAsia="ja-JP"/>
        </w:rPr>
        <w:t xml:space="preserve">, </w:t>
      </w:r>
      <w:r>
        <w:rPr>
          <w:rFonts w:hint="eastAsia"/>
          <w:sz w:val="24"/>
          <w:lang w:eastAsia="ja-JP"/>
        </w:rPr>
        <w:t xml:space="preserve">is higher (lower) than the current price, </w:t>
      </w:r>
      <w:r w:rsidRPr="000D2CF3">
        <w:rPr>
          <w:rFonts w:hint="eastAsia"/>
          <w:i/>
          <w:sz w:val="24"/>
          <w:lang w:eastAsia="ja-JP"/>
        </w:rPr>
        <w:t>P</w:t>
      </w:r>
      <w:r w:rsidRPr="000D2CF3">
        <w:rPr>
          <w:rFonts w:hint="eastAsia"/>
          <w:i/>
          <w:sz w:val="24"/>
          <w:vertAlign w:val="subscript"/>
          <w:lang w:eastAsia="ja-JP"/>
        </w:rPr>
        <w:t>t</w:t>
      </w:r>
      <w:r>
        <w:rPr>
          <w:rFonts w:hint="eastAsia"/>
          <w:sz w:val="24"/>
          <w:lang w:eastAsia="ja-JP"/>
        </w:rPr>
        <w:t xml:space="preserve">. </w:t>
      </w:r>
      <w:r>
        <w:rPr>
          <w:sz w:val="24"/>
          <w:lang w:eastAsia="ja-JP"/>
        </w:rPr>
        <w:t>In this model</w:t>
      </w:r>
      <w:r>
        <w:rPr>
          <w:rFonts w:hint="eastAsia"/>
          <w:sz w:val="24"/>
          <w:lang w:eastAsia="ja-JP"/>
        </w:rPr>
        <w:t xml:space="preserve"> </w:t>
      </w:r>
      <w:r>
        <w:rPr>
          <w:sz w:val="24"/>
          <w:lang w:eastAsia="ja-JP"/>
        </w:rPr>
        <w:t xml:space="preserve">any </w:t>
      </w:r>
      <w:r>
        <w:rPr>
          <w:rFonts w:hint="eastAsia"/>
          <w:sz w:val="24"/>
          <w:lang w:eastAsia="ja-JP"/>
        </w:rPr>
        <w:sym w:font="Symbol" w:char="F061"/>
      </w:r>
      <w:r>
        <w:rPr>
          <w:sz w:val="24"/>
          <w:lang w:eastAsia="ja-JP"/>
        </w:rPr>
        <w:t xml:space="preserve"> &gt; 0 is consistent with the fu</w:t>
      </w:r>
      <w:r>
        <w:rPr>
          <w:sz w:val="24"/>
          <w:lang w:eastAsia="ja-JP"/>
        </w:rPr>
        <w:t>n</w:t>
      </w:r>
      <w:r>
        <w:rPr>
          <w:sz w:val="24"/>
          <w:lang w:eastAsia="ja-JP"/>
        </w:rPr>
        <w:t xml:space="preserve">damental model, with </w:t>
      </w:r>
      <w:r>
        <w:rPr>
          <w:rFonts w:hint="eastAsia"/>
          <w:sz w:val="24"/>
          <w:lang w:eastAsia="ja-JP"/>
        </w:rPr>
        <w:sym w:font="Symbol" w:char="F061"/>
      </w:r>
      <w:r>
        <w:rPr>
          <w:sz w:val="24"/>
          <w:lang w:eastAsia="ja-JP"/>
        </w:rPr>
        <w:t xml:space="preserve"> </w:t>
      </w:r>
      <w:r>
        <w:rPr>
          <w:rFonts w:hint="eastAsia"/>
          <w:sz w:val="24"/>
          <w:lang w:eastAsia="ja-JP"/>
        </w:rPr>
        <w:t>=</w:t>
      </w:r>
      <w:r>
        <w:rPr>
          <w:sz w:val="24"/>
          <w:lang w:eastAsia="ja-JP"/>
        </w:rPr>
        <w:t xml:space="preserve"> </w:t>
      </w:r>
      <w:r>
        <w:rPr>
          <w:rFonts w:hint="eastAsia"/>
          <w:sz w:val="24"/>
          <w:lang w:eastAsia="ja-JP"/>
        </w:rPr>
        <w:t>1 correspond</w:t>
      </w:r>
      <w:r>
        <w:rPr>
          <w:sz w:val="24"/>
          <w:lang w:eastAsia="ja-JP"/>
        </w:rPr>
        <w:t xml:space="preserve">ing </w:t>
      </w:r>
      <w:r>
        <w:rPr>
          <w:rFonts w:hint="eastAsia"/>
          <w:sz w:val="24"/>
          <w:lang w:eastAsia="ja-JP"/>
        </w:rPr>
        <w:t xml:space="preserve">to </w:t>
      </w:r>
      <w:r>
        <w:rPr>
          <w:sz w:val="24"/>
          <w:lang w:eastAsia="ja-JP"/>
        </w:rPr>
        <w:t xml:space="preserve">perfect and instantaneous </w:t>
      </w:r>
      <w:r>
        <w:rPr>
          <w:rFonts w:hint="eastAsia"/>
          <w:sz w:val="24"/>
          <w:lang w:eastAsia="ja-JP"/>
        </w:rPr>
        <w:t>rational expectation formation supposed by the standard security pricing models</w:t>
      </w:r>
      <w:r w:rsidR="007819FF">
        <w:rPr>
          <w:sz w:val="24"/>
          <w:lang w:eastAsia="ja-JP"/>
        </w:rPr>
        <w:t>,</w:t>
      </w:r>
      <w:r>
        <w:rPr>
          <w:rFonts w:hint="eastAsia"/>
          <w:sz w:val="24"/>
          <w:lang w:eastAsia="ja-JP"/>
        </w:rPr>
        <w:t xml:space="preserve"> </w:t>
      </w:r>
      <m:oMath>
        <m:sSub>
          <m:sSubPr>
            <m:ctrlPr>
              <w:rPr>
                <w:rFonts w:ascii="Cambria Math" w:hAnsi="Cambria Math"/>
                <w:i/>
                <w:sz w:val="24"/>
                <w:szCs w:val="24"/>
                <w:lang w:eastAsia="ja-JP"/>
              </w:rPr>
            </m:ctrlPr>
          </m:sSubPr>
          <m:e>
            <m:r>
              <w:rPr>
                <w:rFonts w:ascii="Cambria Math" w:hAnsi="Cambria Math"/>
                <w:sz w:val="24"/>
                <w:szCs w:val="24"/>
                <w:lang w:eastAsia="ja-JP"/>
              </w:rPr>
              <m:t>E</m:t>
            </m:r>
          </m:e>
          <m:sub>
            <m:r>
              <w:rPr>
                <w:rFonts w:ascii="Cambria Math" w:hAnsi="Cambria Math"/>
                <w:sz w:val="24"/>
                <w:szCs w:val="24"/>
                <w:lang w:eastAsia="ja-JP"/>
              </w:rPr>
              <m:t>t</m:t>
            </m:r>
          </m:sub>
        </m:sSub>
        <m:d>
          <m:dPr>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t+1</m:t>
                </m:r>
              </m:sub>
            </m:sSub>
          </m:e>
        </m:d>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oMath>
      <w:r>
        <w:rPr>
          <w:rFonts w:hint="eastAsia"/>
          <w:sz w:val="24"/>
          <w:lang w:eastAsia="ja-JP"/>
        </w:rPr>
        <w:t xml:space="preserve"> </w:t>
      </w:r>
      <w:r>
        <w:rPr>
          <w:sz w:val="24"/>
          <w:lang w:eastAsia="ja-JP"/>
        </w:rPr>
        <w:t>in</w:t>
      </w:r>
      <w:r>
        <w:rPr>
          <w:rFonts w:hint="eastAsia"/>
          <w:sz w:val="24"/>
          <w:lang w:eastAsia="ja-JP"/>
        </w:rPr>
        <w:t xml:space="preserve"> any period </w:t>
      </w:r>
      <w:r w:rsidRPr="00CF6C28">
        <w:rPr>
          <w:rFonts w:hint="eastAsia"/>
          <w:i/>
          <w:sz w:val="24"/>
          <w:lang w:eastAsia="ja-JP"/>
        </w:rPr>
        <w:t>t.</w:t>
      </w:r>
      <w:r>
        <w:rPr>
          <w:rFonts w:hint="eastAsia"/>
          <w:sz w:val="24"/>
          <w:lang w:eastAsia="ja-JP"/>
        </w:rPr>
        <w:t xml:space="preserve"> </w:t>
      </w:r>
    </w:p>
    <w:p w14:paraId="0BC0EDFC" w14:textId="4E8B0EA7" w:rsidR="00B67A3C" w:rsidRDefault="00B67A3C" w:rsidP="00B67A3C">
      <w:pPr>
        <w:spacing w:line="480" w:lineRule="auto"/>
        <w:ind w:firstLine="709"/>
        <w:jc w:val="both"/>
        <w:rPr>
          <w:sz w:val="24"/>
          <w:lang w:eastAsia="ja-JP"/>
        </w:rPr>
      </w:pPr>
      <w:r>
        <w:rPr>
          <w:rFonts w:hint="eastAsia"/>
          <w:sz w:val="24"/>
          <w:lang w:eastAsia="ja-JP"/>
        </w:rPr>
        <w:lastRenderedPageBreak/>
        <w:t xml:space="preserve">On the other hand, the trend model assumes that investors </w:t>
      </w:r>
      <w:r>
        <w:rPr>
          <w:sz w:val="24"/>
          <w:lang w:eastAsia="ja-JP"/>
        </w:rPr>
        <w:t xml:space="preserve">form their expectations about </w:t>
      </w:r>
      <w:r>
        <w:rPr>
          <w:rFonts w:hint="eastAsia"/>
          <w:sz w:val="24"/>
          <w:lang w:eastAsia="ja-JP"/>
        </w:rPr>
        <w:t xml:space="preserve">the future price </w:t>
      </w:r>
      <w:r>
        <w:rPr>
          <w:sz w:val="24"/>
          <w:lang w:eastAsia="ja-JP"/>
        </w:rPr>
        <w:t xml:space="preserve">through </w:t>
      </w:r>
      <w:r w:rsidRPr="00E647AF">
        <w:rPr>
          <w:sz w:val="24"/>
          <w:lang w:eastAsia="ja-JP"/>
        </w:rPr>
        <w:t>forward induction</w:t>
      </w:r>
      <w:r w:rsidRPr="007819FF">
        <w:rPr>
          <w:sz w:val="24"/>
          <w:lang w:eastAsia="ja-JP"/>
        </w:rPr>
        <w:t xml:space="preserve"> </w:t>
      </w:r>
      <w:r w:rsidR="008D1B38">
        <w:rPr>
          <w:sz w:val="24"/>
          <w:lang w:eastAsia="ja-JP"/>
        </w:rPr>
        <w:t xml:space="preserve">or extrapolation </w:t>
      </w:r>
      <w:r>
        <w:rPr>
          <w:rFonts w:hint="eastAsia"/>
          <w:sz w:val="24"/>
          <w:lang w:eastAsia="ja-JP"/>
        </w:rPr>
        <w:t>based on recent</w:t>
      </w:r>
      <w:r>
        <w:rPr>
          <w:sz w:val="24"/>
          <w:lang w:eastAsia="ja-JP"/>
        </w:rPr>
        <w:t>ly</w:t>
      </w:r>
      <w:r>
        <w:rPr>
          <w:rFonts w:hint="eastAsia"/>
          <w:sz w:val="24"/>
          <w:lang w:eastAsia="ja-JP"/>
        </w:rPr>
        <w:t xml:space="preserve"> </w:t>
      </w:r>
      <w:r>
        <w:rPr>
          <w:sz w:val="24"/>
          <w:lang w:eastAsia="ja-JP"/>
        </w:rPr>
        <w:t>observed</w:t>
      </w:r>
      <w:r>
        <w:rPr>
          <w:rFonts w:hint="eastAsia"/>
          <w:sz w:val="24"/>
          <w:lang w:eastAsia="ja-JP"/>
        </w:rPr>
        <w:t xml:space="preserve"> price </w:t>
      </w:r>
      <w:r>
        <w:rPr>
          <w:sz w:val="24"/>
          <w:lang w:eastAsia="ja-JP"/>
        </w:rPr>
        <w:t>change</w:t>
      </w:r>
      <w:r>
        <w:rPr>
          <w:rFonts w:hint="eastAsia"/>
          <w:sz w:val="24"/>
          <w:lang w:eastAsia="ja-JP"/>
        </w:rPr>
        <w:t>s</w:t>
      </w:r>
      <w:r>
        <w:rPr>
          <w:sz w:val="24"/>
          <w:lang w:eastAsia="ja-JP"/>
        </w:rPr>
        <w:t xml:space="preserve"> (it thus captures momentum)</w:t>
      </w:r>
      <w:r>
        <w:rPr>
          <w:rFonts w:hint="eastAsia"/>
          <w:sz w:val="24"/>
          <w:lang w:eastAsia="ja-JP"/>
        </w:rPr>
        <w:t>.</w:t>
      </w:r>
    </w:p>
    <w:p w14:paraId="03769280" w14:textId="4A62A94A" w:rsidR="00B67A3C" w:rsidRPr="00FE5A0A" w:rsidRDefault="00BC412C" w:rsidP="00B67A3C">
      <w:pPr>
        <w:tabs>
          <w:tab w:val="right" w:pos="9072"/>
        </w:tabs>
        <w:spacing w:line="480" w:lineRule="auto"/>
        <w:ind w:firstLine="720"/>
        <w:jc w:val="both"/>
        <w:rPr>
          <w:sz w:val="24"/>
          <w:lang w:eastAsia="ja-JP"/>
        </w:rPr>
      </w:pPr>
      <m:oMath>
        <m:sSub>
          <m:sSubPr>
            <m:ctrlPr>
              <w:rPr>
                <w:rFonts w:ascii="Cambria Math" w:hAnsi="Cambria Math"/>
                <w:i/>
                <w:sz w:val="24"/>
                <w:szCs w:val="24"/>
                <w:lang w:eastAsia="ja-JP"/>
              </w:rPr>
            </m:ctrlPr>
          </m:sSubPr>
          <m:e>
            <m:r>
              <w:rPr>
                <w:rFonts w:ascii="Cambria Math" w:hAnsi="Cambria Math"/>
                <w:sz w:val="24"/>
                <w:szCs w:val="24"/>
                <w:lang w:eastAsia="ja-JP"/>
              </w:rPr>
              <m:t>E</m:t>
            </m:r>
          </m:e>
          <m:sub>
            <m:r>
              <w:rPr>
                <w:rFonts w:ascii="Cambria Math" w:hAnsi="Cambria Math"/>
                <w:sz w:val="24"/>
                <w:szCs w:val="24"/>
                <w:lang w:eastAsia="ja-JP"/>
              </w:rPr>
              <m:t>t</m:t>
            </m:r>
          </m:sub>
        </m:sSub>
        <m:d>
          <m:dPr>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t+1</m:t>
                </m:r>
              </m:sub>
            </m:sSub>
          </m:e>
        </m:d>
        <m:r>
          <w:rPr>
            <w:rFonts w:ascii="Cambria Math" w:hAnsi="Cambria Math"/>
            <w:sz w:val="24"/>
            <w:szCs w:val="24"/>
            <w:lang w:eastAsia="ja-JP"/>
          </w:rPr>
          <m:t>=</m:t>
        </m:r>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r>
          <w:rPr>
            <w:rFonts w:ascii="Cambria Math" w:hAnsi="Cambria Math"/>
            <w:sz w:val="24"/>
            <w:szCs w:val="24"/>
            <w:lang w:eastAsia="ja-JP"/>
          </w:rPr>
          <m:t>+β(</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r>
              <w:rPr>
                <w:rFonts w:ascii="Cambria Math" w:hAnsi="Cambria Math"/>
                <w:sz w:val="24"/>
                <w:szCs w:val="24"/>
                <w:lang w:eastAsia="ja-JP"/>
              </w:rPr>
              <m:t>-1</m:t>
            </m:r>
          </m:sub>
        </m:sSub>
        <m:r>
          <w:rPr>
            <w:rFonts w:ascii="Cambria Math" w:hAnsi="Cambria Math"/>
            <w:sz w:val="24"/>
            <w:szCs w:val="24"/>
            <w:lang w:eastAsia="ja-JP"/>
          </w:rPr>
          <m:t>)</m:t>
        </m:r>
      </m:oMath>
      <w:r w:rsidR="00B67A3C">
        <w:rPr>
          <w:rFonts w:hint="eastAsia"/>
          <w:sz w:val="24"/>
          <w:lang w:eastAsia="ja-JP"/>
        </w:rPr>
        <w:t xml:space="preserve"> </w:t>
      </w:r>
      <w:r w:rsidR="00B67A3C">
        <w:rPr>
          <w:sz w:val="24"/>
          <w:lang w:eastAsia="ja-JP"/>
        </w:rPr>
        <w:tab/>
      </w:r>
      <w:r w:rsidR="00B67A3C">
        <w:rPr>
          <w:rFonts w:hint="eastAsia"/>
          <w:sz w:val="24"/>
          <w:lang w:eastAsia="ja-JP"/>
        </w:rPr>
        <w:t>(</w:t>
      </w:r>
      <w:r w:rsidR="007819FF">
        <w:rPr>
          <w:sz w:val="24"/>
          <w:lang w:eastAsia="ja-JP"/>
        </w:rPr>
        <w:t>13</w:t>
      </w:r>
      <w:r w:rsidR="00B67A3C">
        <w:rPr>
          <w:rFonts w:hint="eastAsia"/>
          <w:sz w:val="24"/>
          <w:lang w:eastAsia="ja-JP"/>
        </w:rPr>
        <w:t>)</w:t>
      </w:r>
    </w:p>
    <w:p w14:paraId="76DEE395" w14:textId="47BE086A" w:rsidR="00B67A3C" w:rsidRDefault="00B67A3C" w:rsidP="00B67A3C">
      <w:pPr>
        <w:spacing w:line="480" w:lineRule="auto"/>
        <w:jc w:val="both"/>
        <w:rPr>
          <w:sz w:val="24"/>
          <w:lang w:eastAsia="ja-JP"/>
        </w:rPr>
      </w:pPr>
      <w:proofErr w:type="gramStart"/>
      <w:r>
        <w:rPr>
          <w:sz w:val="24"/>
          <w:lang w:eastAsia="ja-JP"/>
        </w:rPr>
        <w:t>where</w:t>
      </w:r>
      <w:proofErr w:type="gramEnd"/>
      <w:r w:rsidRPr="004250FA">
        <w:rPr>
          <w:i/>
          <w:sz w:val="24"/>
          <w:lang w:eastAsia="ja-JP"/>
        </w:rPr>
        <w:t xml:space="preserve"> P</w:t>
      </w:r>
      <w:r w:rsidRPr="004250FA">
        <w:rPr>
          <w:i/>
          <w:sz w:val="24"/>
          <w:vertAlign w:val="subscript"/>
          <w:lang w:eastAsia="ja-JP"/>
        </w:rPr>
        <w:t>t</w:t>
      </w:r>
      <w:r w:rsidRPr="004250FA">
        <w:rPr>
          <w:sz w:val="24"/>
          <w:vertAlign w:val="subscript"/>
          <w:lang w:eastAsia="ja-JP"/>
        </w:rPr>
        <w:t>-1</w:t>
      </w:r>
      <w:r>
        <w:rPr>
          <w:sz w:val="24"/>
          <w:lang w:eastAsia="ja-JP"/>
        </w:rPr>
        <w:t xml:space="preserve"> is the price at </w:t>
      </w:r>
      <w:r w:rsidRPr="004250FA">
        <w:rPr>
          <w:i/>
          <w:sz w:val="24"/>
          <w:lang w:eastAsia="ja-JP"/>
        </w:rPr>
        <w:t>t</w:t>
      </w:r>
      <w:r>
        <w:rPr>
          <w:sz w:val="24"/>
          <w:lang w:eastAsia="ja-JP"/>
        </w:rPr>
        <w:t xml:space="preserve">-1. </w:t>
      </w:r>
      <w:r>
        <w:rPr>
          <w:rFonts w:hint="eastAsia"/>
          <w:sz w:val="24"/>
          <w:lang w:eastAsia="ja-JP"/>
        </w:rPr>
        <w:t xml:space="preserve">In this model </w:t>
      </w:r>
      <w:proofErr w:type="gramStart"/>
      <w:r>
        <w:rPr>
          <w:rFonts w:hint="eastAsia"/>
          <w:sz w:val="24"/>
          <w:lang w:eastAsia="ja-JP"/>
        </w:rPr>
        <w:t xml:space="preserve">if </w:t>
      </w:r>
      <w:proofErr w:type="gramEnd"/>
      <w:r>
        <w:rPr>
          <w:noProof/>
          <w:position w:val="-10"/>
          <w:sz w:val="24"/>
          <w:lang w:val="de-DE" w:eastAsia="de-DE"/>
        </w:rPr>
        <w:drawing>
          <wp:inline distT="0" distB="0" distL="0" distR="0" wp14:anchorId="08C418F3" wp14:editId="65FDD6F3">
            <wp:extent cx="390525" cy="200025"/>
            <wp:effectExtent l="0" t="0" r="9525" b="952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rFonts w:hint="eastAsia"/>
          <w:sz w:val="24"/>
          <w:lang w:eastAsia="ja-JP"/>
        </w:rPr>
        <w:t xml:space="preserve">, recent price increases (decreases) cause investors to expect further price </w:t>
      </w:r>
      <w:r>
        <w:rPr>
          <w:sz w:val="24"/>
          <w:lang w:eastAsia="ja-JP"/>
        </w:rPr>
        <w:t>increases</w:t>
      </w:r>
      <w:r>
        <w:rPr>
          <w:rFonts w:hint="eastAsia"/>
          <w:sz w:val="24"/>
          <w:lang w:eastAsia="ja-JP"/>
        </w:rPr>
        <w:t xml:space="preserve"> (decreases) in the future; if </w:t>
      </w:r>
      <w:r>
        <w:rPr>
          <w:noProof/>
          <w:position w:val="-10"/>
          <w:sz w:val="24"/>
          <w:lang w:val="de-DE" w:eastAsia="de-DE"/>
        </w:rPr>
        <w:drawing>
          <wp:inline distT="0" distB="0" distL="0" distR="0" wp14:anchorId="562C1CB7" wp14:editId="75567CA8">
            <wp:extent cx="390525" cy="200025"/>
            <wp:effectExtent l="0" t="0" r="9525" b="9525"/>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rFonts w:hint="eastAsia"/>
          <w:sz w:val="24"/>
          <w:lang w:eastAsia="ja-JP"/>
        </w:rPr>
        <w:t>,</w:t>
      </w:r>
      <w:r w:rsidRPr="00251EAB">
        <w:rPr>
          <w:rFonts w:hint="eastAsia"/>
          <w:sz w:val="24"/>
          <w:lang w:eastAsia="ja-JP"/>
        </w:rPr>
        <w:t xml:space="preserve"> </w:t>
      </w:r>
      <w:r>
        <w:rPr>
          <w:rFonts w:hint="eastAsia"/>
          <w:sz w:val="24"/>
          <w:lang w:eastAsia="ja-JP"/>
        </w:rPr>
        <w:t xml:space="preserve">recent price increases (decreases) cause </w:t>
      </w:r>
      <w:r>
        <w:rPr>
          <w:sz w:val="24"/>
          <w:lang w:eastAsia="ja-JP"/>
        </w:rPr>
        <w:t>investors</w:t>
      </w:r>
      <w:r>
        <w:rPr>
          <w:rFonts w:hint="eastAsia"/>
          <w:sz w:val="24"/>
          <w:lang w:eastAsia="ja-JP"/>
        </w:rPr>
        <w:t xml:space="preserve"> to expect future price decreases (increases). With this model, investors</w:t>
      </w:r>
      <w:r>
        <w:rPr>
          <w:sz w:val="24"/>
          <w:lang w:eastAsia="ja-JP"/>
        </w:rPr>
        <w:t>’</w:t>
      </w:r>
      <w:r>
        <w:rPr>
          <w:rFonts w:hint="eastAsia"/>
          <w:sz w:val="24"/>
          <w:lang w:eastAsia="ja-JP"/>
        </w:rPr>
        <w:t xml:space="preserve"> </w:t>
      </w:r>
      <w:r>
        <w:rPr>
          <w:sz w:val="24"/>
          <w:lang w:eastAsia="ja-JP"/>
        </w:rPr>
        <w:t>expect</w:t>
      </w:r>
      <w:r>
        <w:rPr>
          <w:rFonts w:hint="eastAsia"/>
          <w:sz w:val="24"/>
          <w:lang w:eastAsia="ja-JP"/>
        </w:rPr>
        <w:t xml:space="preserve">ation of </w:t>
      </w:r>
      <w:r>
        <w:rPr>
          <w:sz w:val="24"/>
          <w:lang w:eastAsia="ja-JP"/>
        </w:rPr>
        <w:t xml:space="preserve">the </w:t>
      </w:r>
      <w:r>
        <w:rPr>
          <w:rFonts w:hint="eastAsia"/>
          <w:sz w:val="24"/>
          <w:lang w:eastAsia="ja-JP"/>
        </w:rPr>
        <w:t xml:space="preserve">future prices are </w:t>
      </w:r>
      <w:r>
        <w:rPr>
          <w:sz w:val="24"/>
          <w:lang w:eastAsia="ja-JP"/>
        </w:rPr>
        <w:t xml:space="preserve">based on </w:t>
      </w:r>
      <w:r>
        <w:rPr>
          <w:rFonts w:hint="eastAsia"/>
          <w:sz w:val="24"/>
          <w:lang w:eastAsia="ja-JP"/>
        </w:rPr>
        <w:t xml:space="preserve">recent price </w:t>
      </w:r>
      <w:r>
        <w:rPr>
          <w:sz w:val="24"/>
          <w:lang w:eastAsia="ja-JP"/>
        </w:rPr>
        <w:t>movements</w:t>
      </w:r>
      <w:r>
        <w:rPr>
          <w:rFonts w:hint="eastAsia"/>
          <w:sz w:val="24"/>
          <w:lang w:eastAsia="ja-JP"/>
        </w:rPr>
        <w:t xml:space="preserve">, </w:t>
      </w:r>
      <w:r>
        <w:rPr>
          <w:sz w:val="24"/>
          <w:lang w:eastAsia="ja-JP"/>
        </w:rPr>
        <w:t>irr</w:t>
      </w:r>
      <w:r>
        <w:rPr>
          <w:sz w:val="24"/>
          <w:lang w:eastAsia="ja-JP"/>
        </w:rPr>
        <w:t>e</w:t>
      </w:r>
      <w:r>
        <w:rPr>
          <w:sz w:val="24"/>
          <w:lang w:eastAsia="ja-JP"/>
        </w:rPr>
        <w:t>spective</w:t>
      </w:r>
      <w:r>
        <w:rPr>
          <w:rFonts w:hint="eastAsia"/>
          <w:sz w:val="24"/>
          <w:lang w:eastAsia="ja-JP"/>
        </w:rPr>
        <w:t xml:space="preserve"> of the fundamental value of the security.</w:t>
      </w:r>
    </w:p>
    <w:p w14:paraId="5FCDB5FA" w14:textId="129ABCBF" w:rsidR="00B67A3C" w:rsidRDefault="00B67A3C" w:rsidP="00B67A3C">
      <w:pPr>
        <w:spacing w:line="480" w:lineRule="auto"/>
        <w:ind w:firstLine="709"/>
        <w:jc w:val="both"/>
        <w:rPr>
          <w:sz w:val="24"/>
          <w:lang w:eastAsia="ja-JP"/>
        </w:rPr>
      </w:pPr>
      <w:r>
        <w:rPr>
          <w:sz w:val="24"/>
          <w:lang w:eastAsia="ja-JP"/>
        </w:rPr>
        <w:t xml:space="preserve">We can combine </w:t>
      </w:r>
      <w:r>
        <w:rPr>
          <w:rFonts w:hint="eastAsia"/>
          <w:sz w:val="24"/>
          <w:lang w:eastAsia="ja-JP"/>
        </w:rPr>
        <w:t>(</w:t>
      </w:r>
      <w:r w:rsidR="007A2843">
        <w:rPr>
          <w:sz w:val="24"/>
          <w:lang w:eastAsia="ja-JP"/>
        </w:rPr>
        <w:t>12</w:t>
      </w:r>
      <w:r>
        <w:rPr>
          <w:rFonts w:hint="eastAsia"/>
          <w:sz w:val="24"/>
          <w:lang w:eastAsia="ja-JP"/>
        </w:rPr>
        <w:t>) and (</w:t>
      </w:r>
      <w:r w:rsidR="007A2843">
        <w:rPr>
          <w:sz w:val="24"/>
          <w:lang w:eastAsia="ja-JP"/>
        </w:rPr>
        <w:t>13</w:t>
      </w:r>
      <w:r>
        <w:rPr>
          <w:rFonts w:hint="eastAsia"/>
          <w:sz w:val="24"/>
          <w:lang w:eastAsia="ja-JP"/>
        </w:rPr>
        <w:t xml:space="preserve">) </w:t>
      </w:r>
      <w:r>
        <w:rPr>
          <w:sz w:val="24"/>
          <w:lang w:eastAsia="ja-JP"/>
        </w:rPr>
        <w:t xml:space="preserve">into </w:t>
      </w:r>
      <w:r>
        <w:rPr>
          <w:rFonts w:hint="eastAsia"/>
          <w:sz w:val="24"/>
          <w:lang w:eastAsia="ja-JP"/>
        </w:rPr>
        <w:t xml:space="preserve">a </w:t>
      </w:r>
      <w:r w:rsidR="008D1B38">
        <w:rPr>
          <w:sz w:val="24"/>
          <w:lang w:eastAsia="ja-JP"/>
        </w:rPr>
        <w:t xml:space="preserve">more </w:t>
      </w:r>
      <w:r>
        <w:rPr>
          <w:rFonts w:hint="eastAsia"/>
          <w:sz w:val="24"/>
          <w:lang w:eastAsia="ja-JP"/>
        </w:rPr>
        <w:t xml:space="preserve">general specification for </w:t>
      </w:r>
      <w:r>
        <w:rPr>
          <w:sz w:val="24"/>
          <w:lang w:eastAsia="ja-JP"/>
        </w:rPr>
        <w:t>expectation</w:t>
      </w:r>
      <w:r>
        <w:rPr>
          <w:rFonts w:hint="eastAsia"/>
          <w:sz w:val="24"/>
          <w:lang w:eastAsia="ja-JP"/>
        </w:rPr>
        <w:t xml:space="preserve"> fo</w:t>
      </w:r>
      <w:r>
        <w:rPr>
          <w:rFonts w:hint="eastAsia"/>
          <w:sz w:val="24"/>
          <w:lang w:eastAsia="ja-JP"/>
        </w:rPr>
        <w:t>r</w:t>
      </w:r>
      <w:r>
        <w:rPr>
          <w:rFonts w:hint="eastAsia"/>
          <w:sz w:val="24"/>
          <w:lang w:eastAsia="ja-JP"/>
        </w:rPr>
        <w:t>mation</w:t>
      </w:r>
      <w:r>
        <w:rPr>
          <w:sz w:val="24"/>
          <w:lang w:eastAsia="ja-JP"/>
        </w:rPr>
        <w:t>:</w:t>
      </w:r>
    </w:p>
    <w:p w14:paraId="71CB128E" w14:textId="7F5DBE83" w:rsidR="00B67A3C" w:rsidRDefault="00BC412C" w:rsidP="00B67A3C">
      <w:pPr>
        <w:tabs>
          <w:tab w:val="right" w:pos="9072"/>
        </w:tabs>
        <w:spacing w:line="480" w:lineRule="auto"/>
        <w:ind w:firstLine="720"/>
        <w:jc w:val="both"/>
        <w:rPr>
          <w:sz w:val="24"/>
          <w:lang w:eastAsia="ja-JP"/>
        </w:rPr>
      </w:pPr>
      <m:oMath>
        <m:sSub>
          <m:sSubPr>
            <m:ctrlPr>
              <w:rPr>
                <w:rFonts w:ascii="Cambria Math" w:hAnsi="Cambria Math"/>
                <w:i/>
                <w:sz w:val="24"/>
                <w:szCs w:val="24"/>
                <w:lang w:eastAsia="ja-JP"/>
              </w:rPr>
            </m:ctrlPr>
          </m:sSubPr>
          <m:e>
            <m:r>
              <w:rPr>
                <w:rFonts w:ascii="Cambria Math" w:hAnsi="Cambria Math"/>
                <w:sz w:val="24"/>
                <w:szCs w:val="24"/>
                <w:lang w:eastAsia="ja-JP"/>
              </w:rPr>
              <m:t>E</m:t>
            </m:r>
          </m:e>
          <m:sub>
            <m:r>
              <w:rPr>
                <w:rFonts w:ascii="Cambria Math" w:hAnsi="Cambria Math"/>
                <w:sz w:val="24"/>
                <w:szCs w:val="24"/>
                <w:lang w:eastAsia="ja-JP"/>
              </w:rPr>
              <m:t>t</m:t>
            </m:r>
          </m:sub>
        </m:sSub>
        <m:d>
          <m:dPr>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t+1</m:t>
                </m:r>
              </m:sub>
            </m:sSub>
          </m:e>
        </m:d>
        <m:r>
          <w:rPr>
            <w:rFonts w:ascii="Cambria Math" w:hAnsi="Cambria Math"/>
            <w:sz w:val="24"/>
            <w:szCs w:val="24"/>
            <w:lang w:eastAsia="ja-JP"/>
          </w:rPr>
          <m:t>=</m:t>
        </m:r>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r>
          <w:rPr>
            <w:rFonts w:ascii="Cambria Math" w:hAnsi="Cambria Math"/>
            <w:sz w:val="24"/>
            <w:szCs w:val="24"/>
            <w:lang w:eastAsia="ja-JP"/>
          </w:rPr>
          <m:t>+α</m:t>
        </m:r>
        <m:d>
          <m:dPr>
            <m:ctrlPr>
              <w:rPr>
                <w:rFonts w:ascii="Cambria Math" w:hAnsi="Cambria Math"/>
                <w:i/>
                <w:sz w:val="24"/>
                <w:szCs w:val="24"/>
                <w:lang w:eastAsia="ja-JP"/>
              </w:rPr>
            </m:ctrlPr>
          </m:dPr>
          <m:e>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sub>
            </m:sSub>
            <m:ctrlPr>
              <w:rPr>
                <w:rFonts w:ascii="Cambria Math" w:hAnsi="Cambria Math"/>
                <w:i/>
                <w:sz w:val="24"/>
                <w:szCs w:val="24"/>
                <w:lang w:val="de-DE" w:eastAsia="ja-JP"/>
              </w:rPr>
            </m:ctrlPr>
          </m:e>
        </m:d>
        <m:r>
          <w:rPr>
            <w:rFonts w:ascii="Cambria Math" w:hAnsi="Cambria Math"/>
            <w:sz w:val="24"/>
            <w:szCs w:val="24"/>
            <w:lang w:eastAsia="ja-JP"/>
          </w:rPr>
          <m:t>+β(</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r>
              <w:rPr>
                <w:rFonts w:ascii="Cambria Math" w:hAnsi="Cambria Math"/>
                <w:sz w:val="24"/>
                <w:szCs w:val="24"/>
                <w:lang w:eastAsia="ja-JP"/>
              </w:rPr>
              <m:t>-1</m:t>
            </m:r>
          </m:sub>
        </m:sSub>
        <m:r>
          <w:rPr>
            <w:rFonts w:ascii="Cambria Math" w:hAnsi="Cambria Math"/>
            <w:sz w:val="24"/>
            <w:szCs w:val="24"/>
            <w:lang w:eastAsia="ja-JP"/>
          </w:rPr>
          <m:t>)</m:t>
        </m:r>
      </m:oMath>
      <w:r w:rsidR="00B67A3C">
        <w:rPr>
          <w:rFonts w:hint="eastAsia"/>
          <w:sz w:val="24"/>
          <w:lang w:eastAsia="ja-JP"/>
        </w:rPr>
        <w:t xml:space="preserve"> </w:t>
      </w:r>
      <w:r w:rsidR="00B67A3C">
        <w:rPr>
          <w:sz w:val="24"/>
          <w:lang w:eastAsia="ja-JP"/>
        </w:rPr>
        <w:tab/>
      </w:r>
      <w:r w:rsidR="00B67A3C">
        <w:rPr>
          <w:rFonts w:hint="eastAsia"/>
          <w:sz w:val="24"/>
          <w:lang w:eastAsia="ja-JP"/>
        </w:rPr>
        <w:t>(</w:t>
      </w:r>
      <w:r w:rsidR="007A2843">
        <w:rPr>
          <w:sz w:val="24"/>
          <w:lang w:eastAsia="ja-JP"/>
        </w:rPr>
        <w:t>14</w:t>
      </w:r>
      <w:r w:rsidR="00B67A3C">
        <w:rPr>
          <w:rFonts w:hint="eastAsia"/>
          <w:sz w:val="24"/>
          <w:lang w:eastAsia="ja-JP"/>
        </w:rPr>
        <w:t>)</w:t>
      </w:r>
    </w:p>
    <w:p w14:paraId="1693D084" w14:textId="77777777" w:rsidR="00B67A3C" w:rsidRDefault="00B67A3C" w:rsidP="00B67A3C">
      <w:pPr>
        <w:spacing w:line="480" w:lineRule="auto"/>
        <w:jc w:val="both"/>
        <w:rPr>
          <w:sz w:val="24"/>
          <w:lang w:eastAsia="ja-JP"/>
        </w:rPr>
      </w:pPr>
      <w:r>
        <w:rPr>
          <w:rFonts w:hint="eastAsia"/>
          <w:sz w:val="24"/>
          <w:lang w:eastAsia="ja-JP"/>
        </w:rPr>
        <w:t xml:space="preserve">This combined model allows for the possibility that investors use some combinations of </w:t>
      </w:r>
      <w:r>
        <w:rPr>
          <w:sz w:val="24"/>
          <w:lang w:eastAsia="ja-JP"/>
        </w:rPr>
        <w:t xml:space="preserve">backward induction from </w:t>
      </w:r>
      <w:r>
        <w:rPr>
          <w:rFonts w:hint="eastAsia"/>
          <w:sz w:val="24"/>
          <w:lang w:eastAsia="ja-JP"/>
        </w:rPr>
        <w:t>fundamental</w:t>
      </w:r>
      <w:r>
        <w:rPr>
          <w:sz w:val="24"/>
          <w:lang w:eastAsia="ja-JP"/>
        </w:rPr>
        <w:t>s and forward induction from recent prices</w:t>
      </w:r>
      <w:r>
        <w:rPr>
          <w:rFonts w:hint="eastAsia"/>
          <w:sz w:val="24"/>
          <w:lang w:eastAsia="ja-JP"/>
        </w:rPr>
        <w:t xml:space="preserve">. </w:t>
      </w:r>
    </w:p>
    <w:p w14:paraId="3FB32667" w14:textId="4409DA5A" w:rsidR="00B67A3C" w:rsidRDefault="00B67A3C" w:rsidP="00B67A3C">
      <w:pPr>
        <w:spacing w:line="480" w:lineRule="auto"/>
        <w:ind w:firstLine="720"/>
        <w:jc w:val="both"/>
        <w:rPr>
          <w:sz w:val="24"/>
          <w:lang w:eastAsia="ja-JP"/>
        </w:rPr>
      </w:pPr>
      <w:r>
        <w:rPr>
          <w:sz w:val="24"/>
          <w:lang w:eastAsia="ja-JP"/>
        </w:rPr>
        <w:t>Rearranging</w:t>
      </w:r>
      <w:r>
        <w:rPr>
          <w:rFonts w:hint="eastAsia"/>
          <w:sz w:val="24"/>
          <w:lang w:eastAsia="ja-JP"/>
        </w:rPr>
        <w:t xml:space="preserve"> terms, (</w:t>
      </w:r>
      <w:r w:rsidR="007A2843">
        <w:rPr>
          <w:sz w:val="24"/>
          <w:lang w:eastAsia="ja-JP"/>
        </w:rPr>
        <w:t>12</w:t>
      </w:r>
      <w:r>
        <w:rPr>
          <w:rFonts w:hint="eastAsia"/>
          <w:sz w:val="24"/>
          <w:lang w:eastAsia="ja-JP"/>
        </w:rPr>
        <w:t>), (</w:t>
      </w:r>
      <w:r w:rsidR="007A2843">
        <w:rPr>
          <w:sz w:val="24"/>
          <w:lang w:eastAsia="ja-JP"/>
        </w:rPr>
        <w:t>13</w:t>
      </w:r>
      <w:r>
        <w:rPr>
          <w:sz w:val="24"/>
          <w:lang w:eastAsia="ja-JP"/>
        </w:rPr>
        <w:t>)</w:t>
      </w:r>
      <w:r>
        <w:rPr>
          <w:rFonts w:hint="eastAsia"/>
          <w:sz w:val="24"/>
          <w:lang w:eastAsia="ja-JP"/>
        </w:rPr>
        <w:t xml:space="preserve"> and (</w:t>
      </w:r>
      <w:r w:rsidR="007A2843">
        <w:rPr>
          <w:sz w:val="24"/>
          <w:lang w:eastAsia="ja-JP"/>
        </w:rPr>
        <w:t>14</w:t>
      </w:r>
      <w:r>
        <w:rPr>
          <w:rFonts w:hint="eastAsia"/>
          <w:sz w:val="24"/>
          <w:lang w:eastAsia="ja-JP"/>
        </w:rPr>
        <w:t>) become</w:t>
      </w:r>
    </w:p>
    <w:p w14:paraId="56D51E13" w14:textId="490A9473" w:rsidR="00B67A3C" w:rsidRPr="00C50B3A" w:rsidRDefault="00BC412C" w:rsidP="00B67A3C">
      <w:pPr>
        <w:tabs>
          <w:tab w:val="right" w:pos="9072"/>
        </w:tabs>
        <w:spacing w:line="480" w:lineRule="auto"/>
        <w:ind w:firstLine="720"/>
        <w:jc w:val="both"/>
        <w:rPr>
          <w:sz w:val="24"/>
          <w:lang w:eastAsia="ja-JP"/>
        </w:rPr>
      </w:pPr>
      <m:oMath>
        <m:sSub>
          <m:sSubPr>
            <m:ctrlPr>
              <w:rPr>
                <w:rFonts w:ascii="Cambria Math" w:hAnsi="Cambria Math"/>
                <w:i/>
                <w:sz w:val="24"/>
                <w:szCs w:val="24"/>
                <w:lang w:eastAsia="ja-JP"/>
              </w:rPr>
            </m:ctrlPr>
          </m:sSubPr>
          <m:e>
            <m:r>
              <w:rPr>
                <w:rFonts w:ascii="Cambria Math" w:hAnsi="Cambria Math"/>
                <w:sz w:val="24"/>
                <w:szCs w:val="24"/>
                <w:lang w:eastAsia="ja-JP"/>
              </w:rPr>
              <m:t>E</m:t>
            </m:r>
          </m:e>
          <m:sub>
            <m:r>
              <w:rPr>
                <w:rFonts w:ascii="Cambria Math" w:hAnsi="Cambria Math"/>
                <w:sz w:val="24"/>
                <w:szCs w:val="24"/>
                <w:lang w:eastAsia="ja-JP"/>
              </w:rPr>
              <m:t>t</m:t>
            </m:r>
          </m:sub>
        </m:sSub>
        <m:d>
          <m:dPr>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t+1</m:t>
                </m:r>
              </m:sub>
            </m:sSub>
          </m:e>
        </m:d>
        <m:r>
          <w:rPr>
            <w:rFonts w:ascii="Cambria Math" w:hAnsi="Cambria Math"/>
            <w:sz w:val="24"/>
            <w:szCs w:val="24"/>
            <w:lang w:eastAsia="ja-JP"/>
          </w:rPr>
          <m:t>-</m:t>
        </m:r>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r>
          <w:rPr>
            <w:rFonts w:ascii="Cambria Math" w:hAnsi="Cambria Math"/>
            <w:sz w:val="24"/>
            <w:szCs w:val="24"/>
            <w:lang w:eastAsia="ja-JP"/>
          </w:rPr>
          <m:t>=α</m:t>
        </m:r>
        <m:d>
          <m:dPr>
            <m:ctrlPr>
              <w:rPr>
                <w:rFonts w:ascii="Cambria Math" w:hAnsi="Cambria Math"/>
                <w:i/>
                <w:sz w:val="24"/>
                <w:szCs w:val="24"/>
                <w:lang w:eastAsia="ja-JP"/>
              </w:rPr>
            </m:ctrlPr>
          </m:dPr>
          <m:e>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sub>
            </m:sSub>
            <m:ctrlPr>
              <w:rPr>
                <w:rFonts w:ascii="Cambria Math" w:hAnsi="Cambria Math"/>
                <w:i/>
                <w:sz w:val="24"/>
                <w:szCs w:val="24"/>
                <w:lang w:val="de-DE" w:eastAsia="ja-JP"/>
              </w:rPr>
            </m:ctrlPr>
          </m:e>
        </m:d>
      </m:oMath>
      <w:r w:rsidR="00B67A3C">
        <w:rPr>
          <w:rFonts w:hint="eastAsia"/>
          <w:sz w:val="24"/>
          <w:lang w:eastAsia="ja-JP"/>
        </w:rPr>
        <w:t xml:space="preserve"> </w:t>
      </w:r>
      <w:r w:rsidR="00B67A3C">
        <w:rPr>
          <w:sz w:val="24"/>
          <w:lang w:eastAsia="ja-JP"/>
        </w:rPr>
        <w:tab/>
      </w:r>
      <w:r w:rsidR="00B67A3C">
        <w:rPr>
          <w:rFonts w:hint="eastAsia"/>
          <w:sz w:val="24"/>
          <w:lang w:eastAsia="ja-JP"/>
        </w:rPr>
        <w:t>(</w:t>
      </w:r>
      <w:r w:rsidR="007A2843">
        <w:rPr>
          <w:sz w:val="24"/>
          <w:lang w:eastAsia="ja-JP"/>
        </w:rPr>
        <w:t>15</w:t>
      </w:r>
      <w:r w:rsidR="00B67A3C">
        <w:rPr>
          <w:rFonts w:hint="eastAsia"/>
          <w:sz w:val="24"/>
          <w:lang w:eastAsia="ja-JP"/>
        </w:rPr>
        <w:t>)</w:t>
      </w:r>
    </w:p>
    <w:p w14:paraId="48EFA4E1" w14:textId="35EDCCE1" w:rsidR="00B67A3C" w:rsidRDefault="00BC412C" w:rsidP="00B67A3C">
      <w:pPr>
        <w:tabs>
          <w:tab w:val="right" w:pos="9072"/>
        </w:tabs>
        <w:spacing w:line="480" w:lineRule="auto"/>
        <w:ind w:firstLine="720"/>
        <w:jc w:val="both"/>
        <w:rPr>
          <w:sz w:val="24"/>
          <w:lang w:eastAsia="ja-JP"/>
        </w:rPr>
      </w:pPr>
      <m:oMath>
        <m:sSub>
          <m:sSubPr>
            <m:ctrlPr>
              <w:rPr>
                <w:rFonts w:ascii="Cambria Math" w:hAnsi="Cambria Math"/>
                <w:i/>
                <w:sz w:val="24"/>
                <w:szCs w:val="24"/>
                <w:lang w:eastAsia="ja-JP"/>
              </w:rPr>
            </m:ctrlPr>
          </m:sSubPr>
          <m:e>
            <m:r>
              <w:rPr>
                <w:rFonts w:ascii="Cambria Math" w:hAnsi="Cambria Math"/>
                <w:sz w:val="24"/>
                <w:szCs w:val="24"/>
                <w:lang w:eastAsia="ja-JP"/>
              </w:rPr>
              <m:t>E</m:t>
            </m:r>
          </m:e>
          <m:sub>
            <m:r>
              <w:rPr>
                <w:rFonts w:ascii="Cambria Math" w:hAnsi="Cambria Math"/>
                <w:sz w:val="24"/>
                <w:szCs w:val="24"/>
                <w:lang w:eastAsia="ja-JP"/>
              </w:rPr>
              <m:t>t</m:t>
            </m:r>
          </m:sub>
        </m:sSub>
        <m:d>
          <m:dPr>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t+1</m:t>
                </m:r>
              </m:sub>
            </m:sSub>
          </m:e>
        </m:d>
        <m:r>
          <w:rPr>
            <w:rFonts w:ascii="Cambria Math" w:hAnsi="Cambria Math"/>
            <w:sz w:val="24"/>
            <w:szCs w:val="24"/>
            <w:lang w:eastAsia="ja-JP"/>
          </w:rPr>
          <m:t>-</m:t>
        </m:r>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r>
          <w:rPr>
            <w:rFonts w:ascii="Cambria Math" w:hAnsi="Cambria Math"/>
            <w:sz w:val="24"/>
            <w:szCs w:val="24"/>
            <w:lang w:eastAsia="ja-JP"/>
          </w:rPr>
          <m:t>=β(</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r>
              <w:rPr>
                <w:rFonts w:ascii="Cambria Math" w:hAnsi="Cambria Math"/>
                <w:sz w:val="24"/>
                <w:szCs w:val="24"/>
                <w:lang w:eastAsia="ja-JP"/>
              </w:rPr>
              <m:t>-1</m:t>
            </m:r>
          </m:sub>
        </m:sSub>
        <m:r>
          <w:rPr>
            <w:rFonts w:ascii="Cambria Math" w:hAnsi="Cambria Math"/>
            <w:sz w:val="24"/>
            <w:szCs w:val="24"/>
            <w:lang w:eastAsia="ja-JP"/>
          </w:rPr>
          <m:t>)</m:t>
        </m:r>
      </m:oMath>
      <w:r w:rsidR="00B67A3C">
        <w:rPr>
          <w:rFonts w:hint="eastAsia"/>
          <w:sz w:val="24"/>
          <w:lang w:eastAsia="ja-JP"/>
        </w:rPr>
        <w:t xml:space="preserve"> </w:t>
      </w:r>
      <w:r w:rsidR="00B67A3C">
        <w:rPr>
          <w:sz w:val="24"/>
          <w:lang w:eastAsia="ja-JP"/>
        </w:rPr>
        <w:tab/>
      </w:r>
      <w:r w:rsidR="00B67A3C">
        <w:rPr>
          <w:rFonts w:hint="eastAsia"/>
          <w:sz w:val="24"/>
          <w:lang w:eastAsia="ja-JP"/>
        </w:rPr>
        <w:t>(</w:t>
      </w:r>
      <w:r w:rsidR="007A2843">
        <w:rPr>
          <w:sz w:val="24"/>
          <w:lang w:eastAsia="ja-JP"/>
        </w:rPr>
        <w:t>16</w:t>
      </w:r>
      <w:r w:rsidR="00B67A3C">
        <w:rPr>
          <w:rFonts w:hint="eastAsia"/>
          <w:sz w:val="24"/>
          <w:lang w:eastAsia="ja-JP"/>
        </w:rPr>
        <w:t>)</w:t>
      </w:r>
    </w:p>
    <w:p w14:paraId="2C952DBF" w14:textId="7ED9AA0D" w:rsidR="00B67A3C" w:rsidRPr="004828B1" w:rsidRDefault="00BC412C" w:rsidP="00B67A3C">
      <w:pPr>
        <w:tabs>
          <w:tab w:val="right" w:pos="9072"/>
        </w:tabs>
        <w:spacing w:line="480" w:lineRule="auto"/>
        <w:ind w:firstLine="709"/>
        <w:jc w:val="both"/>
        <w:rPr>
          <w:sz w:val="24"/>
          <w:lang w:eastAsia="ja-JP"/>
        </w:rPr>
      </w:pPr>
      <m:oMath>
        <m:sSub>
          <m:sSubPr>
            <m:ctrlPr>
              <w:rPr>
                <w:rFonts w:ascii="Cambria Math" w:hAnsi="Cambria Math"/>
                <w:i/>
                <w:sz w:val="24"/>
                <w:szCs w:val="24"/>
                <w:lang w:eastAsia="ja-JP"/>
              </w:rPr>
            </m:ctrlPr>
          </m:sSubPr>
          <m:e>
            <m:r>
              <w:rPr>
                <w:rFonts w:ascii="Cambria Math" w:hAnsi="Cambria Math"/>
                <w:sz w:val="24"/>
                <w:szCs w:val="24"/>
                <w:lang w:eastAsia="ja-JP"/>
              </w:rPr>
              <m:t>E</m:t>
            </m:r>
          </m:e>
          <m:sub>
            <m:r>
              <w:rPr>
                <w:rFonts w:ascii="Cambria Math" w:hAnsi="Cambria Math"/>
                <w:sz w:val="24"/>
                <w:szCs w:val="24"/>
                <w:lang w:eastAsia="ja-JP"/>
              </w:rPr>
              <m:t>t</m:t>
            </m:r>
          </m:sub>
        </m:sSub>
        <m:d>
          <m:dPr>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t+1</m:t>
                </m:r>
              </m:sub>
            </m:sSub>
          </m:e>
        </m:d>
        <m:r>
          <w:rPr>
            <w:rFonts w:ascii="Cambria Math" w:hAnsi="Cambria Math"/>
            <w:sz w:val="24"/>
            <w:szCs w:val="24"/>
            <w:lang w:eastAsia="ja-JP"/>
          </w:rPr>
          <m:t>-</m:t>
        </m:r>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m:t>
            </m:r>
          </m:sub>
        </m:sSub>
        <m:r>
          <w:rPr>
            <w:rFonts w:ascii="Cambria Math" w:hAnsi="Cambria Math"/>
            <w:sz w:val="24"/>
            <w:szCs w:val="24"/>
            <w:lang w:eastAsia="ja-JP"/>
          </w:rPr>
          <m:t>=α</m:t>
        </m:r>
        <m:d>
          <m:dPr>
            <m:ctrlPr>
              <w:rPr>
                <w:rFonts w:ascii="Cambria Math" w:hAnsi="Cambria Math"/>
                <w:i/>
                <w:sz w:val="24"/>
                <w:szCs w:val="24"/>
                <w:lang w:eastAsia="ja-JP"/>
              </w:rPr>
            </m:ctrlPr>
          </m:dPr>
          <m:e>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sub>
            </m:sSub>
            <m:ctrlPr>
              <w:rPr>
                <w:rFonts w:ascii="Cambria Math" w:hAnsi="Cambria Math"/>
                <w:i/>
                <w:sz w:val="24"/>
                <w:szCs w:val="24"/>
                <w:lang w:val="de-DE" w:eastAsia="ja-JP"/>
              </w:rPr>
            </m:ctrlPr>
          </m:e>
        </m:d>
        <m:r>
          <w:rPr>
            <w:rFonts w:ascii="Cambria Math" w:hAnsi="Cambria Math"/>
            <w:sz w:val="24"/>
            <w:szCs w:val="24"/>
            <w:lang w:eastAsia="ja-JP"/>
          </w:rPr>
          <m:t>+β(</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sub>
        </m:sSub>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r>
              <w:rPr>
                <w:rFonts w:ascii="Cambria Math" w:hAnsi="Cambria Math"/>
                <w:sz w:val="24"/>
                <w:szCs w:val="24"/>
                <w:lang w:eastAsia="ja-JP"/>
              </w:rPr>
              <m:t>-1</m:t>
            </m:r>
          </m:sub>
        </m:sSub>
        <m:r>
          <w:rPr>
            <w:rFonts w:ascii="Cambria Math" w:hAnsi="Cambria Math"/>
            <w:sz w:val="24"/>
            <w:szCs w:val="24"/>
            <w:lang w:eastAsia="ja-JP"/>
          </w:rPr>
          <m:t>)</m:t>
        </m:r>
      </m:oMath>
      <w:r w:rsidR="00B67A3C">
        <w:rPr>
          <w:rFonts w:hint="eastAsia"/>
          <w:sz w:val="24"/>
          <w:lang w:eastAsia="ja-JP"/>
        </w:rPr>
        <w:t xml:space="preserve"> </w:t>
      </w:r>
      <w:r w:rsidR="00B67A3C">
        <w:rPr>
          <w:sz w:val="24"/>
          <w:lang w:eastAsia="ja-JP"/>
        </w:rPr>
        <w:tab/>
      </w:r>
      <w:r w:rsidR="00B67A3C">
        <w:rPr>
          <w:rFonts w:hint="eastAsia"/>
          <w:sz w:val="24"/>
          <w:lang w:eastAsia="ja-JP"/>
        </w:rPr>
        <w:t>(</w:t>
      </w:r>
      <w:r w:rsidR="007A2843">
        <w:rPr>
          <w:sz w:val="24"/>
          <w:lang w:eastAsia="ja-JP"/>
        </w:rPr>
        <w:t>17</w:t>
      </w:r>
      <w:r w:rsidR="00B67A3C">
        <w:rPr>
          <w:rFonts w:hint="eastAsia"/>
          <w:sz w:val="24"/>
          <w:lang w:eastAsia="ja-JP"/>
        </w:rPr>
        <w:t>)</w:t>
      </w:r>
    </w:p>
    <w:p w14:paraId="7208C257" w14:textId="77777777" w:rsidR="00B67A3C" w:rsidRDefault="00B67A3C" w:rsidP="00B67A3C">
      <w:pPr>
        <w:spacing w:line="480" w:lineRule="auto"/>
        <w:jc w:val="both"/>
        <w:rPr>
          <w:sz w:val="24"/>
          <w:lang w:eastAsia="ja-JP"/>
        </w:rPr>
      </w:pPr>
      <w:proofErr w:type="gramStart"/>
      <w:r>
        <w:rPr>
          <w:rFonts w:hint="eastAsia"/>
          <w:sz w:val="24"/>
          <w:lang w:eastAsia="ja-JP"/>
        </w:rPr>
        <w:t>where</w:t>
      </w:r>
      <w:proofErr w:type="gramEnd"/>
      <w:r>
        <w:rPr>
          <w:rFonts w:hint="eastAsia"/>
          <w:sz w:val="24"/>
          <w:lang w:eastAsia="ja-JP"/>
        </w:rPr>
        <w:t xml:space="preserve"> </w:t>
      </w:r>
      <w:r w:rsidRPr="00F81A9A">
        <w:rPr>
          <w:rFonts w:hint="eastAsia"/>
          <w:i/>
          <w:sz w:val="24"/>
          <w:lang w:eastAsia="ja-JP"/>
        </w:rPr>
        <w:t>F</w:t>
      </w:r>
      <w:r w:rsidRPr="00F81A9A">
        <w:rPr>
          <w:rFonts w:hint="eastAsia"/>
          <w:i/>
          <w:sz w:val="24"/>
          <w:vertAlign w:val="subscript"/>
          <w:lang w:eastAsia="ja-JP"/>
        </w:rPr>
        <w:t>t</w:t>
      </w:r>
      <w:r>
        <w:rPr>
          <w:rFonts w:hint="eastAsia"/>
          <w:i/>
          <w:sz w:val="24"/>
          <w:vertAlign w:val="subscript"/>
          <w:lang w:eastAsia="ja-JP"/>
        </w:rPr>
        <w:t xml:space="preserve"> </w:t>
      </w:r>
      <w:r>
        <w:rPr>
          <w:i/>
          <w:sz w:val="24"/>
          <w:vertAlign w:val="subscript"/>
          <w:lang w:eastAsia="ja-JP"/>
        </w:rPr>
        <w:t xml:space="preserve"> </w:t>
      </w:r>
      <w:r>
        <w:rPr>
          <w:rFonts w:hint="eastAsia"/>
          <w:sz w:val="24"/>
          <w:lang w:eastAsia="ja-JP"/>
        </w:rPr>
        <w:t xml:space="preserve">= 50 (the terminal dividend) throughout all periods in all sessions in </w:t>
      </w:r>
      <w:r>
        <w:rPr>
          <w:sz w:val="24"/>
          <w:lang w:eastAsia="ja-JP"/>
        </w:rPr>
        <w:t>the</w:t>
      </w:r>
      <w:r>
        <w:rPr>
          <w:rFonts w:hint="eastAsia"/>
          <w:sz w:val="24"/>
          <w:lang w:eastAsia="ja-JP"/>
        </w:rPr>
        <w:t xml:space="preserve"> exper</w:t>
      </w:r>
      <w:r>
        <w:rPr>
          <w:rFonts w:hint="eastAsia"/>
          <w:sz w:val="24"/>
          <w:lang w:eastAsia="ja-JP"/>
        </w:rPr>
        <w:t>i</w:t>
      </w:r>
      <w:r>
        <w:rPr>
          <w:rFonts w:hint="eastAsia"/>
          <w:sz w:val="24"/>
          <w:lang w:eastAsia="ja-JP"/>
        </w:rPr>
        <w:t>ment.</w:t>
      </w:r>
      <w:r>
        <w:rPr>
          <w:rStyle w:val="Funotenzeichen"/>
          <w:sz w:val="24"/>
          <w:lang w:eastAsia="ja-JP"/>
        </w:rPr>
        <w:footnoteReference w:id="47"/>
      </w:r>
    </w:p>
    <w:p w14:paraId="55146829" w14:textId="04EB153F" w:rsidR="00B67A3C" w:rsidRDefault="00B67A3C" w:rsidP="00B67A3C">
      <w:pPr>
        <w:spacing w:line="480" w:lineRule="auto"/>
        <w:ind w:firstLine="720"/>
        <w:jc w:val="both"/>
        <w:rPr>
          <w:sz w:val="24"/>
          <w:lang w:eastAsia="ja-JP"/>
        </w:rPr>
      </w:pPr>
      <w:r>
        <w:rPr>
          <w:rFonts w:hint="eastAsia"/>
          <w:sz w:val="24"/>
          <w:lang w:eastAsia="ja-JP"/>
        </w:rPr>
        <w:t xml:space="preserve">The </w:t>
      </w:r>
      <w:r>
        <w:rPr>
          <w:sz w:val="24"/>
          <w:lang w:eastAsia="ja-JP"/>
        </w:rPr>
        <w:t xml:space="preserve">cross-sectional </w:t>
      </w:r>
      <w:r>
        <w:rPr>
          <w:rFonts w:hint="eastAsia"/>
          <w:sz w:val="24"/>
          <w:lang w:eastAsia="ja-JP"/>
        </w:rPr>
        <w:t>average of the predictors</w:t>
      </w:r>
      <w:r>
        <w:rPr>
          <w:sz w:val="24"/>
          <w:lang w:eastAsia="ja-JP"/>
        </w:rPr>
        <w:t>’</w:t>
      </w:r>
      <w:r>
        <w:rPr>
          <w:rFonts w:hint="eastAsia"/>
          <w:sz w:val="24"/>
          <w:lang w:eastAsia="ja-JP"/>
        </w:rPr>
        <w:t xml:space="preserve"> price expectations</w:t>
      </w:r>
      <w:r>
        <w:rPr>
          <w:sz w:val="24"/>
          <w:lang w:eastAsia="ja-JP"/>
        </w:rPr>
        <w:t xml:space="preserve"> (for the following period) </w:t>
      </w:r>
      <w:r>
        <w:rPr>
          <w:rFonts w:hint="eastAsia"/>
          <w:sz w:val="24"/>
          <w:lang w:eastAsia="ja-JP"/>
        </w:rPr>
        <w:t xml:space="preserve">is used </w:t>
      </w:r>
      <w:proofErr w:type="gramStart"/>
      <w:r>
        <w:rPr>
          <w:sz w:val="24"/>
          <w:lang w:eastAsia="ja-JP"/>
        </w:rPr>
        <w:t>for</w:t>
      </w:r>
      <w:r>
        <w:rPr>
          <w:rFonts w:hint="eastAsia"/>
          <w:sz w:val="24"/>
          <w:lang w:eastAsia="ja-JP"/>
        </w:rPr>
        <w:t xml:space="preserve"> </w:t>
      </w:r>
      <w:proofErr w:type="gramEnd"/>
      <m:oMath>
        <m:sSub>
          <m:sSubPr>
            <m:ctrlPr>
              <w:rPr>
                <w:rFonts w:ascii="Cambria Math" w:hAnsi="Cambria Math"/>
                <w:i/>
                <w:sz w:val="24"/>
                <w:szCs w:val="24"/>
                <w:lang w:eastAsia="ja-JP"/>
              </w:rPr>
            </m:ctrlPr>
          </m:sSubPr>
          <m:e>
            <m:r>
              <w:rPr>
                <w:rFonts w:ascii="Cambria Math" w:hAnsi="Cambria Math"/>
                <w:sz w:val="24"/>
                <w:szCs w:val="24"/>
                <w:lang w:eastAsia="ja-JP"/>
              </w:rPr>
              <m:t>E</m:t>
            </m:r>
          </m:e>
          <m:sub>
            <m:r>
              <w:rPr>
                <w:rFonts w:ascii="Cambria Math" w:hAnsi="Cambria Math"/>
                <w:sz w:val="24"/>
                <w:szCs w:val="24"/>
                <w:lang w:eastAsia="ja-JP"/>
              </w:rPr>
              <m:t>t</m:t>
            </m:r>
          </m:sub>
        </m:sSub>
        <m:d>
          <m:dPr>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t+1</m:t>
                </m:r>
              </m:sub>
            </m:sSub>
          </m:e>
        </m:d>
      </m:oMath>
      <w:r>
        <w:rPr>
          <w:rFonts w:hint="eastAsia"/>
          <w:sz w:val="24"/>
          <w:szCs w:val="24"/>
          <w:lang w:eastAsia="ja-JP"/>
        </w:rPr>
        <w:t xml:space="preserve">, and the average price of the previous period and </w:t>
      </w:r>
      <w:r>
        <w:rPr>
          <w:sz w:val="24"/>
          <w:szCs w:val="24"/>
          <w:lang w:eastAsia="ja-JP"/>
        </w:rPr>
        <w:t xml:space="preserve">the one before </w:t>
      </w:r>
      <w:r>
        <w:rPr>
          <w:sz w:val="24"/>
          <w:szCs w:val="24"/>
          <w:lang w:eastAsia="ja-JP"/>
        </w:rPr>
        <w:lastRenderedPageBreak/>
        <w:t xml:space="preserve">that </w:t>
      </w:r>
      <w:r>
        <w:rPr>
          <w:rFonts w:hint="eastAsia"/>
          <w:sz w:val="24"/>
          <w:szCs w:val="24"/>
          <w:lang w:eastAsia="ja-JP"/>
        </w:rPr>
        <w:t xml:space="preserve">are used as </w:t>
      </w:r>
      <m:oMath>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sub>
        </m:sSub>
      </m:oMath>
      <w:r>
        <w:rPr>
          <w:rFonts w:hint="eastAsia"/>
          <w:sz w:val="24"/>
          <w:szCs w:val="24"/>
          <w:lang w:eastAsia="ja-JP"/>
        </w:rPr>
        <w:t xml:space="preserve"> and </w:t>
      </w:r>
      <m:oMath>
        <m:sSub>
          <m:sSubPr>
            <m:ctrlPr>
              <w:rPr>
                <w:rFonts w:ascii="Cambria Math" w:hAnsi="Cambria Math"/>
                <w:i/>
                <w:sz w:val="24"/>
                <w:szCs w:val="24"/>
                <w:lang w:val="de-DE" w:eastAsia="ja-JP"/>
              </w:rPr>
            </m:ctrlPr>
          </m:sSubPr>
          <m:e>
            <m:r>
              <w:rPr>
                <w:rFonts w:ascii="Cambria Math" w:hAnsi="Cambria Math"/>
                <w:sz w:val="24"/>
                <w:szCs w:val="24"/>
                <w:lang w:val="de-DE" w:eastAsia="ja-JP"/>
              </w:rPr>
              <m:t>P</m:t>
            </m:r>
          </m:e>
          <m:sub>
            <m:r>
              <w:rPr>
                <w:rFonts w:ascii="Cambria Math" w:hAnsi="Cambria Math"/>
                <w:sz w:val="24"/>
                <w:szCs w:val="24"/>
                <w:lang w:val="de-DE" w:eastAsia="ja-JP"/>
              </w:rPr>
              <m:t>t</m:t>
            </m:r>
            <m:r>
              <w:rPr>
                <w:rFonts w:ascii="Cambria Math" w:hAnsi="Cambria Math"/>
                <w:sz w:val="24"/>
                <w:szCs w:val="24"/>
                <w:lang w:eastAsia="ja-JP"/>
              </w:rPr>
              <m:t>-1</m:t>
            </m:r>
          </m:sub>
        </m:sSub>
      </m:oMath>
      <w:r>
        <w:rPr>
          <w:rFonts w:hint="eastAsia"/>
          <w:sz w:val="24"/>
          <w:szCs w:val="24"/>
          <w:lang w:eastAsia="ja-JP"/>
        </w:rPr>
        <w:t xml:space="preserve">, respectively. </w:t>
      </w:r>
      <w:r>
        <w:rPr>
          <w:rFonts w:hint="eastAsia"/>
          <w:sz w:val="24"/>
          <w:lang w:eastAsia="ja-JP"/>
        </w:rPr>
        <w:t>We estimated equations (</w:t>
      </w:r>
      <w:r w:rsidR="006070DD">
        <w:rPr>
          <w:sz w:val="24"/>
          <w:lang w:eastAsia="ja-JP"/>
        </w:rPr>
        <w:t>15</w:t>
      </w:r>
      <w:r>
        <w:rPr>
          <w:rFonts w:hint="eastAsia"/>
          <w:sz w:val="24"/>
          <w:lang w:eastAsia="ja-JP"/>
        </w:rPr>
        <w:t xml:space="preserve">), </w:t>
      </w:r>
      <w:r w:rsidR="00DE3FAD">
        <w:rPr>
          <w:sz w:val="24"/>
          <w:lang w:eastAsia="ja-JP"/>
        </w:rPr>
        <w:t>(</w:t>
      </w:r>
      <w:r w:rsidR="006070DD">
        <w:rPr>
          <w:sz w:val="24"/>
          <w:lang w:eastAsia="ja-JP"/>
        </w:rPr>
        <w:t>16</w:t>
      </w:r>
      <w:r>
        <w:rPr>
          <w:rFonts w:hint="eastAsia"/>
          <w:sz w:val="24"/>
          <w:lang w:eastAsia="ja-JP"/>
        </w:rPr>
        <w:t>) and (</w:t>
      </w:r>
      <w:r w:rsidR="006070DD">
        <w:rPr>
          <w:sz w:val="24"/>
          <w:lang w:eastAsia="ja-JP"/>
        </w:rPr>
        <w:t>17</w:t>
      </w:r>
      <w:r>
        <w:rPr>
          <w:rFonts w:hint="eastAsia"/>
          <w:sz w:val="24"/>
          <w:lang w:eastAsia="ja-JP"/>
        </w:rPr>
        <w:t xml:space="preserve">) </w:t>
      </w:r>
      <w:r>
        <w:rPr>
          <w:sz w:val="24"/>
          <w:lang w:eastAsia="ja-JP"/>
        </w:rPr>
        <w:t xml:space="preserve">using ordinary least squares regression with </w:t>
      </w:r>
      <w:r>
        <w:rPr>
          <w:rFonts w:hint="eastAsia"/>
          <w:sz w:val="24"/>
          <w:lang w:eastAsia="ja-JP"/>
        </w:rPr>
        <w:t xml:space="preserve">constant terms. We </w:t>
      </w:r>
      <w:r>
        <w:rPr>
          <w:sz w:val="24"/>
          <w:lang w:eastAsia="ja-JP"/>
        </w:rPr>
        <w:t xml:space="preserve">used data from </w:t>
      </w:r>
      <w:r>
        <w:rPr>
          <w:rFonts w:hint="eastAsia"/>
          <w:sz w:val="24"/>
          <w:lang w:eastAsia="ja-JP"/>
        </w:rPr>
        <w:t xml:space="preserve">the periods with </w:t>
      </w:r>
      <w:r>
        <w:rPr>
          <w:sz w:val="24"/>
          <w:lang w:eastAsia="ja-JP"/>
        </w:rPr>
        <w:t xml:space="preserve">and without </w:t>
      </w:r>
      <w:r>
        <w:rPr>
          <w:rFonts w:hint="eastAsia"/>
          <w:sz w:val="24"/>
          <w:lang w:eastAsia="ja-JP"/>
        </w:rPr>
        <w:t>di</w:t>
      </w:r>
      <w:r w:rsidRPr="00F423B6">
        <w:rPr>
          <w:rFonts w:hint="eastAsia"/>
          <w:sz w:val="24"/>
          <w:lang w:eastAsia="ja-JP"/>
        </w:rPr>
        <w:t>vidend</w:t>
      </w:r>
      <w:r w:rsidRPr="00F423B6">
        <w:rPr>
          <w:sz w:val="24"/>
          <w:lang w:eastAsia="ja-JP"/>
        </w:rPr>
        <w:t>-</w:t>
      </w:r>
      <w:r w:rsidRPr="00F423B6">
        <w:rPr>
          <w:rFonts w:hint="eastAsia"/>
          <w:sz w:val="24"/>
          <w:lang w:eastAsia="ja-JP"/>
        </w:rPr>
        <w:t>collecting investors for each of high and low-liquidity treatment</w:t>
      </w:r>
      <w:r w:rsidRPr="00F423B6">
        <w:rPr>
          <w:sz w:val="24"/>
          <w:lang w:eastAsia="ja-JP"/>
        </w:rPr>
        <w:t>s</w:t>
      </w:r>
      <w:r w:rsidRPr="00F423B6">
        <w:rPr>
          <w:rFonts w:hint="eastAsia"/>
          <w:sz w:val="24"/>
          <w:lang w:eastAsia="ja-JP"/>
        </w:rPr>
        <w:t xml:space="preserve">. Table </w:t>
      </w:r>
      <w:r w:rsidR="00AB5934">
        <w:rPr>
          <w:sz w:val="24"/>
          <w:lang w:eastAsia="ja-JP"/>
        </w:rPr>
        <w:t>9</w:t>
      </w:r>
      <w:r w:rsidRPr="00F423B6">
        <w:rPr>
          <w:rFonts w:hint="eastAsia"/>
          <w:sz w:val="24"/>
          <w:lang w:eastAsia="ja-JP"/>
        </w:rPr>
        <w:t xml:space="preserve"> shows the estimation results.</w:t>
      </w:r>
    </w:p>
    <w:p w14:paraId="0AECBDBF" w14:textId="02969116" w:rsidR="00B67A3C" w:rsidRDefault="00B67A3C" w:rsidP="00B67A3C">
      <w:pPr>
        <w:spacing w:line="480" w:lineRule="auto"/>
        <w:ind w:firstLine="720"/>
        <w:jc w:val="both"/>
        <w:rPr>
          <w:sz w:val="24"/>
          <w:lang w:eastAsia="ja-JP"/>
        </w:rPr>
      </w:pPr>
      <w:r>
        <w:rPr>
          <w:rFonts w:hint="eastAsia"/>
          <w:sz w:val="24"/>
          <w:lang w:eastAsia="ja-JP"/>
        </w:rPr>
        <w:t>Overall, we find that the coefficient of (</w:t>
      </w:r>
      <w:r w:rsidRPr="00CC12AD">
        <w:rPr>
          <w:rFonts w:hint="eastAsia"/>
          <w:i/>
          <w:sz w:val="24"/>
          <w:lang w:eastAsia="ja-JP"/>
        </w:rPr>
        <w:t>F</w:t>
      </w:r>
      <w:r w:rsidRPr="00CC12AD">
        <w:rPr>
          <w:rFonts w:hint="eastAsia"/>
          <w:i/>
          <w:sz w:val="24"/>
          <w:vertAlign w:val="subscript"/>
          <w:lang w:eastAsia="ja-JP"/>
        </w:rPr>
        <w:t xml:space="preserve">t </w:t>
      </w:r>
      <w:r>
        <w:rPr>
          <w:sz w:val="24"/>
          <w:lang w:eastAsia="ja-JP"/>
        </w:rPr>
        <w:t>–</w:t>
      </w:r>
      <w:r>
        <w:rPr>
          <w:rFonts w:hint="eastAsia"/>
          <w:sz w:val="24"/>
          <w:lang w:eastAsia="ja-JP"/>
        </w:rPr>
        <w:t xml:space="preserve"> </w:t>
      </w:r>
      <w:r>
        <w:rPr>
          <w:rFonts w:hint="eastAsia"/>
          <w:i/>
          <w:iCs/>
          <w:sz w:val="24"/>
          <w:lang w:eastAsia="ja-JP"/>
        </w:rPr>
        <w:t>P</w:t>
      </w:r>
      <w:r>
        <w:rPr>
          <w:rFonts w:hint="eastAsia"/>
          <w:i/>
          <w:iCs/>
          <w:sz w:val="24"/>
          <w:vertAlign w:val="subscript"/>
          <w:lang w:eastAsia="ja-JP"/>
        </w:rPr>
        <w:t>t</w:t>
      </w:r>
      <w:r>
        <w:rPr>
          <w:rFonts w:hint="eastAsia"/>
          <w:sz w:val="24"/>
          <w:lang w:eastAsia="ja-JP"/>
        </w:rPr>
        <w:t xml:space="preserve">) in the fundamental (FUND) model ranges from 0.070 to 0.401, which is significantly </w:t>
      </w:r>
      <w:r>
        <w:rPr>
          <w:sz w:val="24"/>
          <w:lang w:eastAsia="ja-JP"/>
        </w:rPr>
        <w:t xml:space="preserve">more than zero </w:t>
      </w:r>
      <w:r>
        <w:rPr>
          <w:rFonts w:hint="eastAsia"/>
          <w:sz w:val="24"/>
          <w:lang w:eastAsia="ja-JP"/>
        </w:rPr>
        <w:t xml:space="preserve">but </w:t>
      </w:r>
      <w:r>
        <w:rPr>
          <w:sz w:val="24"/>
          <w:lang w:eastAsia="ja-JP"/>
        </w:rPr>
        <w:t xml:space="preserve">less than </w:t>
      </w:r>
      <w:r>
        <w:rPr>
          <w:rFonts w:hint="eastAsia"/>
          <w:sz w:val="24"/>
          <w:lang w:eastAsia="ja-JP"/>
        </w:rPr>
        <w:t>one (at 1% level). Th</w:t>
      </w:r>
      <w:r>
        <w:rPr>
          <w:sz w:val="24"/>
          <w:lang w:eastAsia="ja-JP"/>
        </w:rPr>
        <w:t>ese findings</w:t>
      </w:r>
      <w:r>
        <w:rPr>
          <w:rFonts w:hint="eastAsia"/>
          <w:sz w:val="24"/>
          <w:lang w:eastAsia="ja-JP"/>
        </w:rPr>
        <w:t xml:space="preserve"> show that the </w:t>
      </w:r>
      <w:r>
        <w:rPr>
          <w:sz w:val="24"/>
          <w:lang w:eastAsia="ja-JP"/>
        </w:rPr>
        <w:t xml:space="preserve">perfect </w:t>
      </w:r>
      <w:r>
        <w:rPr>
          <w:rFonts w:hint="eastAsia"/>
          <w:sz w:val="24"/>
          <w:lang w:eastAsia="ja-JP"/>
        </w:rPr>
        <w:t>rational expectation formation (</w:t>
      </w:r>
      <m:oMath>
        <m:sSub>
          <m:sSubPr>
            <m:ctrlPr>
              <w:rPr>
                <w:rFonts w:ascii="Cambria Math" w:hAnsi="Cambria Math"/>
                <w:i/>
                <w:sz w:val="24"/>
                <w:szCs w:val="24"/>
                <w:lang w:eastAsia="ja-JP"/>
              </w:rPr>
            </m:ctrlPr>
          </m:sSubPr>
          <m:e>
            <m:r>
              <w:rPr>
                <w:rFonts w:ascii="Cambria Math" w:hAnsi="Cambria Math"/>
                <w:sz w:val="24"/>
                <w:szCs w:val="24"/>
                <w:lang w:eastAsia="ja-JP"/>
              </w:rPr>
              <m:t>E</m:t>
            </m:r>
          </m:e>
          <m:sub>
            <m:r>
              <w:rPr>
                <w:rFonts w:ascii="Cambria Math" w:hAnsi="Cambria Math"/>
                <w:sz w:val="24"/>
                <w:szCs w:val="24"/>
                <w:lang w:eastAsia="ja-JP"/>
              </w:rPr>
              <m:t>t</m:t>
            </m:r>
          </m:sub>
        </m:sSub>
        <m:d>
          <m:dPr>
            <m:ctrlPr>
              <w:rPr>
                <w:rFonts w:ascii="Cambria Math" w:hAnsi="Cambria Math"/>
                <w:i/>
                <w:sz w:val="24"/>
                <w:szCs w:val="24"/>
                <w:lang w:eastAsia="ja-JP"/>
              </w:rPr>
            </m:ctrlPr>
          </m:dPr>
          <m:e>
            <m:sSub>
              <m:sSubPr>
                <m:ctrlPr>
                  <w:rPr>
                    <w:rFonts w:ascii="Cambria Math" w:hAnsi="Cambria Math"/>
                    <w:i/>
                    <w:sz w:val="24"/>
                    <w:szCs w:val="24"/>
                    <w:lang w:eastAsia="ja-JP"/>
                  </w:rPr>
                </m:ctrlPr>
              </m:sSubPr>
              <m:e>
                <m:r>
                  <w:rPr>
                    <w:rFonts w:ascii="Cambria Math" w:hAnsi="Cambria Math"/>
                    <w:sz w:val="24"/>
                    <w:szCs w:val="24"/>
                    <w:lang w:eastAsia="ja-JP"/>
                  </w:rPr>
                  <m:t>P</m:t>
                </m:r>
              </m:e>
              <m:sub>
                <m:r>
                  <w:rPr>
                    <w:rFonts w:ascii="Cambria Math" w:hAnsi="Cambria Math"/>
                    <w:sz w:val="24"/>
                    <w:szCs w:val="24"/>
                    <w:lang w:eastAsia="ja-JP"/>
                  </w:rPr>
                  <m:t>t+1</m:t>
                </m:r>
              </m:sub>
            </m:sSub>
          </m:e>
        </m:d>
        <m:r>
          <w:rPr>
            <w:rFonts w:ascii="Cambria Math" w:hAnsi="Cambria Math"/>
            <w:sz w:val="24"/>
            <w:szCs w:val="24"/>
            <w:lang w:eastAsia="ja-JP"/>
          </w:rPr>
          <m:t>=</m:t>
        </m:r>
        <m:sSub>
          <m:sSubPr>
            <m:ctrlPr>
              <w:rPr>
                <w:rFonts w:ascii="Cambria Math" w:hAnsi="Cambria Math"/>
                <w:i/>
                <w:sz w:val="24"/>
                <w:szCs w:val="24"/>
                <w:lang w:val="de-DE" w:eastAsia="ja-JP"/>
              </w:rPr>
            </m:ctrlPr>
          </m:sSubPr>
          <m:e>
            <m:r>
              <w:rPr>
                <w:rFonts w:ascii="Cambria Math" w:hAnsi="Cambria Math"/>
                <w:sz w:val="24"/>
                <w:szCs w:val="24"/>
                <w:lang w:val="de-DE" w:eastAsia="ja-JP"/>
              </w:rPr>
              <m:t>F</m:t>
            </m:r>
          </m:e>
          <m:sub>
            <m:r>
              <w:rPr>
                <w:rFonts w:ascii="Cambria Math" w:hAnsi="Cambria Math"/>
                <w:sz w:val="24"/>
                <w:szCs w:val="24"/>
                <w:lang w:val="de-DE" w:eastAsia="ja-JP"/>
              </w:rPr>
              <m:t>t</m:t>
            </m:r>
          </m:sub>
        </m:sSub>
      </m:oMath>
      <w:r w:rsidRPr="00F5634E">
        <w:rPr>
          <w:sz w:val="24"/>
          <w:szCs w:val="24"/>
          <w:lang w:eastAsia="ja-JP"/>
        </w:rPr>
        <w:t>) is not supported</w:t>
      </w:r>
      <w:r>
        <w:rPr>
          <w:sz w:val="24"/>
          <w:szCs w:val="24"/>
          <w:lang w:eastAsia="ja-JP"/>
        </w:rPr>
        <w:t>,</w:t>
      </w:r>
      <w:r w:rsidRPr="00F5634E">
        <w:rPr>
          <w:sz w:val="24"/>
          <w:szCs w:val="24"/>
          <w:lang w:eastAsia="ja-JP"/>
        </w:rPr>
        <w:t xml:space="preserve"> not only in periods with only </w:t>
      </w:r>
      <w:r>
        <w:rPr>
          <w:rFonts w:hint="eastAsia"/>
          <w:sz w:val="24"/>
          <w:szCs w:val="24"/>
          <w:lang w:eastAsia="ja-JP"/>
        </w:rPr>
        <w:t>speculating investors</w:t>
      </w:r>
      <w:r w:rsidRPr="00F5634E">
        <w:rPr>
          <w:sz w:val="24"/>
          <w:szCs w:val="24"/>
          <w:lang w:eastAsia="ja-JP"/>
        </w:rPr>
        <w:t xml:space="preserve"> but also in periods with </w:t>
      </w:r>
      <w:r>
        <w:rPr>
          <w:rFonts w:hint="eastAsia"/>
          <w:sz w:val="24"/>
          <w:szCs w:val="24"/>
          <w:lang w:eastAsia="ja-JP"/>
        </w:rPr>
        <w:t>dividend-</w:t>
      </w:r>
      <w:r w:rsidRPr="007F5FC2">
        <w:rPr>
          <w:rFonts w:hint="eastAsia"/>
          <w:sz w:val="24"/>
          <w:lang w:eastAsia="ja-JP"/>
        </w:rPr>
        <w:t>collecting investors</w:t>
      </w:r>
      <w:r w:rsidRPr="007F5FC2">
        <w:rPr>
          <w:sz w:val="24"/>
          <w:lang w:eastAsia="ja-JP"/>
        </w:rPr>
        <w:t xml:space="preserve">. </w:t>
      </w:r>
      <w:r w:rsidR="0012615E">
        <w:rPr>
          <w:rStyle w:val="Funotenzeichen"/>
          <w:sz w:val="24"/>
          <w:lang w:eastAsia="ja-JP"/>
        </w:rPr>
        <w:footnoteReference w:id="48"/>
      </w:r>
    </w:p>
    <w:p w14:paraId="3737FB7D" w14:textId="3DBAB180" w:rsidR="00B67A3C" w:rsidRDefault="00B67A3C" w:rsidP="00B67A3C">
      <w:pPr>
        <w:spacing w:line="480" w:lineRule="auto"/>
        <w:ind w:firstLine="720"/>
        <w:jc w:val="both"/>
        <w:rPr>
          <w:sz w:val="24"/>
          <w:lang w:eastAsia="ja-JP"/>
        </w:rPr>
      </w:pPr>
      <w:r>
        <w:rPr>
          <w:rFonts w:hint="eastAsia"/>
          <w:sz w:val="24"/>
          <w:lang w:eastAsia="ja-JP"/>
        </w:rPr>
        <w:t xml:space="preserve">Although the data reject the </w:t>
      </w:r>
      <w:r>
        <w:rPr>
          <w:sz w:val="24"/>
          <w:lang w:eastAsia="ja-JP"/>
        </w:rPr>
        <w:t xml:space="preserve">instantaneous </w:t>
      </w:r>
      <w:r>
        <w:rPr>
          <w:rFonts w:hint="eastAsia"/>
          <w:sz w:val="24"/>
          <w:lang w:eastAsia="ja-JP"/>
        </w:rPr>
        <w:t>rational expectation formation, it reveals that the fundamental value of the security plays a role of anchor to the expectation of future price in markets with dividend</w:t>
      </w:r>
      <w:r>
        <w:rPr>
          <w:sz w:val="24"/>
          <w:lang w:eastAsia="ja-JP"/>
        </w:rPr>
        <w:t>-</w:t>
      </w:r>
      <w:r>
        <w:rPr>
          <w:rFonts w:hint="eastAsia"/>
          <w:sz w:val="24"/>
          <w:lang w:eastAsia="ja-JP"/>
        </w:rPr>
        <w:t xml:space="preserve">collecting investors. If we first look at the results of high-liquidity sessions (upper half of Table </w:t>
      </w:r>
      <w:r w:rsidR="004379ED">
        <w:rPr>
          <w:sz w:val="24"/>
          <w:lang w:eastAsia="ja-JP"/>
        </w:rPr>
        <w:t>9</w:t>
      </w:r>
      <w:r>
        <w:rPr>
          <w:rFonts w:hint="eastAsia"/>
          <w:sz w:val="24"/>
          <w:lang w:eastAsia="ja-JP"/>
        </w:rPr>
        <w:t>)</w:t>
      </w:r>
      <w:r>
        <w:rPr>
          <w:sz w:val="24"/>
          <w:lang w:eastAsia="ja-JP"/>
        </w:rPr>
        <w:t xml:space="preserve">, </w:t>
      </w:r>
      <w:r>
        <w:rPr>
          <w:rFonts w:hint="eastAsia"/>
          <w:sz w:val="24"/>
          <w:lang w:eastAsia="ja-JP"/>
        </w:rPr>
        <w:t xml:space="preserve">we find that </w:t>
      </w:r>
      <w:r>
        <w:rPr>
          <w:sz w:val="24"/>
          <w:lang w:eastAsia="ja-JP"/>
        </w:rPr>
        <w:t xml:space="preserve">in periods with </w:t>
      </w:r>
      <w:r>
        <w:rPr>
          <w:rFonts w:hint="eastAsia"/>
          <w:sz w:val="24"/>
          <w:lang w:eastAsia="ja-JP"/>
        </w:rPr>
        <w:t xml:space="preserve">dividend-collecting investors, </w:t>
      </w:r>
      <w:r>
        <w:rPr>
          <w:sz w:val="24"/>
          <w:lang w:eastAsia="ja-JP"/>
        </w:rPr>
        <w:t>backward induction from fundamental values fits the data better than the forward induction from recent prices. T</w:t>
      </w:r>
      <w:r>
        <w:rPr>
          <w:rFonts w:hint="eastAsia"/>
          <w:sz w:val="24"/>
          <w:lang w:eastAsia="ja-JP"/>
        </w:rPr>
        <w:t xml:space="preserve">he </w:t>
      </w:r>
      <w:r>
        <w:rPr>
          <w:sz w:val="24"/>
          <w:lang w:eastAsia="ja-JP"/>
        </w:rPr>
        <w:t>coefficient</w:t>
      </w:r>
      <w:r>
        <w:rPr>
          <w:rFonts w:hint="eastAsia"/>
          <w:sz w:val="24"/>
          <w:lang w:eastAsia="ja-JP"/>
        </w:rPr>
        <w:t xml:space="preserve"> of (</w:t>
      </w:r>
      <w:r w:rsidRPr="00CC12AD">
        <w:rPr>
          <w:rFonts w:hint="eastAsia"/>
          <w:i/>
          <w:sz w:val="24"/>
          <w:lang w:eastAsia="ja-JP"/>
        </w:rPr>
        <w:t>F</w:t>
      </w:r>
      <w:r w:rsidRPr="00CC12AD">
        <w:rPr>
          <w:rFonts w:hint="eastAsia"/>
          <w:i/>
          <w:sz w:val="24"/>
          <w:vertAlign w:val="subscript"/>
          <w:lang w:eastAsia="ja-JP"/>
        </w:rPr>
        <w:t xml:space="preserve">t </w:t>
      </w:r>
      <w:r>
        <w:rPr>
          <w:sz w:val="24"/>
          <w:lang w:eastAsia="ja-JP"/>
        </w:rPr>
        <w:t>–</w:t>
      </w:r>
      <w:r>
        <w:rPr>
          <w:rFonts w:hint="eastAsia"/>
          <w:sz w:val="24"/>
          <w:lang w:eastAsia="ja-JP"/>
        </w:rPr>
        <w:t xml:space="preserve"> </w:t>
      </w:r>
      <w:r>
        <w:rPr>
          <w:rFonts w:hint="eastAsia"/>
          <w:i/>
          <w:iCs/>
          <w:sz w:val="24"/>
          <w:lang w:eastAsia="ja-JP"/>
        </w:rPr>
        <w:t>P</w:t>
      </w:r>
      <w:r>
        <w:rPr>
          <w:rFonts w:hint="eastAsia"/>
          <w:i/>
          <w:iCs/>
          <w:sz w:val="24"/>
          <w:vertAlign w:val="subscript"/>
          <w:lang w:eastAsia="ja-JP"/>
        </w:rPr>
        <w:t>t</w:t>
      </w:r>
      <w:r>
        <w:rPr>
          <w:rFonts w:hint="eastAsia"/>
          <w:sz w:val="24"/>
          <w:lang w:eastAsia="ja-JP"/>
        </w:rPr>
        <w:t>) is significantly positive (0.197) in the fundamental (FUND) model,</w:t>
      </w:r>
      <w:r>
        <w:rPr>
          <w:sz w:val="24"/>
          <w:lang w:eastAsia="ja-JP"/>
        </w:rPr>
        <w:t xml:space="preserve"> but </w:t>
      </w:r>
      <w:r>
        <w:rPr>
          <w:rFonts w:hint="eastAsia"/>
          <w:sz w:val="24"/>
          <w:lang w:eastAsia="ja-JP"/>
        </w:rPr>
        <w:t>the coefficient of (</w:t>
      </w:r>
      <w:r>
        <w:rPr>
          <w:rFonts w:hint="eastAsia"/>
          <w:i/>
          <w:iCs/>
          <w:sz w:val="24"/>
          <w:lang w:eastAsia="ja-JP"/>
        </w:rPr>
        <w:t>P</w:t>
      </w:r>
      <w:r>
        <w:rPr>
          <w:rFonts w:hint="eastAsia"/>
          <w:i/>
          <w:iCs/>
          <w:sz w:val="24"/>
          <w:vertAlign w:val="subscript"/>
          <w:lang w:eastAsia="ja-JP"/>
        </w:rPr>
        <w:t xml:space="preserve">t </w:t>
      </w:r>
      <w:r>
        <w:rPr>
          <w:rFonts w:hint="eastAsia"/>
          <w:i/>
          <w:iCs/>
          <w:sz w:val="24"/>
          <w:lang w:eastAsia="ja-JP"/>
        </w:rPr>
        <w:t>-P</w:t>
      </w:r>
      <w:r>
        <w:rPr>
          <w:rFonts w:hint="eastAsia"/>
          <w:i/>
          <w:iCs/>
          <w:sz w:val="24"/>
          <w:vertAlign w:val="subscript"/>
          <w:lang w:eastAsia="ja-JP"/>
        </w:rPr>
        <w:t>t-</w:t>
      </w:r>
      <w:r>
        <w:rPr>
          <w:rFonts w:hint="eastAsia"/>
          <w:sz w:val="24"/>
          <w:vertAlign w:val="subscript"/>
          <w:lang w:eastAsia="ja-JP"/>
        </w:rPr>
        <w:t>1</w:t>
      </w:r>
      <w:r>
        <w:rPr>
          <w:rFonts w:hint="eastAsia"/>
          <w:sz w:val="24"/>
          <w:lang w:eastAsia="ja-JP"/>
        </w:rPr>
        <w:t xml:space="preserve">) is not significant in the trend (TREND) model. In the </w:t>
      </w:r>
      <w:r>
        <w:rPr>
          <w:sz w:val="24"/>
          <w:lang w:eastAsia="ja-JP"/>
        </w:rPr>
        <w:t xml:space="preserve">combined </w:t>
      </w:r>
      <w:r>
        <w:rPr>
          <w:rFonts w:hint="eastAsia"/>
          <w:sz w:val="24"/>
          <w:lang w:eastAsia="ja-JP"/>
        </w:rPr>
        <w:t xml:space="preserve">(COMBINED) model, only </w:t>
      </w:r>
      <w:r>
        <w:rPr>
          <w:sz w:val="24"/>
          <w:lang w:eastAsia="ja-JP"/>
        </w:rPr>
        <w:t xml:space="preserve">the </w:t>
      </w:r>
      <w:r>
        <w:rPr>
          <w:rFonts w:hint="eastAsia"/>
          <w:sz w:val="24"/>
          <w:lang w:eastAsia="ja-JP"/>
        </w:rPr>
        <w:t>fundamental factor (</w:t>
      </w:r>
      <w:r w:rsidRPr="00CC12AD">
        <w:rPr>
          <w:rFonts w:hint="eastAsia"/>
          <w:i/>
          <w:sz w:val="24"/>
          <w:lang w:eastAsia="ja-JP"/>
        </w:rPr>
        <w:t>F</w:t>
      </w:r>
      <w:r w:rsidRPr="00CC12AD">
        <w:rPr>
          <w:rFonts w:hint="eastAsia"/>
          <w:i/>
          <w:sz w:val="24"/>
          <w:vertAlign w:val="subscript"/>
          <w:lang w:eastAsia="ja-JP"/>
        </w:rPr>
        <w:t xml:space="preserve">t </w:t>
      </w:r>
      <w:r>
        <w:rPr>
          <w:sz w:val="24"/>
          <w:lang w:eastAsia="ja-JP"/>
        </w:rPr>
        <w:t>–</w:t>
      </w:r>
      <w:r>
        <w:rPr>
          <w:rFonts w:hint="eastAsia"/>
          <w:sz w:val="24"/>
          <w:lang w:eastAsia="ja-JP"/>
        </w:rPr>
        <w:t xml:space="preserve"> </w:t>
      </w:r>
      <w:r>
        <w:rPr>
          <w:rFonts w:hint="eastAsia"/>
          <w:i/>
          <w:iCs/>
          <w:sz w:val="24"/>
          <w:lang w:eastAsia="ja-JP"/>
        </w:rPr>
        <w:t>P</w:t>
      </w:r>
      <w:r>
        <w:rPr>
          <w:rFonts w:hint="eastAsia"/>
          <w:i/>
          <w:iCs/>
          <w:sz w:val="24"/>
          <w:vertAlign w:val="subscript"/>
          <w:lang w:eastAsia="ja-JP"/>
        </w:rPr>
        <w:t>t</w:t>
      </w:r>
      <w:r>
        <w:rPr>
          <w:rFonts w:hint="eastAsia"/>
          <w:sz w:val="24"/>
          <w:lang w:eastAsia="ja-JP"/>
        </w:rPr>
        <w:t xml:space="preserve">) is statistically significant. These results suggest that </w:t>
      </w:r>
      <w:r>
        <w:rPr>
          <w:sz w:val="24"/>
          <w:lang w:eastAsia="ja-JP"/>
        </w:rPr>
        <w:t xml:space="preserve">in the presence of </w:t>
      </w:r>
      <w:r>
        <w:rPr>
          <w:rFonts w:hint="eastAsia"/>
          <w:sz w:val="24"/>
          <w:lang w:eastAsia="ja-JP"/>
        </w:rPr>
        <w:t>dividend-collecting</w:t>
      </w:r>
      <w:r>
        <w:rPr>
          <w:sz w:val="24"/>
          <w:lang w:eastAsia="ja-JP"/>
        </w:rPr>
        <w:t xml:space="preserve"> </w:t>
      </w:r>
      <w:r>
        <w:rPr>
          <w:rFonts w:hint="eastAsia"/>
          <w:sz w:val="24"/>
          <w:lang w:eastAsia="ja-JP"/>
        </w:rPr>
        <w:t xml:space="preserve">investors, the fundamental value of the </w:t>
      </w:r>
      <w:r>
        <w:rPr>
          <w:sz w:val="24"/>
          <w:lang w:eastAsia="ja-JP"/>
        </w:rPr>
        <w:t>securit</w:t>
      </w:r>
      <w:r>
        <w:rPr>
          <w:rFonts w:hint="eastAsia"/>
          <w:sz w:val="24"/>
          <w:lang w:eastAsia="ja-JP"/>
        </w:rPr>
        <w:t xml:space="preserve">y not only determines </w:t>
      </w:r>
      <w:r>
        <w:rPr>
          <w:sz w:val="24"/>
          <w:lang w:eastAsia="ja-JP"/>
        </w:rPr>
        <w:t xml:space="preserve">the </w:t>
      </w:r>
      <w:r>
        <w:rPr>
          <w:rFonts w:hint="eastAsia"/>
          <w:sz w:val="24"/>
          <w:lang w:eastAsia="ja-JP"/>
        </w:rPr>
        <w:t xml:space="preserve">transaction prices but also affects the future price expectations. </w:t>
      </w:r>
      <w:r>
        <w:rPr>
          <w:sz w:val="24"/>
          <w:lang w:eastAsia="ja-JP"/>
        </w:rPr>
        <w:t>A</w:t>
      </w:r>
      <w:r>
        <w:rPr>
          <w:rFonts w:hint="eastAsia"/>
          <w:sz w:val="24"/>
          <w:lang w:eastAsia="ja-JP"/>
        </w:rPr>
        <w:t>r</w:t>
      </w:r>
      <w:r>
        <w:rPr>
          <w:sz w:val="24"/>
          <w:lang w:eastAsia="ja-JP"/>
        </w:rPr>
        <w:t xml:space="preserve">bitrage transactions </w:t>
      </w:r>
      <w:r>
        <w:rPr>
          <w:rFonts w:hint="eastAsia"/>
          <w:sz w:val="24"/>
          <w:lang w:eastAsia="ja-JP"/>
        </w:rPr>
        <w:t>of dividend-collecting inve</w:t>
      </w:r>
      <w:r>
        <w:rPr>
          <w:rFonts w:hint="eastAsia"/>
          <w:sz w:val="24"/>
          <w:lang w:eastAsia="ja-JP"/>
        </w:rPr>
        <w:t>s</w:t>
      </w:r>
      <w:r>
        <w:rPr>
          <w:rFonts w:hint="eastAsia"/>
          <w:sz w:val="24"/>
          <w:lang w:eastAsia="ja-JP"/>
        </w:rPr>
        <w:t>tors enable market participants to expect that future price</w:t>
      </w:r>
      <w:r>
        <w:rPr>
          <w:sz w:val="24"/>
          <w:lang w:eastAsia="ja-JP"/>
        </w:rPr>
        <w:t>s</w:t>
      </w:r>
      <w:r>
        <w:rPr>
          <w:rFonts w:hint="eastAsia"/>
          <w:sz w:val="24"/>
          <w:lang w:eastAsia="ja-JP"/>
        </w:rPr>
        <w:t xml:space="preserve"> will converge to the fundamentals.</w:t>
      </w:r>
    </w:p>
    <w:p w14:paraId="44CE2143" w14:textId="3E385C88" w:rsidR="00480FD0" w:rsidRPr="00D70B56" w:rsidRDefault="00480FD0" w:rsidP="00480FD0">
      <w:pPr>
        <w:spacing w:line="480" w:lineRule="auto"/>
        <w:jc w:val="center"/>
        <w:rPr>
          <w:i/>
          <w:sz w:val="24"/>
          <w:lang w:eastAsia="ja-JP"/>
        </w:rPr>
      </w:pPr>
      <w:r>
        <w:rPr>
          <w:i/>
          <w:sz w:val="24"/>
          <w:lang w:eastAsia="ja-JP"/>
        </w:rPr>
        <w:t>(Table</w:t>
      </w:r>
      <w:r w:rsidRPr="00D70B56">
        <w:rPr>
          <w:i/>
          <w:sz w:val="24"/>
          <w:lang w:eastAsia="ja-JP"/>
        </w:rPr>
        <w:t xml:space="preserve"> </w:t>
      </w:r>
      <w:r w:rsidR="004379ED">
        <w:rPr>
          <w:i/>
          <w:sz w:val="24"/>
          <w:lang w:eastAsia="ja-JP"/>
        </w:rPr>
        <w:t>9</w:t>
      </w:r>
      <w:r w:rsidRPr="00D70B56">
        <w:rPr>
          <w:i/>
          <w:sz w:val="24"/>
          <w:lang w:eastAsia="ja-JP"/>
        </w:rPr>
        <w:t xml:space="preserve"> about here</w:t>
      </w:r>
      <w:r>
        <w:rPr>
          <w:i/>
          <w:sz w:val="24"/>
          <w:lang w:eastAsia="ja-JP"/>
        </w:rPr>
        <w:t>)</w:t>
      </w:r>
    </w:p>
    <w:p w14:paraId="3160D3E2" w14:textId="0E265DA3" w:rsidR="00B67A3C" w:rsidRDefault="00B67A3C" w:rsidP="00B67A3C">
      <w:pPr>
        <w:spacing w:line="480" w:lineRule="auto"/>
        <w:ind w:firstLine="720"/>
        <w:jc w:val="both"/>
        <w:rPr>
          <w:sz w:val="24"/>
          <w:lang w:eastAsia="ja-JP"/>
        </w:rPr>
      </w:pPr>
      <w:r>
        <w:rPr>
          <w:rFonts w:hint="eastAsia"/>
          <w:sz w:val="24"/>
          <w:lang w:eastAsia="ja-JP"/>
        </w:rPr>
        <w:t>In</w:t>
      </w:r>
      <w:r>
        <w:rPr>
          <w:sz w:val="24"/>
          <w:lang w:eastAsia="ja-JP"/>
        </w:rPr>
        <w:t xml:space="preserve"> </w:t>
      </w:r>
      <w:r>
        <w:rPr>
          <w:rFonts w:hint="eastAsia"/>
          <w:sz w:val="24"/>
          <w:lang w:eastAsia="ja-JP"/>
        </w:rPr>
        <w:t xml:space="preserve">contrast, </w:t>
      </w:r>
      <w:r>
        <w:rPr>
          <w:sz w:val="24"/>
          <w:lang w:eastAsia="ja-JP"/>
        </w:rPr>
        <w:t xml:space="preserve">the data from </w:t>
      </w:r>
      <w:r>
        <w:rPr>
          <w:rFonts w:hint="eastAsia"/>
          <w:sz w:val="24"/>
          <w:lang w:eastAsia="ja-JP"/>
        </w:rPr>
        <w:t xml:space="preserve">periods </w:t>
      </w:r>
      <w:r>
        <w:rPr>
          <w:sz w:val="24"/>
          <w:lang w:eastAsia="ja-JP"/>
        </w:rPr>
        <w:t xml:space="preserve">in which </w:t>
      </w:r>
      <w:r>
        <w:rPr>
          <w:rFonts w:hint="eastAsia"/>
          <w:sz w:val="24"/>
          <w:lang w:eastAsia="ja-JP"/>
        </w:rPr>
        <w:t>only speculating investors</w:t>
      </w:r>
      <w:r>
        <w:rPr>
          <w:sz w:val="24"/>
          <w:lang w:eastAsia="ja-JP"/>
        </w:rPr>
        <w:t xml:space="preserve"> </w:t>
      </w:r>
      <w:proofErr w:type="gramStart"/>
      <w:r>
        <w:rPr>
          <w:sz w:val="24"/>
          <w:lang w:eastAsia="ja-JP"/>
        </w:rPr>
        <w:t>are present</w:t>
      </w:r>
      <w:r>
        <w:rPr>
          <w:rFonts w:hint="eastAsia"/>
          <w:sz w:val="24"/>
          <w:lang w:eastAsia="ja-JP"/>
        </w:rPr>
        <w:t xml:space="preserve"> </w:t>
      </w:r>
      <w:r>
        <w:rPr>
          <w:sz w:val="24"/>
          <w:lang w:eastAsia="ja-JP"/>
        </w:rPr>
        <w:t>su</w:t>
      </w:r>
      <w:r>
        <w:rPr>
          <w:sz w:val="24"/>
          <w:lang w:eastAsia="ja-JP"/>
        </w:rPr>
        <w:t>p</w:t>
      </w:r>
      <w:r>
        <w:rPr>
          <w:sz w:val="24"/>
          <w:lang w:eastAsia="ja-JP"/>
        </w:rPr>
        <w:t>port</w:t>
      </w:r>
      <w:proofErr w:type="gramEnd"/>
      <w:r>
        <w:rPr>
          <w:sz w:val="24"/>
          <w:lang w:eastAsia="ja-JP"/>
        </w:rPr>
        <w:t xml:space="preserve"> </w:t>
      </w:r>
      <w:r>
        <w:rPr>
          <w:rFonts w:hint="eastAsia"/>
          <w:sz w:val="24"/>
          <w:lang w:eastAsia="ja-JP"/>
        </w:rPr>
        <w:t xml:space="preserve">the trend model </w:t>
      </w:r>
      <w:r>
        <w:rPr>
          <w:sz w:val="24"/>
          <w:lang w:eastAsia="ja-JP"/>
        </w:rPr>
        <w:t xml:space="preserve">better than </w:t>
      </w:r>
      <w:r>
        <w:rPr>
          <w:rFonts w:hint="eastAsia"/>
          <w:sz w:val="24"/>
          <w:lang w:eastAsia="ja-JP"/>
        </w:rPr>
        <w:t xml:space="preserve">the fundamental model. </w:t>
      </w:r>
      <w:r>
        <w:rPr>
          <w:sz w:val="24"/>
          <w:lang w:eastAsia="ja-JP"/>
        </w:rPr>
        <w:t xml:space="preserve">In these periods, </w:t>
      </w:r>
      <w:r>
        <w:rPr>
          <w:rFonts w:hint="eastAsia"/>
          <w:sz w:val="24"/>
          <w:lang w:eastAsia="ja-JP"/>
        </w:rPr>
        <w:t xml:space="preserve">the </w:t>
      </w:r>
      <w:r>
        <w:rPr>
          <w:sz w:val="24"/>
          <w:lang w:eastAsia="ja-JP"/>
        </w:rPr>
        <w:t>coefficient</w:t>
      </w:r>
      <w:r>
        <w:rPr>
          <w:rFonts w:hint="eastAsia"/>
          <w:sz w:val="24"/>
          <w:lang w:eastAsia="ja-JP"/>
        </w:rPr>
        <w:t xml:space="preserve"> of </w:t>
      </w:r>
      <w:r>
        <w:rPr>
          <w:rFonts w:hint="eastAsia"/>
          <w:sz w:val="24"/>
          <w:lang w:eastAsia="ja-JP"/>
        </w:rPr>
        <w:lastRenderedPageBreak/>
        <w:t>(</w:t>
      </w:r>
      <w:r w:rsidRPr="00CC12AD">
        <w:rPr>
          <w:rFonts w:hint="eastAsia"/>
          <w:i/>
          <w:sz w:val="24"/>
          <w:lang w:eastAsia="ja-JP"/>
        </w:rPr>
        <w:t>F</w:t>
      </w:r>
      <w:r w:rsidRPr="00CC12AD">
        <w:rPr>
          <w:rFonts w:hint="eastAsia"/>
          <w:i/>
          <w:sz w:val="24"/>
          <w:vertAlign w:val="subscript"/>
          <w:lang w:eastAsia="ja-JP"/>
        </w:rPr>
        <w:t xml:space="preserve">t </w:t>
      </w:r>
      <w:r>
        <w:rPr>
          <w:sz w:val="24"/>
          <w:lang w:eastAsia="ja-JP"/>
        </w:rPr>
        <w:t>–</w:t>
      </w:r>
      <w:r>
        <w:rPr>
          <w:rFonts w:hint="eastAsia"/>
          <w:sz w:val="24"/>
          <w:lang w:eastAsia="ja-JP"/>
        </w:rPr>
        <w:t xml:space="preserve"> </w:t>
      </w:r>
      <w:r>
        <w:rPr>
          <w:rFonts w:hint="eastAsia"/>
          <w:i/>
          <w:iCs/>
          <w:sz w:val="24"/>
          <w:lang w:eastAsia="ja-JP"/>
        </w:rPr>
        <w:t>P</w:t>
      </w:r>
      <w:r>
        <w:rPr>
          <w:rFonts w:hint="eastAsia"/>
          <w:i/>
          <w:iCs/>
          <w:sz w:val="24"/>
          <w:vertAlign w:val="subscript"/>
          <w:lang w:eastAsia="ja-JP"/>
        </w:rPr>
        <w:t>t</w:t>
      </w:r>
      <w:r>
        <w:rPr>
          <w:rFonts w:hint="eastAsia"/>
          <w:sz w:val="24"/>
          <w:lang w:eastAsia="ja-JP"/>
        </w:rPr>
        <w:t xml:space="preserve">) </w:t>
      </w:r>
      <w:r>
        <w:rPr>
          <w:sz w:val="24"/>
          <w:lang w:eastAsia="ja-JP"/>
        </w:rPr>
        <w:t xml:space="preserve">in the FUND model shrinks </w:t>
      </w:r>
      <w:r>
        <w:rPr>
          <w:rFonts w:hint="eastAsia"/>
          <w:sz w:val="24"/>
          <w:lang w:eastAsia="ja-JP"/>
        </w:rPr>
        <w:t>(</w:t>
      </w:r>
      <w:r>
        <w:rPr>
          <w:sz w:val="24"/>
          <w:lang w:eastAsia="ja-JP"/>
        </w:rPr>
        <w:t xml:space="preserve">to </w:t>
      </w:r>
      <w:r>
        <w:rPr>
          <w:rFonts w:hint="eastAsia"/>
          <w:sz w:val="24"/>
          <w:lang w:eastAsia="ja-JP"/>
        </w:rPr>
        <w:t xml:space="preserve">0.109) </w:t>
      </w:r>
      <w:r>
        <w:rPr>
          <w:sz w:val="24"/>
          <w:lang w:eastAsia="ja-JP"/>
        </w:rPr>
        <w:t xml:space="preserve">to remain marginally significant. However, </w:t>
      </w:r>
      <w:r>
        <w:rPr>
          <w:rFonts w:hint="eastAsia"/>
          <w:sz w:val="24"/>
          <w:lang w:eastAsia="ja-JP"/>
        </w:rPr>
        <w:t>it becomes much smaller (0.078) and insignificant in the combined (COMBINED) model. On the contrary, the coefficient of (</w:t>
      </w:r>
      <w:r>
        <w:rPr>
          <w:rFonts w:hint="eastAsia"/>
          <w:i/>
          <w:iCs/>
          <w:sz w:val="24"/>
          <w:lang w:eastAsia="ja-JP"/>
        </w:rPr>
        <w:t>P</w:t>
      </w:r>
      <w:r>
        <w:rPr>
          <w:rFonts w:hint="eastAsia"/>
          <w:i/>
          <w:iCs/>
          <w:sz w:val="24"/>
          <w:vertAlign w:val="subscript"/>
          <w:lang w:eastAsia="ja-JP"/>
        </w:rPr>
        <w:t xml:space="preserve">t </w:t>
      </w:r>
      <w:r>
        <w:rPr>
          <w:rFonts w:hint="eastAsia"/>
          <w:i/>
          <w:iCs/>
          <w:sz w:val="24"/>
          <w:lang w:eastAsia="ja-JP"/>
        </w:rPr>
        <w:t>-P</w:t>
      </w:r>
      <w:r>
        <w:rPr>
          <w:rFonts w:hint="eastAsia"/>
          <w:i/>
          <w:iCs/>
          <w:sz w:val="24"/>
          <w:vertAlign w:val="subscript"/>
          <w:lang w:eastAsia="ja-JP"/>
        </w:rPr>
        <w:t>t-</w:t>
      </w:r>
      <w:r>
        <w:rPr>
          <w:rFonts w:hint="eastAsia"/>
          <w:sz w:val="24"/>
          <w:vertAlign w:val="subscript"/>
          <w:lang w:eastAsia="ja-JP"/>
        </w:rPr>
        <w:t>1</w:t>
      </w:r>
      <w:r>
        <w:rPr>
          <w:rFonts w:hint="eastAsia"/>
          <w:sz w:val="24"/>
          <w:lang w:eastAsia="ja-JP"/>
        </w:rPr>
        <w:t xml:space="preserve">) is -0.301 and -0.270 in the trend (TREND) model and </w:t>
      </w:r>
      <w:r>
        <w:rPr>
          <w:sz w:val="24"/>
          <w:lang w:eastAsia="ja-JP"/>
        </w:rPr>
        <w:t xml:space="preserve">the </w:t>
      </w:r>
      <w:r>
        <w:rPr>
          <w:rFonts w:hint="eastAsia"/>
          <w:sz w:val="24"/>
          <w:lang w:eastAsia="ja-JP"/>
        </w:rPr>
        <w:t xml:space="preserve">combined (COMBINED) model, respectively, and both are statistically significant at </w:t>
      </w:r>
      <w:r>
        <w:rPr>
          <w:sz w:val="24"/>
          <w:lang w:eastAsia="ja-JP"/>
        </w:rPr>
        <w:t xml:space="preserve">the </w:t>
      </w:r>
      <w:r>
        <w:rPr>
          <w:rFonts w:hint="eastAsia"/>
          <w:sz w:val="24"/>
          <w:lang w:eastAsia="ja-JP"/>
        </w:rPr>
        <w:t xml:space="preserve">1% level. These results </w:t>
      </w:r>
      <w:r>
        <w:rPr>
          <w:sz w:val="24"/>
          <w:lang w:eastAsia="ja-JP"/>
        </w:rPr>
        <w:t>suggest</w:t>
      </w:r>
      <w:r>
        <w:rPr>
          <w:rFonts w:hint="eastAsia"/>
          <w:sz w:val="24"/>
          <w:lang w:eastAsia="ja-JP"/>
        </w:rPr>
        <w:t xml:space="preserve"> that in a market with only speculating investors, investors </w:t>
      </w:r>
      <w:r>
        <w:rPr>
          <w:sz w:val="24"/>
          <w:lang w:eastAsia="ja-JP"/>
        </w:rPr>
        <w:t xml:space="preserve">tend to </w:t>
      </w:r>
      <w:r>
        <w:rPr>
          <w:rFonts w:hint="eastAsia"/>
          <w:sz w:val="24"/>
          <w:lang w:eastAsia="ja-JP"/>
        </w:rPr>
        <w:t xml:space="preserve">form </w:t>
      </w:r>
      <w:r>
        <w:rPr>
          <w:sz w:val="24"/>
          <w:lang w:eastAsia="ja-JP"/>
        </w:rPr>
        <w:t xml:space="preserve">their expectations of </w:t>
      </w:r>
      <w:r>
        <w:rPr>
          <w:rFonts w:hint="eastAsia"/>
          <w:sz w:val="24"/>
          <w:lang w:eastAsia="ja-JP"/>
        </w:rPr>
        <w:t>future price</w:t>
      </w:r>
      <w:r>
        <w:rPr>
          <w:sz w:val="24"/>
          <w:lang w:eastAsia="ja-JP"/>
        </w:rPr>
        <w:t>s</w:t>
      </w:r>
      <w:r>
        <w:rPr>
          <w:rFonts w:hint="eastAsia"/>
          <w:sz w:val="24"/>
          <w:lang w:eastAsia="ja-JP"/>
        </w:rPr>
        <w:t xml:space="preserve"> </w:t>
      </w:r>
      <w:r>
        <w:rPr>
          <w:sz w:val="24"/>
          <w:lang w:eastAsia="ja-JP"/>
        </w:rPr>
        <w:t>on the basis of recently observed price</w:t>
      </w:r>
      <w:r>
        <w:rPr>
          <w:rFonts w:hint="eastAsia"/>
          <w:sz w:val="24"/>
          <w:lang w:eastAsia="ja-JP"/>
        </w:rPr>
        <w:t>s</w:t>
      </w:r>
      <w:r>
        <w:rPr>
          <w:sz w:val="24"/>
          <w:lang w:eastAsia="ja-JP"/>
        </w:rPr>
        <w:t xml:space="preserve"> through forward induction, and not on the basis of </w:t>
      </w:r>
      <w:r>
        <w:rPr>
          <w:rFonts w:hint="eastAsia"/>
          <w:sz w:val="24"/>
          <w:lang w:eastAsia="ja-JP"/>
        </w:rPr>
        <w:t>the fundamental value</w:t>
      </w:r>
      <w:r w:rsidDel="00036982">
        <w:rPr>
          <w:sz w:val="24"/>
          <w:lang w:eastAsia="ja-JP"/>
        </w:rPr>
        <w:t xml:space="preserve"> </w:t>
      </w:r>
      <w:r>
        <w:rPr>
          <w:sz w:val="24"/>
          <w:lang w:eastAsia="ja-JP"/>
        </w:rPr>
        <w:t xml:space="preserve">through backward induction. </w:t>
      </w:r>
      <w:r>
        <w:rPr>
          <w:rFonts w:hint="eastAsia"/>
          <w:sz w:val="24"/>
          <w:lang w:eastAsia="ja-JP"/>
        </w:rPr>
        <w:t>Also, the negative coefficient of (</w:t>
      </w:r>
      <w:r>
        <w:rPr>
          <w:rFonts w:hint="eastAsia"/>
          <w:i/>
          <w:iCs/>
          <w:sz w:val="24"/>
          <w:lang w:eastAsia="ja-JP"/>
        </w:rPr>
        <w:t>P</w:t>
      </w:r>
      <w:r>
        <w:rPr>
          <w:rFonts w:hint="eastAsia"/>
          <w:i/>
          <w:iCs/>
          <w:sz w:val="24"/>
          <w:vertAlign w:val="subscript"/>
          <w:lang w:eastAsia="ja-JP"/>
        </w:rPr>
        <w:t xml:space="preserve">t </w:t>
      </w:r>
      <w:r>
        <w:rPr>
          <w:rFonts w:hint="eastAsia"/>
          <w:i/>
          <w:iCs/>
          <w:sz w:val="24"/>
          <w:lang w:eastAsia="ja-JP"/>
        </w:rPr>
        <w:t>-P</w:t>
      </w:r>
      <w:r>
        <w:rPr>
          <w:rFonts w:hint="eastAsia"/>
          <w:i/>
          <w:iCs/>
          <w:sz w:val="24"/>
          <w:vertAlign w:val="subscript"/>
          <w:lang w:eastAsia="ja-JP"/>
        </w:rPr>
        <w:t>t-</w:t>
      </w:r>
      <w:r>
        <w:rPr>
          <w:rFonts w:hint="eastAsia"/>
          <w:sz w:val="24"/>
          <w:vertAlign w:val="subscript"/>
          <w:lang w:eastAsia="ja-JP"/>
        </w:rPr>
        <w:t>1</w:t>
      </w:r>
      <w:r>
        <w:rPr>
          <w:rFonts w:hint="eastAsia"/>
          <w:sz w:val="24"/>
          <w:lang w:eastAsia="ja-JP"/>
        </w:rPr>
        <w:t>) shows that market participants expect price reversals; a price rise of 1 from the previous period lower</w:t>
      </w:r>
      <w:r>
        <w:rPr>
          <w:sz w:val="24"/>
          <w:lang w:eastAsia="ja-JP"/>
        </w:rPr>
        <w:t>s</w:t>
      </w:r>
      <w:r>
        <w:rPr>
          <w:rFonts w:hint="eastAsia"/>
          <w:sz w:val="24"/>
          <w:lang w:eastAsia="ja-JP"/>
        </w:rPr>
        <w:t xml:space="preserve"> the expectation of next per</w:t>
      </w:r>
      <w:r>
        <w:rPr>
          <w:rFonts w:hint="eastAsia"/>
          <w:sz w:val="24"/>
          <w:lang w:eastAsia="ja-JP"/>
        </w:rPr>
        <w:t>i</w:t>
      </w:r>
      <w:r>
        <w:rPr>
          <w:rFonts w:hint="eastAsia"/>
          <w:sz w:val="24"/>
          <w:lang w:eastAsia="ja-JP"/>
        </w:rPr>
        <w:t>od price by about 0.3.</w:t>
      </w:r>
      <w:r w:rsidR="0012615E">
        <w:rPr>
          <w:rStyle w:val="Funotenzeichen"/>
          <w:sz w:val="24"/>
          <w:lang w:eastAsia="ja-JP"/>
        </w:rPr>
        <w:footnoteReference w:id="49"/>
      </w:r>
    </w:p>
    <w:p w14:paraId="6AAD4A7C" w14:textId="1342AFDD" w:rsidR="00B67A3C" w:rsidRDefault="00B67A3C" w:rsidP="00B67A3C">
      <w:pPr>
        <w:spacing w:line="480" w:lineRule="auto"/>
        <w:ind w:firstLine="720"/>
        <w:jc w:val="both"/>
        <w:rPr>
          <w:sz w:val="24"/>
          <w:lang w:eastAsia="ja-JP"/>
        </w:rPr>
      </w:pPr>
      <w:r>
        <w:rPr>
          <w:rFonts w:hint="eastAsia"/>
          <w:sz w:val="24"/>
          <w:lang w:eastAsia="ja-JP"/>
        </w:rPr>
        <w:t>We observe the same tendency in the results for low</w:t>
      </w:r>
      <w:r>
        <w:rPr>
          <w:sz w:val="24"/>
          <w:lang w:eastAsia="ja-JP"/>
        </w:rPr>
        <w:t>-</w:t>
      </w:r>
      <w:r>
        <w:rPr>
          <w:rFonts w:hint="eastAsia"/>
          <w:sz w:val="24"/>
          <w:lang w:eastAsia="ja-JP"/>
        </w:rPr>
        <w:t>liquidity sessions (</w:t>
      </w:r>
      <w:r>
        <w:rPr>
          <w:sz w:val="24"/>
          <w:lang w:eastAsia="ja-JP"/>
        </w:rPr>
        <w:t xml:space="preserve">in the </w:t>
      </w:r>
      <w:r>
        <w:rPr>
          <w:rFonts w:hint="eastAsia"/>
          <w:sz w:val="24"/>
          <w:lang w:eastAsia="ja-JP"/>
        </w:rPr>
        <w:t xml:space="preserve">lower half of </w:t>
      </w:r>
      <w:r w:rsidRPr="00F423B6">
        <w:rPr>
          <w:rFonts w:hint="eastAsia"/>
          <w:sz w:val="24"/>
          <w:lang w:eastAsia="ja-JP"/>
        </w:rPr>
        <w:t xml:space="preserve">Table </w:t>
      </w:r>
      <w:r w:rsidR="004379ED">
        <w:rPr>
          <w:sz w:val="24"/>
          <w:lang w:eastAsia="ja-JP"/>
        </w:rPr>
        <w:t>9</w:t>
      </w:r>
      <w:r w:rsidRPr="00F423B6">
        <w:rPr>
          <w:rFonts w:hint="eastAsia"/>
          <w:sz w:val="24"/>
          <w:lang w:eastAsia="ja-JP"/>
        </w:rPr>
        <w:t>).</w:t>
      </w:r>
      <w:r>
        <w:rPr>
          <w:rFonts w:hint="eastAsia"/>
          <w:sz w:val="24"/>
          <w:lang w:eastAsia="ja-JP"/>
        </w:rPr>
        <w:t xml:space="preserve"> For periods with dividend-collecting investors, </w:t>
      </w:r>
      <w:r>
        <w:rPr>
          <w:sz w:val="24"/>
          <w:lang w:eastAsia="ja-JP"/>
        </w:rPr>
        <w:t xml:space="preserve">the coefficient of </w:t>
      </w:r>
      <w:r>
        <w:rPr>
          <w:rFonts w:hint="eastAsia"/>
          <w:sz w:val="24"/>
          <w:lang w:eastAsia="ja-JP"/>
        </w:rPr>
        <w:t>(</w:t>
      </w:r>
      <w:r w:rsidRPr="00CC12AD">
        <w:rPr>
          <w:rFonts w:hint="eastAsia"/>
          <w:i/>
          <w:sz w:val="24"/>
          <w:lang w:eastAsia="ja-JP"/>
        </w:rPr>
        <w:t>F</w:t>
      </w:r>
      <w:r w:rsidRPr="00CC12AD">
        <w:rPr>
          <w:rFonts w:hint="eastAsia"/>
          <w:i/>
          <w:sz w:val="24"/>
          <w:vertAlign w:val="subscript"/>
          <w:lang w:eastAsia="ja-JP"/>
        </w:rPr>
        <w:t xml:space="preserve">t </w:t>
      </w:r>
      <w:r>
        <w:rPr>
          <w:sz w:val="24"/>
          <w:lang w:eastAsia="ja-JP"/>
        </w:rPr>
        <w:t>–</w:t>
      </w:r>
      <w:r>
        <w:rPr>
          <w:rFonts w:hint="eastAsia"/>
          <w:sz w:val="24"/>
          <w:lang w:eastAsia="ja-JP"/>
        </w:rPr>
        <w:t xml:space="preserve"> </w:t>
      </w:r>
      <w:r>
        <w:rPr>
          <w:rFonts w:hint="eastAsia"/>
          <w:i/>
          <w:iCs/>
          <w:sz w:val="24"/>
          <w:lang w:eastAsia="ja-JP"/>
        </w:rPr>
        <w:t>P</w:t>
      </w:r>
      <w:r>
        <w:rPr>
          <w:rFonts w:hint="eastAsia"/>
          <w:i/>
          <w:iCs/>
          <w:sz w:val="24"/>
          <w:vertAlign w:val="subscript"/>
          <w:lang w:eastAsia="ja-JP"/>
        </w:rPr>
        <w:t>t</w:t>
      </w:r>
      <w:r>
        <w:rPr>
          <w:rFonts w:hint="eastAsia"/>
          <w:sz w:val="24"/>
          <w:lang w:eastAsia="ja-JP"/>
        </w:rPr>
        <w:t>) is significantly positive in both the fundamental (FUND</w:t>
      </w:r>
      <w:r>
        <w:rPr>
          <w:sz w:val="24"/>
          <w:lang w:eastAsia="ja-JP"/>
        </w:rPr>
        <w:t>; 0.401</w:t>
      </w:r>
      <w:r>
        <w:rPr>
          <w:rFonts w:hint="eastAsia"/>
          <w:sz w:val="24"/>
          <w:lang w:eastAsia="ja-JP"/>
        </w:rPr>
        <w:t xml:space="preserve">) and </w:t>
      </w:r>
      <w:r>
        <w:rPr>
          <w:sz w:val="24"/>
          <w:lang w:eastAsia="ja-JP"/>
        </w:rPr>
        <w:t xml:space="preserve">the </w:t>
      </w:r>
      <w:r>
        <w:rPr>
          <w:rFonts w:hint="eastAsia"/>
          <w:sz w:val="24"/>
          <w:lang w:eastAsia="ja-JP"/>
        </w:rPr>
        <w:t>combined (CO</w:t>
      </w:r>
      <w:r>
        <w:rPr>
          <w:rFonts w:hint="eastAsia"/>
          <w:sz w:val="24"/>
          <w:lang w:eastAsia="ja-JP"/>
        </w:rPr>
        <w:t>M</w:t>
      </w:r>
      <w:r>
        <w:rPr>
          <w:rFonts w:hint="eastAsia"/>
          <w:sz w:val="24"/>
          <w:lang w:eastAsia="ja-JP"/>
        </w:rPr>
        <w:t>BINED</w:t>
      </w:r>
      <w:r>
        <w:rPr>
          <w:sz w:val="24"/>
          <w:lang w:eastAsia="ja-JP"/>
        </w:rPr>
        <w:t>; 0.419</w:t>
      </w:r>
      <w:r>
        <w:rPr>
          <w:rFonts w:hint="eastAsia"/>
          <w:sz w:val="24"/>
          <w:lang w:eastAsia="ja-JP"/>
        </w:rPr>
        <w:t xml:space="preserve">) models. </w:t>
      </w:r>
      <w:r>
        <w:rPr>
          <w:sz w:val="24"/>
          <w:lang w:eastAsia="ja-JP"/>
        </w:rPr>
        <w:t>F</w:t>
      </w:r>
      <w:r>
        <w:rPr>
          <w:rFonts w:hint="eastAsia"/>
          <w:sz w:val="24"/>
          <w:lang w:eastAsia="ja-JP"/>
        </w:rPr>
        <w:t xml:space="preserve">or the periods with only speculating investors, </w:t>
      </w:r>
      <w:r>
        <w:rPr>
          <w:sz w:val="24"/>
          <w:lang w:eastAsia="ja-JP"/>
        </w:rPr>
        <w:t xml:space="preserve">the coefficient of </w:t>
      </w:r>
      <w:r>
        <w:rPr>
          <w:rFonts w:hint="eastAsia"/>
          <w:sz w:val="24"/>
          <w:lang w:eastAsia="ja-JP"/>
        </w:rPr>
        <w:t>(</w:t>
      </w:r>
      <w:r>
        <w:rPr>
          <w:rFonts w:hint="eastAsia"/>
          <w:i/>
          <w:iCs/>
          <w:sz w:val="24"/>
          <w:lang w:eastAsia="ja-JP"/>
        </w:rPr>
        <w:t>P</w:t>
      </w:r>
      <w:r>
        <w:rPr>
          <w:rFonts w:hint="eastAsia"/>
          <w:i/>
          <w:iCs/>
          <w:sz w:val="24"/>
          <w:vertAlign w:val="subscript"/>
          <w:lang w:eastAsia="ja-JP"/>
        </w:rPr>
        <w:t xml:space="preserve">t </w:t>
      </w:r>
      <w:r>
        <w:rPr>
          <w:rFonts w:hint="eastAsia"/>
          <w:i/>
          <w:iCs/>
          <w:sz w:val="24"/>
          <w:lang w:eastAsia="ja-JP"/>
        </w:rPr>
        <w:t>-P</w:t>
      </w:r>
      <w:r>
        <w:rPr>
          <w:rFonts w:hint="eastAsia"/>
          <w:i/>
          <w:iCs/>
          <w:sz w:val="24"/>
          <w:vertAlign w:val="subscript"/>
          <w:lang w:eastAsia="ja-JP"/>
        </w:rPr>
        <w:t>t-</w:t>
      </w:r>
      <w:r>
        <w:rPr>
          <w:rFonts w:hint="eastAsia"/>
          <w:sz w:val="24"/>
          <w:vertAlign w:val="subscript"/>
          <w:lang w:eastAsia="ja-JP"/>
        </w:rPr>
        <w:t>1</w:t>
      </w:r>
      <w:r>
        <w:rPr>
          <w:rFonts w:hint="eastAsia"/>
          <w:sz w:val="24"/>
          <w:lang w:eastAsia="ja-JP"/>
        </w:rPr>
        <w:t>) is significantly negative in both trend (TREND</w:t>
      </w:r>
      <w:r>
        <w:rPr>
          <w:sz w:val="24"/>
          <w:lang w:eastAsia="ja-JP"/>
        </w:rPr>
        <w:t>; -0.162</w:t>
      </w:r>
      <w:r>
        <w:rPr>
          <w:rFonts w:hint="eastAsia"/>
          <w:sz w:val="24"/>
          <w:lang w:eastAsia="ja-JP"/>
        </w:rPr>
        <w:t>) and combined (COMBINED</w:t>
      </w:r>
      <w:r>
        <w:rPr>
          <w:sz w:val="24"/>
          <w:lang w:eastAsia="ja-JP"/>
        </w:rPr>
        <w:t>; -0.180</w:t>
      </w:r>
      <w:r>
        <w:rPr>
          <w:rFonts w:hint="eastAsia"/>
          <w:sz w:val="24"/>
          <w:lang w:eastAsia="ja-JP"/>
        </w:rPr>
        <w:t>) models.</w:t>
      </w:r>
      <w:r>
        <w:rPr>
          <w:rStyle w:val="Funotenzeichen"/>
          <w:sz w:val="24"/>
          <w:lang w:eastAsia="ja-JP"/>
        </w:rPr>
        <w:footnoteReference w:id="50"/>
      </w:r>
      <w:r>
        <w:rPr>
          <w:rFonts w:hint="eastAsia"/>
          <w:sz w:val="24"/>
          <w:lang w:eastAsia="ja-JP"/>
        </w:rPr>
        <w:t xml:space="preserve"> These results confirm that the </w:t>
      </w:r>
      <w:r>
        <w:rPr>
          <w:sz w:val="24"/>
          <w:lang w:eastAsia="ja-JP"/>
        </w:rPr>
        <w:t xml:space="preserve">expectations about </w:t>
      </w:r>
      <w:r>
        <w:rPr>
          <w:rFonts w:hint="eastAsia"/>
          <w:sz w:val="24"/>
          <w:lang w:eastAsia="ja-JP"/>
        </w:rPr>
        <w:t>future price</w:t>
      </w:r>
      <w:r>
        <w:rPr>
          <w:sz w:val="24"/>
          <w:lang w:eastAsia="ja-JP"/>
        </w:rPr>
        <w:t>s</w:t>
      </w:r>
      <w:r>
        <w:rPr>
          <w:rFonts w:hint="eastAsia"/>
          <w:sz w:val="24"/>
          <w:lang w:eastAsia="ja-JP"/>
        </w:rPr>
        <w:t xml:space="preserve"> are formed based on the fundamentals </w:t>
      </w:r>
      <w:r>
        <w:rPr>
          <w:sz w:val="24"/>
          <w:lang w:eastAsia="ja-JP"/>
        </w:rPr>
        <w:t xml:space="preserve">(through backward induction) </w:t>
      </w:r>
      <w:r>
        <w:rPr>
          <w:rFonts w:hint="eastAsia"/>
          <w:sz w:val="24"/>
          <w:lang w:eastAsia="ja-JP"/>
        </w:rPr>
        <w:t>in a market with dividend</w:t>
      </w:r>
      <w:r>
        <w:rPr>
          <w:sz w:val="24"/>
          <w:lang w:eastAsia="ja-JP"/>
        </w:rPr>
        <w:t>-</w:t>
      </w:r>
      <w:r>
        <w:rPr>
          <w:rFonts w:hint="eastAsia"/>
          <w:sz w:val="24"/>
          <w:lang w:eastAsia="ja-JP"/>
        </w:rPr>
        <w:t>collecting investors</w:t>
      </w:r>
      <w:r>
        <w:rPr>
          <w:sz w:val="24"/>
          <w:lang w:eastAsia="ja-JP"/>
        </w:rPr>
        <w:t>,</w:t>
      </w:r>
      <w:r>
        <w:rPr>
          <w:rFonts w:hint="eastAsia"/>
          <w:sz w:val="24"/>
          <w:lang w:eastAsia="ja-JP"/>
        </w:rPr>
        <w:t xml:space="preserve"> and are based on recent price changes </w:t>
      </w:r>
      <w:r>
        <w:rPr>
          <w:sz w:val="24"/>
          <w:lang w:eastAsia="ja-JP"/>
        </w:rPr>
        <w:t xml:space="preserve">(through forward induction) </w:t>
      </w:r>
      <w:r>
        <w:rPr>
          <w:rFonts w:hint="eastAsia"/>
          <w:sz w:val="24"/>
          <w:lang w:eastAsia="ja-JP"/>
        </w:rPr>
        <w:t>in a market with only speculating investors.</w:t>
      </w:r>
    </w:p>
    <w:p w14:paraId="55C8A9C9" w14:textId="77777777" w:rsidR="00833CD3" w:rsidRDefault="00833CD3">
      <w:pPr>
        <w:rPr>
          <w:b/>
          <w:sz w:val="24"/>
          <w:lang w:eastAsia="ja-JP"/>
        </w:rPr>
      </w:pPr>
      <w:r>
        <w:rPr>
          <w:b/>
          <w:sz w:val="24"/>
          <w:lang w:eastAsia="ja-JP"/>
        </w:rPr>
        <w:br w:type="page"/>
      </w:r>
    </w:p>
    <w:p w14:paraId="53009B47" w14:textId="2151AF8E" w:rsidR="00E9154C" w:rsidRDefault="00593F4E" w:rsidP="00AB78B3">
      <w:pPr>
        <w:spacing w:line="480" w:lineRule="auto"/>
        <w:ind w:right="-45"/>
        <w:jc w:val="both"/>
      </w:pPr>
      <w:r>
        <w:rPr>
          <w:b/>
          <w:sz w:val="24"/>
          <w:lang w:eastAsia="ja-JP"/>
        </w:rPr>
        <w:lastRenderedPageBreak/>
        <w:t>5</w:t>
      </w:r>
      <w:r w:rsidR="00926D3D" w:rsidRPr="00AB78B3">
        <w:rPr>
          <w:b/>
          <w:sz w:val="24"/>
          <w:lang w:eastAsia="ja-JP"/>
        </w:rPr>
        <w:t>. Discussion and Concluding Remarks</w:t>
      </w:r>
    </w:p>
    <w:p w14:paraId="5951C6F0" w14:textId="7D9968DD" w:rsidR="000B23E7" w:rsidRPr="001C7308" w:rsidRDefault="00AD3271" w:rsidP="00B53742">
      <w:pPr>
        <w:spacing w:line="480" w:lineRule="auto"/>
        <w:ind w:right="-45" w:firstLine="720"/>
        <w:jc w:val="both"/>
        <w:rPr>
          <w:sz w:val="24"/>
          <w:lang w:eastAsia="ja-JP"/>
        </w:rPr>
      </w:pPr>
      <w:r w:rsidRPr="001C7308">
        <w:rPr>
          <w:rFonts w:hint="eastAsia"/>
          <w:sz w:val="24"/>
          <w:lang w:eastAsia="ja-JP"/>
        </w:rPr>
        <w:t xml:space="preserve">This paper </w:t>
      </w:r>
      <w:r w:rsidR="00D9326D" w:rsidRPr="001C7308">
        <w:rPr>
          <w:sz w:val="24"/>
          <w:lang w:eastAsia="ja-JP"/>
        </w:rPr>
        <w:t>propose</w:t>
      </w:r>
      <w:r w:rsidR="00CE7FDF">
        <w:rPr>
          <w:sz w:val="24"/>
          <w:lang w:eastAsia="ja-JP"/>
        </w:rPr>
        <w:t>s</w:t>
      </w:r>
      <w:r w:rsidR="00D9326D" w:rsidRPr="001C7308">
        <w:rPr>
          <w:sz w:val="24"/>
          <w:lang w:eastAsia="ja-JP"/>
        </w:rPr>
        <w:t>, and empirically test</w:t>
      </w:r>
      <w:r w:rsidR="00CE7FDF">
        <w:rPr>
          <w:sz w:val="24"/>
          <w:lang w:eastAsia="ja-JP"/>
        </w:rPr>
        <w:t>s</w:t>
      </w:r>
      <w:r w:rsidR="00970FB1">
        <w:rPr>
          <w:rFonts w:hint="eastAsia"/>
          <w:sz w:val="24"/>
          <w:lang w:eastAsia="ja-JP"/>
        </w:rPr>
        <w:t xml:space="preserve"> in the laboratory</w:t>
      </w:r>
      <w:r w:rsidR="00D9326D" w:rsidRPr="001C7308">
        <w:rPr>
          <w:sz w:val="24"/>
          <w:lang w:eastAsia="ja-JP"/>
        </w:rPr>
        <w:t xml:space="preserve">, the idea that </w:t>
      </w:r>
      <w:r w:rsidRPr="001C7308">
        <w:rPr>
          <w:rFonts w:hint="eastAsia"/>
          <w:sz w:val="24"/>
          <w:lang w:eastAsia="ja-JP"/>
        </w:rPr>
        <w:t>securit</w:t>
      </w:r>
      <w:r w:rsidR="00D9326D" w:rsidRPr="001C7308">
        <w:rPr>
          <w:sz w:val="24"/>
          <w:lang w:eastAsia="ja-JP"/>
        </w:rPr>
        <w:t>y</w:t>
      </w:r>
      <w:r w:rsidRPr="001C7308">
        <w:rPr>
          <w:rFonts w:hint="eastAsia"/>
          <w:sz w:val="24"/>
          <w:lang w:eastAsia="ja-JP"/>
        </w:rPr>
        <w:t xml:space="preserve"> pri</w:t>
      </w:r>
      <w:r w:rsidRPr="001C7308">
        <w:rPr>
          <w:rFonts w:hint="eastAsia"/>
          <w:sz w:val="24"/>
          <w:lang w:eastAsia="ja-JP"/>
        </w:rPr>
        <w:t>c</w:t>
      </w:r>
      <w:r w:rsidRPr="001C7308">
        <w:rPr>
          <w:rFonts w:hint="eastAsia"/>
          <w:sz w:val="24"/>
          <w:lang w:eastAsia="ja-JP"/>
        </w:rPr>
        <w:t xml:space="preserve">es </w:t>
      </w:r>
      <w:r w:rsidR="00D9326D" w:rsidRPr="001C7308">
        <w:rPr>
          <w:sz w:val="24"/>
          <w:lang w:eastAsia="ja-JP"/>
        </w:rPr>
        <w:t xml:space="preserve">tend to deviate from </w:t>
      </w:r>
      <w:r w:rsidRPr="001C7308">
        <w:rPr>
          <w:rFonts w:hint="eastAsia"/>
          <w:sz w:val="24"/>
          <w:lang w:eastAsia="ja-JP"/>
        </w:rPr>
        <w:t>fundamental value</w:t>
      </w:r>
      <w:r w:rsidR="00D9326D" w:rsidRPr="001C7308">
        <w:rPr>
          <w:sz w:val="24"/>
          <w:lang w:eastAsia="ja-JP"/>
        </w:rPr>
        <w:t>s when market</w:t>
      </w:r>
      <w:r w:rsidR="005C2F96">
        <w:rPr>
          <w:sz w:val="24"/>
          <w:lang w:eastAsia="ja-JP"/>
        </w:rPr>
        <w:t>s are</w:t>
      </w:r>
      <w:r w:rsidR="00D9326D" w:rsidRPr="001C7308">
        <w:rPr>
          <w:sz w:val="24"/>
          <w:lang w:eastAsia="ja-JP"/>
        </w:rPr>
        <w:t xml:space="preserve"> populated </w:t>
      </w:r>
      <w:r w:rsidR="00507CAE">
        <w:rPr>
          <w:sz w:val="24"/>
          <w:lang w:eastAsia="ja-JP"/>
        </w:rPr>
        <w:t>by</w:t>
      </w:r>
      <w:r w:rsidR="00D9326D" w:rsidRPr="001C7308">
        <w:rPr>
          <w:sz w:val="24"/>
          <w:lang w:eastAsia="ja-JP"/>
        </w:rPr>
        <w:t xml:space="preserve"> </w:t>
      </w:r>
      <w:r w:rsidR="008847E9">
        <w:rPr>
          <w:rFonts w:hint="eastAsia"/>
          <w:sz w:val="24"/>
          <w:lang w:eastAsia="ja-JP"/>
        </w:rPr>
        <w:t xml:space="preserve">speculating </w:t>
      </w:r>
      <w:r w:rsidR="00440147">
        <w:rPr>
          <w:sz w:val="24"/>
          <w:lang w:eastAsia="ja-JP"/>
        </w:rPr>
        <w:t>inve</w:t>
      </w:r>
      <w:r w:rsidR="00440147">
        <w:rPr>
          <w:sz w:val="24"/>
          <w:lang w:eastAsia="ja-JP"/>
        </w:rPr>
        <w:t>s</w:t>
      </w:r>
      <w:r w:rsidR="00440147">
        <w:rPr>
          <w:sz w:val="24"/>
          <w:lang w:eastAsia="ja-JP"/>
        </w:rPr>
        <w:t>tor</w:t>
      </w:r>
      <w:r w:rsidR="00D9326D" w:rsidRPr="001C7308">
        <w:rPr>
          <w:sz w:val="24"/>
          <w:lang w:eastAsia="ja-JP"/>
        </w:rPr>
        <w:t>s</w:t>
      </w:r>
      <w:r w:rsidRPr="001C7308">
        <w:rPr>
          <w:rFonts w:hint="eastAsia"/>
          <w:sz w:val="24"/>
          <w:lang w:eastAsia="ja-JP"/>
        </w:rPr>
        <w:t xml:space="preserve">. </w:t>
      </w:r>
      <w:r w:rsidR="00D9326D" w:rsidRPr="001C7308">
        <w:rPr>
          <w:sz w:val="24"/>
          <w:lang w:eastAsia="ja-JP"/>
        </w:rPr>
        <w:t xml:space="preserve">In such markets, </w:t>
      </w:r>
      <w:r w:rsidR="00440147">
        <w:rPr>
          <w:rFonts w:hint="eastAsia"/>
          <w:sz w:val="24"/>
          <w:lang w:eastAsia="ja-JP"/>
        </w:rPr>
        <w:t>investor</w:t>
      </w:r>
      <w:r w:rsidR="00620CE8">
        <w:rPr>
          <w:rFonts w:hint="eastAsia"/>
          <w:sz w:val="24"/>
          <w:lang w:eastAsia="ja-JP"/>
        </w:rPr>
        <w:t>s</w:t>
      </w:r>
      <w:r w:rsidR="00970FB1">
        <w:rPr>
          <w:sz w:val="24"/>
          <w:lang w:eastAsia="ja-JP"/>
        </w:rPr>
        <w:t>’</w:t>
      </w:r>
      <w:r w:rsidR="00970FB1">
        <w:rPr>
          <w:rFonts w:hint="eastAsia"/>
          <w:sz w:val="24"/>
          <w:lang w:eastAsia="ja-JP"/>
        </w:rPr>
        <w:t xml:space="preserve"> expectations</w:t>
      </w:r>
      <w:r w:rsidR="00D9326D" w:rsidRPr="001C7308">
        <w:rPr>
          <w:sz w:val="24"/>
          <w:lang w:eastAsia="ja-JP"/>
        </w:rPr>
        <w:t xml:space="preserve"> about the future cash flows beyond their own personal </w:t>
      </w:r>
      <w:r w:rsidR="008C782F">
        <w:rPr>
          <w:sz w:val="24"/>
          <w:lang w:eastAsia="ja-JP"/>
        </w:rPr>
        <w:t>holding</w:t>
      </w:r>
      <w:r w:rsidR="008C782F">
        <w:rPr>
          <w:rFonts w:hint="eastAsia"/>
          <w:sz w:val="24"/>
          <w:lang w:eastAsia="ja-JP"/>
        </w:rPr>
        <w:t xml:space="preserve"> periods</w:t>
      </w:r>
      <w:r w:rsidR="00D9326D" w:rsidRPr="001C7308">
        <w:rPr>
          <w:sz w:val="24"/>
          <w:lang w:eastAsia="ja-JP"/>
        </w:rPr>
        <w:t xml:space="preserve"> are</w:t>
      </w:r>
      <w:r w:rsidR="00CE7FDF">
        <w:rPr>
          <w:sz w:val="24"/>
          <w:lang w:eastAsia="ja-JP"/>
        </w:rPr>
        <w:t xml:space="preserve"> not relevant and therefore</w:t>
      </w:r>
      <w:r w:rsidR="00D9326D" w:rsidRPr="001C7308">
        <w:rPr>
          <w:sz w:val="24"/>
          <w:lang w:eastAsia="ja-JP"/>
        </w:rPr>
        <w:t xml:space="preserve"> </w:t>
      </w:r>
      <w:r w:rsidR="003F07A8">
        <w:rPr>
          <w:sz w:val="24"/>
          <w:lang w:eastAsia="ja-JP"/>
        </w:rPr>
        <w:t xml:space="preserve">ignored; they </w:t>
      </w:r>
      <w:r w:rsidR="00D9326D" w:rsidRPr="001C7308">
        <w:rPr>
          <w:sz w:val="24"/>
          <w:lang w:eastAsia="ja-JP"/>
        </w:rPr>
        <w:t xml:space="preserve">are replaced </w:t>
      </w:r>
      <w:r w:rsidR="005C2F96">
        <w:rPr>
          <w:sz w:val="24"/>
          <w:lang w:eastAsia="ja-JP"/>
        </w:rPr>
        <w:t xml:space="preserve">in trading decisions </w:t>
      </w:r>
      <w:r w:rsidR="00D9326D" w:rsidRPr="001C7308">
        <w:rPr>
          <w:sz w:val="24"/>
          <w:lang w:eastAsia="ja-JP"/>
        </w:rPr>
        <w:t xml:space="preserve">by expectations about </w:t>
      </w:r>
      <w:r w:rsidR="00CE7FDF">
        <w:rPr>
          <w:sz w:val="24"/>
          <w:lang w:eastAsia="ja-JP"/>
        </w:rPr>
        <w:t xml:space="preserve">the </w:t>
      </w:r>
      <w:r w:rsidR="00D9326D" w:rsidRPr="001C7308">
        <w:rPr>
          <w:sz w:val="24"/>
          <w:lang w:eastAsia="ja-JP"/>
        </w:rPr>
        <w:t xml:space="preserve">future prices. </w:t>
      </w:r>
      <w:r w:rsidR="00970FB1">
        <w:rPr>
          <w:rFonts w:hint="eastAsia"/>
          <w:sz w:val="24"/>
          <w:lang w:eastAsia="ja-JP"/>
        </w:rPr>
        <w:t xml:space="preserve">Standard </w:t>
      </w:r>
      <w:r w:rsidR="00970FB1">
        <w:rPr>
          <w:sz w:val="24"/>
          <w:lang w:eastAsia="ja-JP"/>
        </w:rPr>
        <w:t>finance</w:t>
      </w:r>
      <w:r w:rsidR="00970FB1">
        <w:rPr>
          <w:rFonts w:hint="eastAsia"/>
          <w:sz w:val="24"/>
          <w:lang w:eastAsia="ja-JP"/>
        </w:rPr>
        <w:t xml:space="preserve"> theory, however, </w:t>
      </w:r>
      <w:r w:rsidR="00CE7FDF">
        <w:rPr>
          <w:sz w:val="24"/>
          <w:lang w:eastAsia="ja-JP"/>
        </w:rPr>
        <w:t>assumes</w:t>
      </w:r>
      <w:r w:rsidR="00CE7FDF">
        <w:rPr>
          <w:rFonts w:hint="eastAsia"/>
          <w:sz w:val="24"/>
          <w:lang w:eastAsia="ja-JP"/>
        </w:rPr>
        <w:t xml:space="preserve"> </w:t>
      </w:r>
      <w:r w:rsidR="00970FB1">
        <w:rPr>
          <w:rFonts w:hint="eastAsia"/>
          <w:sz w:val="24"/>
          <w:lang w:eastAsia="ja-JP"/>
        </w:rPr>
        <w:t xml:space="preserve">that even </w:t>
      </w:r>
      <w:r w:rsidR="00970FB1" w:rsidRPr="001C7308">
        <w:rPr>
          <w:rFonts w:hint="eastAsia"/>
          <w:sz w:val="24"/>
          <w:lang w:eastAsia="ja-JP"/>
        </w:rPr>
        <w:t xml:space="preserve">in </w:t>
      </w:r>
      <w:r w:rsidR="00970FB1" w:rsidRPr="001C7308">
        <w:rPr>
          <w:sz w:val="24"/>
          <w:lang w:eastAsia="ja-JP"/>
        </w:rPr>
        <w:t>such markets</w:t>
      </w:r>
      <w:r w:rsidR="00970FB1" w:rsidRPr="001C7308" w:rsidDel="00970FB1">
        <w:rPr>
          <w:rFonts w:hint="eastAsia"/>
          <w:sz w:val="24"/>
          <w:lang w:eastAsia="ja-JP"/>
        </w:rPr>
        <w:t xml:space="preserve"> </w:t>
      </w:r>
      <w:r w:rsidR="00CE5DDD">
        <w:rPr>
          <w:sz w:val="24"/>
          <w:lang w:eastAsia="ja-JP"/>
        </w:rPr>
        <w:t xml:space="preserve">speculators form </w:t>
      </w:r>
      <w:r w:rsidR="00B670F2">
        <w:rPr>
          <w:sz w:val="24"/>
          <w:lang w:eastAsia="ja-JP"/>
        </w:rPr>
        <w:t xml:space="preserve">iterated </w:t>
      </w:r>
      <w:r w:rsidR="00CE5DDD">
        <w:rPr>
          <w:sz w:val="24"/>
          <w:lang w:eastAsia="ja-JP"/>
        </w:rPr>
        <w:t xml:space="preserve">rational expectations of future prices through backward induction and </w:t>
      </w:r>
      <w:r w:rsidR="00D9326D" w:rsidRPr="001C7308">
        <w:rPr>
          <w:sz w:val="24"/>
          <w:lang w:eastAsia="ja-JP"/>
        </w:rPr>
        <w:t xml:space="preserve">prices </w:t>
      </w:r>
      <w:r w:rsidR="00970FB1">
        <w:rPr>
          <w:rFonts w:hint="eastAsia"/>
          <w:sz w:val="24"/>
          <w:lang w:eastAsia="ja-JP"/>
        </w:rPr>
        <w:t xml:space="preserve">tend toward </w:t>
      </w:r>
      <w:r w:rsidR="00D9326D" w:rsidRPr="001C7308">
        <w:rPr>
          <w:sz w:val="24"/>
          <w:lang w:eastAsia="ja-JP"/>
        </w:rPr>
        <w:t>the fundamental value</w:t>
      </w:r>
      <w:r w:rsidR="00970FB1">
        <w:rPr>
          <w:rFonts w:hint="eastAsia"/>
          <w:sz w:val="24"/>
          <w:lang w:eastAsia="ja-JP"/>
        </w:rPr>
        <w:t xml:space="preserve"> constituting the rational expectation</w:t>
      </w:r>
      <w:r w:rsidR="00B670F2">
        <w:rPr>
          <w:sz w:val="24"/>
          <w:lang w:eastAsia="ja-JP"/>
        </w:rPr>
        <w:t>s</w:t>
      </w:r>
      <w:r w:rsidR="00970FB1">
        <w:rPr>
          <w:rFonts w:hint="eastAsia"/>
          <w:sz w:val="24"/>
          <w:lang w:eastAsia="ja-JP"/>
        </w:rPr>
        <w:t xml:space="preserve"> </w:t>
      </w:r>
      <w:r w:rsidR="00970FB1">
        <w:rPr>
          <w:sz w:val="24"/>
          <w:lang w:eastAsia="ja-JP"/>
        </w:rPr>
        <w:t>equilibrium</w:t>
      </w:r>
      <w:r w:rsidR="00970FB1">
        <w:rPr>
          <w:rFonts w:hint="eastAsia"/>
          <w:sz w:val="24"/>
          <w:lang w:eastAsia="ja-JP"/>
        </w:rPr>
        <w:t xml:space="preserve"> (REE). </w:t>
      </w:r>
      <w:r w:rsidRPr="001C7308">
        <w:rPr>
          <w:rFonts w:hint="eastAsia"/>
          <w:sz w:val="24"/>
          <w:lang w:eastAsia="ja-JP"/>
        </w:rPr>
        <w:t>We c</w:t>
      </w:r>
      <w:r w:rsidR="005C2F96">
        <w:rPr>
          <w:sz w:val="24"/>
          <w:lang w:eastAsia="ja-JP"/>
        </w:rPr>
        <w:t>onjecture</w:t>
      </w:r>
      <w:r w:rsidRPr="001C7308">
        <w:rPr>
          <w:rFonts w:hint="eastAsia"/>
          <w:sz w:val="24"/>
          <w:lang w:eastAsia="ja-JP"/>
        </w:rPr>
        <w:t xml:space="preserve"> that</w:t>
      </w:r>
      <w:r w:rsidR="00AB1191">
        <w:rPr>
          <w:rFonts w:hint="eastAsia"/>
          <w:sz w:val="24"/>
          <w:lang w:eastAsia="ja-JP"/>
        </w:rPr>
        <w:t xml:space="preserve"> </w:t>
      </w:r>
      <w:r w:rsidR="00C43EDC">
        <w:rPr>
          <w:rFonts w:hint="eastAsia"/>
          <w:sz w:val="24"/>
          <w:lang w:eastAsia="ja-JP"/>
        </w:rPr>
        <w:t>th</w:t>
      </w:r>
      <w:r w:rsidR="00CE5DDD">
        <w:rPr>
          <w:sz w:val="24"/>
          <w:lang w:eastAsia="ja-JP"/>
        </w:rPr>
        <w:t>is</w:t>
      </w:r>
      <w:r w:rsidR="00C43EDC">
        <w:rPr>
          <w:rFonts w:hint="eastAsia"/>
          <w:sz w:val="24"/>
          <w:lang w:eastAsia="ja-JP"/>
        </w:rPr>
        <w:t xml:space="preserve"> </w:t>
      </w:r>
      <w:r w:rsidR="00C43EDC">
        <w:rPr>
          <w:sz w:val="24"/>
          <w:lang w:eastAsia="ja-JP"/>
        </w:rPr>
        <w:t>assumption</w:t>
      </w:r>
      <w:r w:rsidR="00C43EDC">
        <w:rPr>
          <w:rFonts w:hint="eastAsia"/>
          <w:sz w:val="24"/>
          <w:lang w:eastAsia="ja-JP"/>
        </w:rPr>
        <w:t xml:space="preserve"> </w:t>
      </w:r>
      <w:r w:rsidR="008B7295">
        <w:rPr>
          <w:rFonts w:hint="eastAsia"/>
          <w:sz w:val="24"/>
          <w:lang w:eastAsia="ja-JP"/>
        </w:rPr>
        <w:t>cannot be met in practice</w:t>
      </w:r>
      <w:r w:rsidR="00C35A99">
        <w:rPr>
          <w:sz w:val="24"/>
          <w:lang w:eastAsia="ja-JP"/>
        </w:rPr>
        <w:t xml:space="preserve">, causing </w:t>
      </w:r>
      <w:r w:rsidRPr="001C7308">
        <w:rPr>
          <w:rFonts w:hint="eastAsia"/>
          <w:sz w:val="24"/>
          <w:lang w:eastAsia="ja-JP"/>
        </w:rPr>
        <w:t xml:space="preserve">prices </w:t>
      </w:r>
      <w:r w:rsidR="00C35A99">
        <w:rPr>
          <w:sz w:val="24"/>
          <w:lang w:eastAsia="ja-JP"/>
        </w:rPr>
        <w:t xml:space="preserve">to </w:t>
      </w:r>
      <w:r w:rsidRPr="001C7308">
        <w:rPr>
          <w:rFonts w:hint="eastAsia"/>
          <w:sz w:val="24"/>
          <w:lang w:eastAsia="ja-JP"/>
        </w:rPr>
        <w:t>deviate from fundamentals and become indeterminate</w:t>
      </w:r>
      <w:r w:rsidR="008B7295">
        <w:rPr>
          <w:rFonts w:hint="eastAsia"/>
          <w:sz w:val="24"/>
          <w:lang w:eastAsia="ja-JP"/>
        </w:rPr>
        <w:t xml:space="preserve"> in financial markets populated by </w:t>
      </w:r>
      <w:r w:rsidR="008847E9">
        <w:rPr>
          <w:rFonts w:hint="eastAsia"/>
          <w:sz w:val="24"/>
          <w:lang w:eastAsia="ja-JP"/>
        </w:rPr>
        <w:t>speculating investors</w:t>
      </w:r>
      <w:r w:rsidRPr="001C7308">
        <w:rPr>
          <w:rFonts w:hint="eastAsia"/>
          <w:sz w:val="24"/>
          <w:lang w:eastAsia="ja-JP"/>
        </w:rPr>
        <w:t xml:space="preserve">. </w:t>
      </w:r>
    </w:p>
    <w:p w14:paraId="74AE80AA" w14:textId="7A9BCF40" w:rsidR="0089656D" w:rsidRPr="0036495F" w:rsidRDefault="008F6D6A" w:rsidP="0089656D">
      <w:pPr>
        <w:spacing w:line="480" w:lineRule="auto"/>
        <w:ind w:right="-45" w:firstLine="709"/>
        <w:jc w:val="both"/>
        <w:rPr>
          <w:sz w:val="24"/>
          <w:lang w:eastAsia="ja-JP"/>
        </w:rPr>
      </w:pPr>
      <w:r>
        <w:rPr>
          <w:rFonts w:hint="eastAsia"/>
          <w:sz w:val="24"/>
          <w:lang w:eastAsia="ja-JP"/>
        </w:rPr>
        <w:t xml:space="preserve">We conduct </w:t>
      </w:r>
      <w:r w:rsidR="003F07A8">
        <w:rPr>
          <w:sz w:val="24"/>
          <w:lang w:eastAsia="ja-JP"/>
        </w:rPr>
        <w:t>a</w:t>
      </w:r>
      <w:r w:rsidR="0089656D">
        <w:rPr>
          <w:sz w:val="24"/>
          <w:lang w:eastAsia="ja-JP"/>
        </w:rPr>
        <w:t>n asset</w:t>
      </w:r>
      <w:r>
        <w:rPr>
          <w:rFonts w:hint="eastAsia"/>
          <w:sz w:val="24"/>
          <w:lang w:eastAsia="ja-JP"/>
        </w:rPr>
        <w:t xml:space="preserve"> market </w:t>
      </w:r>
      <w:r>
        <w:rPr>
          <w:sz w:val="24"/>
          <w:lang w:eastAsia="ja-JP"/>
        </w:rPr>
        <w:t>experiment</w:t>
      </w:r>
      <w:r>
        <w:rPr>
          <w:rFonts w:hint="eastAsia"/>
          <w:sz w:val="24"/>
          <w:lang w:eastAsia="ja-JP"/>
        </w:rPr>
        <w:t xml:space="preserve"> </w:t>
      </w:r>
      <w:r w:rsidR="00AC36AF">
        <w:rPr>
          <w:rFonts w:hint="eastAsia"/>
          <w:sz w:val="24"/>
          <w:lang w:eastAsia="ja-JP"/>
        </w:rPr>
        <w:t xml:space="preserve">with </w:t>
      </w:r>
      <w:r w:rsidR="007F5FC2">
        <w:rPr>
          <w:sz w:val="24"/>
          <w:lang w:eastAsia="ja-JP"/>
        </w:rPr>
        <w:t xml:space="preserve">an </w:t>
      </w:r>
      <w:r w:rsidR="00AC36AF">
        <w:rPr>
          <w:rFonts w:hint="eastAsia"/>
          <w:sz w:val="24"/>
          <w:lang w:eastAsia="ja-JP"/>
        </w:rPr>
        <w:t>overlapping</w:t>
      </w:r>
      <w:r w:rsidR="00C35A99">
        <w:rPr>
          <w:sz w:val="24"/>
          <w:lang w:eastAsia="ja-JP"/>
        </w:rPr>
        <w:t xml:space="preserve"> </w:t>
      </w:r>
      <w:proofErr w:type="gramStart"/>
      <w:r w:rsidR="00AC36AF">
        <w:rPr>
          <w:rFonts w:hint="eastAsia"/>
          <w:sz w:val="24"/>
          <w:lang w:eastAsia="ja-JP"/>
        </w:rPr>
        <w:t>generations</w:t>
      </w:r>
      <w:proofErr w:type="gramEnd"/>
      <w:r w:rsidR="00AC36AF">
        <w:rPr>
          <w:rFonts w:hint="eastAsia"/>
          <w:sz w:val="24"/>
          <w:lang w:eastAsia="ja-JP"/>
        </w:rPr>
        <w:t xml:space="preserve"> structure </w:t>
      </w:r>
      <w:r>
        <w:rPr>
          <w:rFonts w:hint="eastAsia"/>
          <w:sz w:val="24"/>
          <w:lang w:eastAsia="ja-JP"/>
        </w:rPr>
        <w:t>where all investors ha</w:t>
      </w:r>
      <w:r w:rsidR="00B670F2">
        <w:rPr>
          <w:sz w:val="24"/>
          <w:lang w:eastAsia="ja-JP"/>
        </w:rPr>
        <w:t>ve</w:t>
      </w:r>
      <w:r>
        <w:rPr>
          <w:rFonts w:hint="eastAsia"/>
          <w:sz w:val="24"/>
          <w:lang w:eastAsia="ja-JP"/>
        </w:rPr>
        <w:t xml:space="preserve"> identical common knowledge beliefs about the fundamental value of the security. </w:t>
      </w:r>
      <w:r w:rsidR="00B866E4">
        <w:rPr>
          <w:sz w:val="24"/>
          <w:lang w:eastAsia="ja-JP"/>
        </w:rPr>
        <w:t>Our l</w:t>
      </w:r>
      <w:r w:rsidR="00AD3271" w:rsidRPr="001C7308">
        <w:rPr>
          <w:rFonts w:hint="eastAsia"/>
          <w:sz w:val="24"/>
          <w:lang w:eastAsia="ja-JP"/>
        </w:rPr>
        <w:t xml:space="preserve">aboratory </w:t>
      </w:r>
      <w:r>
        <w:rPr>
          <w:rFonts w:hint="eastAsia"/>
          <w:sz w:val="24"/>
          <w:lang w:eastAsia="ja-JP"/>
        </w:rPr>
        <w:t>results</w:t>
      </w:r>
      <w:r w:rsidR="000B23E7" w:rsidRPr="001C7308">
        <w:rPr>
          <w:sz w:val="24"/>
          <w:lang w:eastAsia="ja-JP"/>
        </w:rPr>
        <w:t xml:space="preserve"> </w:t>
      </w:r>
      <w:r w:rsidR="00AD3271" w:rsidRPr="001C7308">
        <w:rPr>
          <w:rFonts w:hint="eastAsia"/>
          <w:sz w:val="24"/>
          <w:lang w:eastAsia="ja-JP"/>
        </w:rPr>
        <w:t xml:space="preserve">show that </w:t>
      </w:r>
      <w:r w:rsidR="0089656D" w:rsidRPr="0036495F">
        <w:rPr>
          <w:sz w:val="24"/>
          <w:lang w:eastAsia="ja-JP"/>
        </w:rPr>
        <w:t>(</w:t>
      </w:r>
      <w:proofErr w:type="spellStart"/>
      <w:r w:rsidR="0089656D" w:rsidRPr="0036495F">
        <w:rPr>
          <w:sz w:val="24"/>
          <w:lang w:eastAsia="ja-JP"/>
        </w:rPr>
        <w:t>i</w:t>
      </w:r>
      <w:proofErr w:type="spellEnd"/>
      <w:r w:rsidR="0089656D" w:rsidRPr="0036495F">
        <w:rPr>
          <w:sz w:val="24"/>
          <w:lang w:eastAsia="ja-JP"/>
        </w:rPr>
        <w:t xml:space="preserve">) </w:t>
      </w:r>
      <w:r w:rsidR="0089656D" w:rsidRPr="0036495F">
        <w:rPr>
          <w:rFonts w:hint="eastAsia"/>
          <w:sz w:val="24"/>
          <w:lang w:eastAsia="ja-JP"/>
        </w:rPr>
        <w:t xml:space="preserve">in </w:t>
      </w:r>
      <w:r w:rsidR="0089656D" w:rsidRPr="0036495F">
        <w:rPr>
          <w:sz w:val="24"/>
          <w:lang w:eastAsia="ja-JP"/>
        </w:rPr>
        <w:t>periods</w:t>
      </w:r>
      <w:r w:rsidR="0089656D" w:rsidRPr="0036495F">
        <w:rPr>
          <w:rFonts w:hint="eastAsia"/>
          <w:sz w:val="24"/>
          <w:lang w:eastAsia="ja-JP"/>
        </w:rPr>
        <w:t xml:space="preserve"> with only speculati</w:t>
      </w:r>
      <w:r w:rsidR="0089656D" w:rsidRPr="0036495F">
        <w:rPr>
          <w:sz w:val="24"/>
          <w:lang w:eastAsia="ja-JP"/>
        </w:rPr>
        <w:t>ng</w:t>
      </w:r>
      <w:r w:rsidR="0089656D" w:rsidRPr="0036495F">
        <w:rPr>
          <w:rFonts w:hint="eastAsia"/>
          <w:sz w:val="24"/>
          <w:lang w:eastAsia="ja-JP"/>
        </w:rPr>
        <w:t xml:space="preserve"> investors </w:t>
      </w:r>
      <w:r w:rsidR="0089656D" w:rsidRPr="0036495F">
        <w:rPr>
          <w:sz w:val="24"/>
          <w:lang w:eastAsia="ja-JP"/>
        </w:rPr>
        <w:t>present</w:t>
      </w:r>
      <w:r w:rsidR="0089656D" w:rsidRPr="0036495F">
        <w:rPr>
          <w:rFonts w:hint="eastAsia"/>
          <w:sz w:val="24"/>
          <w:lang w:eastAsia="ja-JP"/>
        </w:rPr>
        <w:t xml:space="preserve"> </w:t>
      </w:r>
      <w:r w:rsidR="0089656D" w:rsidRPr="0036495F">
        <w:rPr>
          <w:sz w:val="24"/>
          <w:lang w:eastAsia="ja-JP"/>
        </w:rPr>
        <w:t xml:space="preserve">prices </w:t>
      </w:r>
      <w:r w:rsidR="00B670F2">
        <w:rPr>
          <w:sz w:val="24"/>
          <w:lang w:eastAsia="ja-JP"/>
        </w:rPr>
        <w:t>a</w:t>
      </w:r>
      <w:r w:rsidR="0089656D" w:rsidRPr="0036495F">
        <w:rPr>
          <w:rFonts w:hint="eastAsia"/>
          <w:sz w:val="24"/>
          <w:lang w:eastAsia="ja-JP"/>
        </w:rPr>
        <w:t xml:space="preserve">re more likely to depart from fundamentals compared to prices in </w:t>
      </w:r>
      <w:r w:rsidR="0089656D" w:rsidRPr="0036495F">
        <w:rPr>
          <w:sz w:val="24"/>
          <w:lang w:eastAsia="ja-JP"/>
        </w:rPr>
        <w:t>periods</w:t>
      </w:r>
      <w:r w:rsidR="0089656D" w:rsidRPr="0036495F">
        <w:rPr>
          <w:rFonts w:hint="eastAsia"/>
          <w:sz w:val="24"/>
          <w:lang w:eastAsia="ja-JP"/>
        </w:rPr>
        <w:t xml:space="preserve"> </w:t>
      </w:r>
      <w:r w:rsidR="0089656D" w:rsidRPr="0036495F">
        <w:rPr>
          <w:sz w:val="24"/>
          <w:lang w:eastAsia="ja-JP"/>
        </w:rPr>
        <w:t>in which</w:t>
      </w:r>
      <w:r w:rsidR="0089656D" w:rsidRPr="0036495F">
        <w:rPr>
          <w:rFonts w:hint="eastAsia"/>
          <w:sz w:val="24"/>
          <w:lang w:eastAsia="ja-JP"/>
        </w:rPr>
        <w:t xml:space="preserve"> dividend</w:t>
      </w:r>
      <w:r w:rsidR="0089656D" w:rsidRPr="0036495F">
        <w:rPr>
          <w:sz w:val="24"/>
          <w:lang w:eastAsia="ja-JP"/>
        </w:rPr>
        <w:t>-</w:t>
      </w:r>
      <w:r w:rsidR="0089656D" w:rsidRPr="0036495F">
        <w:rPr>
          <w:rFonts w:hint="eastAsia"/>
          <w:sz w:val="24"/>
          <w:lang w:eastAsia="ja-JP"/>
        </w:rPr>
        <w:t>collecting investors</w:t>
      </w:r>
      <w:r w:rsidR="0089656D" w:rsidRPr="0036495F">
        <w:rPr>
          <w:sz w:val="24"/>
          <w:lang w:eastAsia="ja-JP"/>
        </w:rPr>
        <w:t xml:space="preserve"> </w:t>
      </w:r>
      <w:r w:rsidR="00B670F2">
        <w:rPr>
          <w:sz w:val="24"/>
          <w:lang w:eastAsia="ja-JP"/>
        </w:rPr>
        <w:t>a</w:t>
      </w:r>
      <w:r w:rsidR="0089656D" w:rsidRPr="0036495F">
        <w:rPr>
          <w:sz w:val="24"/>
          <w:lang w:eastAsia="ja-JP"/>
        </w:rPr>
        <w:t>re present;</w:t>
      </w:r>
      <w:r w:rsidR="0089656D" w:rsidRPr="0036495F">
        <w:rPr>
          <w:rFonts w:hint="eastAsia"/>
          <w:sz w:val="24"/>
          <w:lang w:eastAsia="ja-JP"/>
        </w:rPr>
        <w:t xml:space="preserve"> </w:t>
      </w:r>
      <w:r w:rsidR="0089656D" w:rsidRPr="0036495F">
        <w:rPr>
          <w:sz w:val="24"/>
          <w:lang w:eastAsia="ja-JP"/>
        </w:rPr>
        <w:t xml:space="preserve">(ii) </w:t>
      </w:r>
      <w:r w:rsidR="0089656D">
        <w:rPr>
          <w:sz w:val="24"/>
          <w:lang w:eastAsia="ja-JP"/>
        </w:rPr>
        <w:t xml:space="preserve">volatility of prices </w:t>
      </w:r>
      <w:r w:rsidR="00B670F2">
        <w:rPr>
          <w:sz w:val="24"/>
          <w:lang w:eastAsia="ja-JP"/>
        </w:rPr>
        <w:t>i</w:t>
      </w:r>
      <w:r w:rsidR="0089656D">
        <w:rPr>
          <w:sz w:val="24"/>
          <w:lang w:eastAsia="ja-JP"/>
        </w:rPr>
        <w:t xml:space="preserve">s higher when only speculating investors </w:t>
      </w:r>
      <w:r w:rsidR="00B670F2">
        <w:rPr>
          <w:sz w:val="24"/>
          <w:lang w:eastAsia="ja-JP"/>
        </w:rPr>
        <w:t>a</w:t>
      </w:r>
      <w:r w:rsidR="0089656D">
        <w:rPr>
          <w:sz w:val="24"/>
          <w:lang w:eastAsia="ja-JP"/>
        </w:rPr>
        <w:t xml:space="preserve">re present; (iii) </w:t>
      </w:r>
      <w:r w:rsidR="0089656D" w:rsidRPr="0036495F">
        <w:rPr>
          <w:sz w:val="24"/>
          <w:lang w:eastAsia="ja-JP"/>
        </w:rPr>
        <w:t xml:space="preserve">the “mispricing” </w:t>
      </w:r>
      <w:r w:rsidR="00B670F2">
        <w:rPr>
          <w:sz w:val="24"/>
          <w:lang w:eastAsia="ja-JP"/>
        </w:rPr>
        <w:t>i</w:t>
      </w:r>
      <w:r w:rsidR="0089656D" w:rsidRPr="0036495F">
        <w:rPr>
          <w:sz w:val="24"/>
          <w:lang w:eastAsia="ja-JP"/>
        </w:rPr>
        <w:t xml:space="preserve">s </w:t>
      </w:r>
      <w:r w:rsidR="00DF2E6A">
        <w:rPr>
          <w:sz w:val="24"/>
          <w:lang w:eastAsia="ja-JP"/>
        </w:rPr>
        <w:t xml:space="preserve">likely </w:t>
      </w:r>
      <w:r w:rsidR="00C40B63">
        <w:rPr>
          <w:sz w:val="24"/>
          <w:lang w:eastAsia="ja-JP"/>
        </w:rPr>
        <w:t xml:space="preserve">to be </w:t>
      </w:r>
      <w:r w:rsidR="0089656D" w:rsidRPr="0036495F">
        <w:rPr>
          <w:sz w:val="24"/>
          <w:lang w:eastAsia="ja-JP"/>
        </w:rPr>
        <w:t>strategic</w:t>
      </w:r>
      <w:r w:rsidR="00B670F2">
        <w:rPr>
          <w:sz w:val="24"/>
          <w:lang w:eastAsia="ja-JP"/>
        </w:rPr>
        <w:t>, not</w:t>
      </w:r>
      <w:r w:rsidR="0089656D" w:rsidRPr="0036495F">
        <w:rPr>
          <w:sz w:val="24"/>
          <w:lang w:eastAsia="ja-JP"/>
        </w:rPr>
        <w:t xml:space="preserve"> irrational; (</w:t>
      </w:r>
      <w:r w:rsidR="0089656D" w:rsidRPr="0036495F">
        <w:rPr>
          <w:rFonts w:hint="eastAsia"/>
          <w:sz w:val="24"/>
          <w:lang w:eastAsia="ja-JP"/>
        </w:rPr>
        <w:t>i</w:t>
      </w:r>
      <w:r w:rsidR="0089656D">
        <w:rPr>
          <w:sz w:val="24"/>
          <w:lang w:eastAsia="ja-JP"/>
        </w:rPr>
        <w:t>v</w:t>
      </w:r>
      <w:r w:rsidR="0089656D" w:rsidRPr="0036495F">
        <w:rPr>
          <w:sz w:val="24"/>
          <w:lang w:eastAsia="ja-JP"/>
        </w:rPr>
        <w:t xml:space="preserve">) </w:t>
      </w:r>
      <w:r w:rsidR="0089656D" w:rsidRPr="0036495F">
        <w:rPr>
          <w:rFonts w:hint="eastAsia"/>
          <w:sz w:val="24"/>
          <w:lang w:eastAsia="ja-JP"/>
        </w:rPr>
        <w:t>p</w:t>
      </w:r>
      <w:r w:rsidR="0089656D" w:rsidRPr="0036495F">
        <w:rPr>
          <w:sz w:val="24"/>
          <w:lang w:eastAsia="ja-JP"/>
        </w:rPr>
        <w:t xml:space="preserve">rices </w:t>
      </w:r>
      <w:r w:rsidR="00B670F2">
        <w:rPr>
          <w:sz w:val="24"/>
          <w:lang w:eastAsia="ja-JP"/>
        </w:rPr>
        <w:t>a</w:t>
      </w:r>
      <w:r w:rsidR="0089656D" w:rsidRPr="0036495F">
        <w:rPr>
          <w:rFonts w:hint="eastAsia"/>
          <w:sz w:val="24"/>
          <w:lang w:eastAsia="ja-JP"/>
        </w:rPr>
        <w:t xml:space="preserve">re more likely to depart from fundamentals </w:t>
      </w:r>
      <w:r w:rsidR="00B670F2">
        <w:rPr>
          <w:sz w:val="24"/>
          <w:lang w:eastAsia="ja-JP"/>
        </w:rPr>
        <w:t>when</w:t>
      </w:r>
      <w:r w:rsidR="00B670F2" w:rsidRPr="0036495F">
        <w:rPr>
          <w:rFonts w:hint="eastAsia"/>
          <w:sz w:val="24"/>
          <w:lang w:eastAsia="ja-JP"/>
        </w:rPr>
        <w:t xml:space="preserve"> </w:t>
      </w:r>
      <w:r w:rsidR="0089656D" w:rsidRPr="0036495F">
        <w:rPr>
          <w:rFonts w:hint="eastAsia"/>
          <w:sz w:val="24"/>
          <w:lang w:eastAsia="ja-JP"/>
        </w:rPr>
        <w:t>the securities change</w:t>
      </w:r>
      <w:r w:rsidR="0089656D">
        <w:rPr>
          <w:sz w:val="24"/>
          <w:lang w:eastAsia="ja-JP"/>
        </w:rPr>
        <w:t>d</w:t>
      </w:r>
      <w:r w:rsidR="0089656D" w:rsidRPr="0036495F">
        <w:rPr>
          <w:rFonts w:hint="eastAsia"/>
          <w:sz w:val="24"/>
          <w:lang w:eastAsia="ja-JP"/>
        </w:rPr>
        <w:t xml:space="preserve"> hands </w:t>
      </w:r>
      <w:r w:rsidR="0089656D" w:rsidRPr="0036495F">
        <w:rPr>
          <w:sz w:val="24"/>
          <w:lang w:eastAsia="ja-JP"/>
        </w:rPr>
        <w:t xml:space="preserve">among speculating investors </w:t>
      </w:r>
      <w:r w:rsidR="0089656D" w:rsidRPr="0036495F">
        <w:rPr>
          <w:rFonts w:hint="eastAsia"/>
          <w:sz w:val="24"/>
          <w:lang w:eastAsia="ja-JP"/>
        </w:rPr>
        <w:t>more often over their 16 period life (i.e., the holding period of</w:t>
      </w:r>
      <w:r w:rsidR="0089656D" w:rsidRPr="0036495F">
        <w:rPr>
          <w:sz w:val="24"/>
          <w:lang w:eastAsia="ja-JP"/>
        </w:rPr>
        <w:t xml:space="preserve"> speculating</w:t>
      </w:r>
      <w:r w:rsidR="0089656D" w:rsidRPr="0036495F">
        <w:rPr>
          <w:rFonts w:hint="eastAsia"/>
          <w:sz w:val="24"/>
          <w:lang w:eastAsia="ja-JP"/>
        </w:rPr>
        <w:t xml:space="preserve"> investors shr</w:t>
      </w:r>
      <w:r w:rsidR="0089656D">
        <w:rPr>
          <w:sz w:val="24"/>
          <w:lang w:eastAsia="ja-JP"/>
        </w:rPr>
        <w:t>a</w:t>
      </w:r>
      <w:r w:rsidR="0089656D" w:rsidRPr="0036495F">
        <w:rPr>
          <w:rFonts w:hint="eastAsia"/>
          <w:sz w:val="24"/>
          <w:lang w:eastAsia="ja-JP"/>
        </w:rPr>
        <w:t>nk)</w:t>
      </w:r>
      <w:r w:rsidR="0089656D" w:rsidRPr="0036495F">
        <w:rPr>
          <w:sz w:val="24"/>
          <w:lang w:eastAsia="ja-JP"/>
        </w:rPr>
        <w:t>;</w:t>
      </w:r>
      <w:r w:rsidR="0089656D" w:rsidRPr="0036495F">
        <w:rPr>
          <w:rFonts w:hint="eastAsia"/>
          <w:sz w:val="24"/>
          <w:lang w:eastAsia="ja-JP"/>
        </w:rPr>
        <w:t xml:space="preserve"> </w:t>
      </w:r>
      <w:r w:rsidR="00B670F2">
        <w:rPr>
          <w:sz w:val="24"/>
          <w:lang w:eastAsia="ja-JP"/>
        </w:rPr>
        <w:t>and (</w:t>
      </w:r>
      <w:r w:rsidR="0089656D">
        <w:rPr>
          <w:sz w:val="24"/>
          <w:lang w:eastAsia="ja-JP"/>
        </w:rPr>
        <w:t>v</w:t>
      </w:r>
      <w:r w:rsidR="0089656D" w:rsidRPr="0036495F">
        <w:rPr>
          <w:rFonts w:hint="eastAsia"/>
          <w:sz w:val="24"/>
          <w:lang w:eastAsia="ja-JP"/>
        </w:rPr>
        <w:t xml:space="preserve">) speculative trading </w:t>
      </w:r>
      <w:r w:rsidR="00B670F2">
        <w:rPr>
          <w:sz w:val="24"/>
          <w:lang w:eastAsia="ja-JP"/>
        </w:rPr>
        <w:t>pushes price</w:t>
      </w:r>
      <w:r w:rsidR="00DF2E6A">
        <w:rPr>
          <w:sz w:val="24"/>
          <w:lang w:eastAsia="ja-JP"/>
        </w:rPr>
        <w:t>s</w:t>
      </w:r>
      <w:r w:rsidR="00B670F2">
        <w:rPr>
          <w:sz w:val="24"/>
          <w:lang w:eastAsia="ja-JP"/>
        </w:rPr>
        <w:t xml:space="preserve"> </w:t>
      </w:r>
      <w:r w:rsidR="0089656D" w:rsidRPr="0036495F">
        <w:rPr>
          <w:rFonts w:hint="eastAsia"/>
          <w:sz w:val="24"/>
          <w:lang w:eastAsia="ja-JP"/>
        </w:rPr>
        <w:t xml:space="preserve">upward </w:t>
      </w:r>
      <w:r w:rsidR="0089656D" w:rsidRPr="0036495F">
        <w:rPr>
          <w:sz w:val="24"/>
          <w:lang w:eastAsia="ja-JP"/>
        </w:rPr>
        <w:t>(downward) when</w:t>
      </w:r>
      <w:r w:rsidR="0089656D" w:rsidRPr="0036495F">
        <w:rPr>
          <w:rFonts w:hint="eastAsia"/>
          <w:sz w:val="24"/>
          <w:lang w:eastAsia="ja-JP"/>
        </w:rPr>
        <w:t xml:space="preserve"> liquidity </w:t>
      </w:r>
      <w:r w:rsidR="00B670F2">
        <w:rPr>
          <w:sz w:val="24"/>
          <w:lang w:eastAsia="ja-JP"/>
        </w:rPr>
        <w:t>i</w:t>
      </w:r>
      <w:r w:rsidR="0089656D" w:rsidRPr="0036495F">
        <w:rPr>
          <w:sz w:val="24"/>
          <w:lang w:eastAsia="ja-JP"/>
        </w:rPr>
        <w:t>s high (low)</w:t>
      </w:r>
      <w:r w:rsidR="0089656D">
        <w:rPr>
          <w:sz w:val="24"/>
          <w:lang w:eastAsia="ja-JP"/>
        </w:rPr>
        <w:t>, i.e.</w:t>
      </w:r>
      <w:r w:rsidR="0053487C">
        <w:rPr>
          <w:sz w:val="24"/>
          <w:lang w:eastAsia="ja-JP"/>
        </w:rPr>
        <w:t>,</w:t>
      </w:r>
      <w:r w:rsidR="0089656D">
        <w:rPr>
          <w:sz w:val="24"/>
          <w:lang w:eastAsia="ja-JP"/>
        </w:rPr>
        <w:t xml:space="preserve"> </w:t>
      </w:r>
      <w:r w:rsidR="0089656D" w:rsidRPr="0036495F">
        <w:rPr>
          <w:sz w:val="24"/>
          <w:lang w:eastAsia="ja-JP"/>
        </w:rPr>
        <w:t xml:space="preserve">higher liquidity provided through higher </w:t>
      </w:r>
      <w:r w:rsidR="0089656D" w:rsidRPr="0036495F">
        <w:rPr>
          <w:rFonts w:hint="eastAsia"/>
          <w:sz w:val="24"/>
          <w:lang w:eastAsia="ja-JP"/>
        </w:rPr>
        <w:t xml:space="preserve">cash </w:t>
      </w:r>
      <w:r w:rsidR="0089656D" w:rsidRPr="0036495F">
        <w:rPr>
          <w:sz w:val="24"/>
          <w:lang w:eastAsia="ja-JP"/>
        </w:rPr>
        <w:t xml:space="preserve">endowments </w:t>
      </w:r>
      <w:r w:rsidR="0089656D" w:rsidRPr="0036495F">
        <w:rPr>
          <w:rFonts w:hint="eastAsia"/>
          <w:sz w:val="24"/>
          <w:lang w:eastAsia="ja-JP"/>
        </w:rPr>
        <w:t xml:space="preserve">in the </w:t>
      </w:r>
      <w:r w:rsidR="0089656D" w:rsidRPr="0036495F">
        <w:rPr>
          <w:sz w:val="24"/>
          <w:lang w:eastAsia="ja-JP"/>
        </w:rPr>
        <w:t>market</w:t>
      </w:r>
      <w:r w:rsidR="0089656D" w:rsidRPr="0036495F">
        <w:rPr>
          <w:rFonts w:hint="eastAsia"/>
          <w:sz w:val="24"/>
          <w:lang w:eastAsia="ja-JP"/>
        </w:rPr>
        <w:t xml:space="preserve"> </w:t>
      </w:r>
      <w:r w:rsidR="0089656D" w:rsidRPr="0036495F">
        <w:rPr>
          <w:sz w:val="24"/>
          <w:lang w:eastAsia="ja-JP"/>
        </w:rPr>
        <w:t>raise</w:t>
      </w:r>
      <w:r w:rsidR="00B670F2">
        <w:rPr>
          <w:sz w:val="24"/>
          <w:lang w:eastAsia="ja-JP"/>
        </w:rPr>
        <w:t>s</w:t>
      </w:r>
      <w:r w:rsidR="0089656D" w:rsidRPr="0036495F">
        <w:rPr>
          <w:sz w:val="24"/>
          <w:lang w:eastAsia="ja-JP"/>
        </w:rPr>
        <w:t xml:space="preserve"> prices above the fundamental value and</w:t>
      </w:r>
      <w:r w:rsidR="0089656D" w:rsidRPr="0036495F">
        <w:rPr>
          <w:rFonts w:hint="eastAsia"/>
          <w:sz w:val="24"/>
          <w:lang w:eastAsia="ja-JP"/>
        </w:rPr>
        <w:t xml:space="preserve"> </w:t>
      </w:r>
      <w:r w:rsidR="0089656D" w:rsidRPr="0036495F">
        <w:rPr>
          <w:sz w:val="24"/>
          <w:lang w:eastAsia="ja-JP"/>
        </w:rPr>
        <w:t>prices</w:t>
      </w:r>
      <w:r w:rsidR="0089656D" w:rsidRPr="0036495F">
        <w:rPr>
          <w:rFonts w:hint="eastAsia"/>
          <w:sz w:val="24"/>
          <w:lang w:eastAsia="ja-JP"/>
        </w:rPr>
        <w:t xml:space="preserve"> </w:t>
      </w:r>
      <w:r w:rsidR="0089656D" w:rsidRPr="0036495F">
        <w:rPr>
          <w:sz w:val="24"/>
          <w:lang w:eastAsia="ja-JP"/>
        </w:rPr>
        <w:t>f</w:t>
      </w:r>
      <w:r w:rsidR="00B670F2">
        <w:rPr>
          <w:sz w:val="24"/>
          <w:lang w:eastAsia="ja-JP"/>
        </w:rPr>
        <w:t>a</w:t>
      </w:r>
      <w:r w:rsidR="0089656D" w:rsidRPr="0036495F">
        <w:rPr>
          <w:sz w:val="24"/>
          <w:lang w:eastAsia="ja-JP"/>
        </w:rPr>
        <w:t>ll short of the fundame</w:t>
      </w:r>
      <w:r w:rsidR="0089656D" w:rsidRPr="0036495F">
        <w:rPr>
          <w:sz w:val="24"/>
          <w:lang w:eastAsia="ja-JP"/>
        </w:rPr>
        <w:t>n</w:t>
      </w:r>
      <w:r w:rsidR="0089656D" w:rsidRPr="0036495F">
        <w:rPr>
          <w:sz w:val="24"/>
          <w:lang w:eastAsia="ja-JP"/>
        </w:rPr>
        <w:t>tal value in low-liquidity</w:t>
      </w:r>
      <w:r w:rsidR="0089656D" w:rsidRPr="0036495F">
        <w:rPr>
          <w:rFonts w:hint="eastAsia"/>
          <w:sz w:val="24"/>
          <w:lang w:eastAsia="ja-JP"/>
        </w:rPr>
        <w:t xml:space="preserve"> sessions</w:t>
      </w:r>
      <w:r w:rsidR="0089656D">
        <w:rPr>
          <w:sz w:val="24"/>
          <w:lang w:eastAsia="ja-JP"/>
        </w:rPr>
        <w:t xml:space="preserve">. </w:t>
      </w:r>
      <w:r w:rsidR="0089656D" w:rsidRPr="0036495F">
        <w:rPr>
          <w:rFonts w:hint="eastAsia"/>
          <w:sz w:val="24"/>
          <w:lang w:eastAsia="ja-JP"/>
        </w:rPr>
        <w:t>These laboratory results do not support the REE prediction made by standard finance theory</w:t>
      </w:r>
      <w:r w:rsidR="00ED7A74">
        <w:rPr>
          <w:sz w:val="24"/>
          <w:lang w:eastAsia="ja-JP"/>
        </w:rPr>
        <w:t xml:space="preserve"> for this environment</w:t>
      </w:r>
      <w:r w:rsidR="0089656D" w:rsidRPr="0036495F">
        <w:rPr>
          <w:sz w:val="24"/>
          <w:lang w:eastAsia="ja-JP"/>
        </w:rPr>
        <w:t xml:space="preserve">, but </w:t>
      </w:r>
      <w:r w:rsidR="0089656D" w:rsidRPr="0036495F">
        <w:rPr>
          <w:rFonts w:hint="eastAsia"/>
          <w:sz w:val="24"/>
          <w:lang w:eastAsia="ja-JP"/>
        </w:rPr>
        <w:t>suggest that speculation lead</w:t>
      </w:r>
      <w:r w:rsidR="0089656D" w:rsidRPr="0036495F">
        <w:rPr>
          <w:sz w:val="24"/>
          <w:lang w:eastAsia="ja-JP"/>
        </w:rPr>
        <w:t>s</w:t>
      </w:r>
      <w:r w:rsidR="0089656D" w:rsidRPr="0036495F">
        <w:rPr>
          <w:rFonts w:hint="eastAsia"/>
          <w:sz w:val="24"/>
          <w:lang w:eastAsia="ja-JP"/>
        </w:rPr>
        <w:t xml:space="preserve"> to </w:t>
      </w:r>
      <w:r w:rsidR="0089656D" w:rsidRPr="0036495F">
        <w:rPr>
          <w:sz w:val="24"/>
          <w:lang w:eastAsia="ja-JP"/>
        </w:rPr>
        <w:t>price bubbles (positive as well as negative</w:t>
      </w:r>
      <w:r w:rsidR="00ED7A74">
        <w:rPr>
          <w:sz w:val="24"/>
          <w:lang w:eastAsia="ja-JP"/>
        </w:rPr>
        <w:t xml:space="preserve"> with the sign</w:t>
      </w:r>
      <w:r w:rsidR="0089656D" w:rsidRPr="0036495F">
        <w:rPr>
          <w:sz w:val="24"/>
          <w:lang w:eastAsia="ja-JP"/>
        </w:rPr>
        <w:t xml:space="preserve"> driven </w:t>
      </w:r>
      <w:r w:rsidR="00ED7A74">
        <w:rPr>
          <w:sz w:val="24"/>
          <w:lang w:eastAsia="ja-JP"/>
        </w:rPr>
        <w:t xml:space="preserve">mostly </w:t>
      </w:r>
      <w:r w:rsidR="0089656D" w:rsidRPr="0036495F">
        <w:rPr>
          <w:sz w:val="24"/>
          <w:lang w:eastAsia="ja-JP"/>
        </w:rPr>
        <w:t xml:space="preserve">by liquidity). </w:t>
      </w:r>
    </w:p>
    <w:p w14:paraId="75186260" w14:textId="6056B43B" w:rsidR="00192EC6" w:rsidRDefault="00B60FC4" w:rsidP="00B53742">
      <w:pPr>
        <w:spacing w:line="480" w:lineRule="auto"/>
        <w:ind w:right="-45" w:firstLine="720"/>
        <w:jc w:val="both"/>
        <w:rPr>
          <w:sz w:val="24"/>
          <w:lang w:eastAsia="ja-JP"/>
        </w:rPr>
      </w:pPr>
      <w:r w:rsidRPr="001C7308">
        <w:rPr>
          <w:sz w:val="24"/>
          <w:lang w:eastAsia="ja-JP"/>
        </w:rPr>
        <w:lastRenderedPageBreak/>
        <w:t xml:space="preserve">Given </w:t>
      </w:r>
      <w:r>
        <w:rPr>
          <w:rFonts w:hint="eastAsia"/>
          <w:sz w:val="24"/>
          <w:lang w:eastAsia="ja-JP"/>
        </w:rPr>
        <w:t xml:space="preserve">our results, it is reasonable to </w:t>
      </w:r>
      <w:r w:rsidR="00ED7A74">
        <w:rPr>
          <w:sz w:val="24"/>
          <w:lang w:eastAsia="ja-JP"/>
        </w:rPr>
        <w:t>think</w:t>
      </w:r>
      <w:r w:rsidR="00ED7A74" w:rsidRPr="001C7308">
        <w:rPr>
          <w:sz w:val="24"/>
          <w:lang w:eastAsia="ja-JP"/>
        </w:rPr>
        <w:t xml:space="preserve"> </w:t>
      </w:r>
      <w:r w:rsidRPr="001C7308">
        <w:rPr>
          <w:sz w:val="24"/>
          <w:lang w:eastAsia="ja-JP"/>
        </w:rPr>
        <w:t xml:space="preserve">that price indeterminacies and bubbles in markets outside the laboratory </w:t>
      </w:r>
      <w:r>
        <w:rPr>
          <w:sz w:val="24"/>
          <w:lang w:eastAsia="ja-JP"/>
        </w:rPr>
        <w:t xml:space="preserve">may </w:t>
      </w:r>
      <w:r w:rsidRPr="001C7308">
        <w:rPr>
          <w:sz w:val="24"/>
          <w:lang w:eastAsia="ja-JP"/>
        </w:rPr>
        <w:t xml:space="preserve">arise from the </w:t>
      </w:r>
      <w:r>
        <w:rPr>
          <w:sz w:val="24"/>
          <w:lang w:eastAsia="ja-JP"/>
        </w:rPr>
        <w:t>presence of s</w:t>
      </w:r>
      <w:r>
        <w:rPr>
          <w:rFonts w:hint="eastAsia"/>
          <w:sz w:val="24"/>
          <w:lang w:eastAsia="ja-JP"/>
        </w:rPr>
        <w:t>peculati</w:t>
      </w:r>
      <w:r>
        <w:rPr>
          <w:sz w:val="24"/>
          <w:lang w:eastAsia="ja-JP"/>
        </w:rPr>
        <w:t xml:space="preserve">ng </w:t>
      </w:r>
      <w:r>
        <w:rPr>
          <w:rFonts w:hint="eastAsia"/>
          <w:sz w:val="24"/>
          <w:lang w:eastAsia="ja-JP"/>
        </w:rPr>
        <w:t>investors.</w:t>
      </w:r>
      <w:r w:rsidRPr="001C7308">
        <w:rPr>
          <w:sz w:val="24"/>
          <w:lang w:eastAsia="ja-JP"/>
        </w:rPr>
        <w:t xml:space="preserve"> </w:t>
      </w:r>
      <w:r w:rsidR="00192EC6">
        <w:rPr>
          <w:sz w:val="24"/>
          <w:lang w:eastAsia="ja-JP"/>
        </w:rPr>
        <w:t xml:space="preserve">The mechanism </w:t>
      </w:r>
      <w:r w:rsidR="00192EC6">
        <w:rPr>
          <w:rFonts w:hint="eastAsia"/>
          <w:sz w:val="24"/>
          <w:lang w:eastAsia="ja-JP"/>
        </w:rPr>
        <w:t xml:space="preserve">for </w:t>
      </w:r>
      <w:r w:rsidR="00192EC6">
        <w:rPr>
          <w:sz w:val="24"/>
          <w:lang w:eastAsia="ja-JP"/>
        </w:rPr>
        <w:t xml:space="preserve">the </w:t>
      </w:r>
      <w:r w:rsidR="00192EC6">
        <w:rPr>
          <w:rFonts w:hint="eastAsia"/>
          <w:sz w:val="24"/>
          <w:lang w:eastAsia="ja-JP"/>
        </w:rPr>
        <w:t xml:space="preserve">price bubbles </w:t>
      </w:r>
      <w:r w:rsidR="00192EC6">
        <w:rPr>
          <w:sz w:val="24"/>
          <w:lang w:eastAsia="ja-JP"/>
        </w:rPr>
        <w:t xml:space="preserve">observed </w:t>
      </w:r>
      <w:r w:rsidR="00192EC6">
        <w:rPr>
          <w:rFonts w:hint="eastAsia"/>
          <w:sz w:val="24"/>
          <w:lang w:eastAsia="ja-JP"/>
        </w:rPr>
        <w:t xml:space="preserve">in </w:t>
      </w:r>
      <w:r w:rsidR="00042911">
        <w:rPr>
          <w:sz w:val="24"/>
          <w:lang w:eastAsia="ja-JP"/>
        </w:rPr>
        <w:t>the</w:t>
      </w:r>
      <w:r w:rsidR="00192EC6">
        <w:rPr>
          <w:rFonts w:hint="eastAsia"/>
          <w:sz w:val="24"/>
          <w:lang w:eastAsia="ja-JP"/>
        </w:rPr>
        <w:t xml:space="preserve"> laboratory</w:t>
      </w:r>
      <w:r w:rsidR="00192EC6">
        <w:rPr>
          <w:sz w:val="24"/>
          <w:lang w:eastAsia="ja-JP"/>
        </w:rPr>
        <w:t xml:space="preserve"> is unlike the mechanisms </w:t>
      </w:r>
      <w:r w:rsidR="00192EC6">
        <w:rPr>
          <w:rFonts w:hint="eastAsia"/>
          <w:sz w:val="24"/>
          <w:lang w:eastAsia="ja-JP"/>
        </w:rPr>
        <w:t>sugges</w:t>
      </w:r>
      <w:r w:rsidR="00192EC6">
        <w:rPr>
          <w:rFonts w:hint="eastAsia"/>
          <w:sz w:val="24"/>
          <w:lang w:eastAsia="ja-JP"/>
        </w:rPr>
        <w:t>t</w:t>
      </w:r>
      <w:r w:rsidR="00192EC6">
        <w:rPr>
          <w:rFonts w:hint="eastAsia"/>
          <w:sz w:val="24"/>
          <w:lang w:eastAsia="ja-JP"/>
        </w:rPr>
        <w:t xml:space="preserve">ed </w:t>
      </w:r>
      <w:r w:rsidR="00192EC6">
        <w:rPr>
          <w:sz w:val="24"/>
          <w:lang w:eastAsia="ja-JP"/>
        </w:rPr>
        <w:t xml:space="preserve">in the </w:t>
      </w:r>
      <w:r w:rsidR="00192EC6">
        <w:rPr>
          <w:rFonts w:hint="eastAsia"/>
          <w:sz w:val="24"/>
          <w:lang w:eastAsia="ja-JP"/>
        </w:rPr>
        <w:t>ex</w:t>
      </w:r>
      <w:r w:rsidR="00192EC6">
        <w:rPr>
          <w:sz w:val="24"/>
          <w:lang w:eastAsia="ja-JP"/>
        </w:rPr>
        <w:t xml:space="preserve">tant </w:t>
      </w:r>
      <w:r w:rsidR="00192EC6">
        <w:rPr>
          <w:rFonts w:hint="eastAsia"/>
          <w:sz w:val="24"/>
          <w:lang w:eastAsia="ja-JP"/>
        </w:rPr>
        <w:t xml:space="preserve">theoretical literature </w:t>
      </w:r>
      <w:r w:rsidR="00192EC6">
        <w:rPr>
          <w:sz w:val="24"/>
          <w:lang w:eastAsia="ja-JP"/>
        </w:rPr>
        <w:t xml:space="preserve">– </w:t>
      </w:r>
      <w:r w:rsidR="00192EC6">
        <w:rPr>
          <w:rFonts w:hint="eastAsia"/>
          <w:sz w:val="24"/>
          <w:lang w:eastAsia="ja-JP"/>
        </w:rPr>
        <w:t>rational bubble</w:t>
      </w:r>
      <w:r w:rsidR="00ED7A74">
        <w:rPr>
          <w:sz w:val="24"/>
          <w:lang w:eastAsia="ja-JP"/>
        </w:rPr>
        <w:t>s</w:t>
      </w:r>
      <w:r w:rsidR="00192EC6">
        <w:rPr>
          <w:rFonts w:hint="eastAsia"/>
          <w:sz w:val="24"/>
          <w:lang w:eastAsia="ja-JP"/>
        </w:rPr>
        <w:t xml:space="preserve"> models (e.g. Blanchard and Watson 1982, Tirole 1985) and </w:t>
      </w:r>
      <w:r w:rsidR="00192EC6">
        <w:rPr>
          <w:sz w:val="24"/>
          <w:lang w:eastAsia="ja-JP"/>
        </w:rPr>
        <w:t>heterogeneous</w:t>
      </w:r>
      <w:r w:rsidR="00192EC6">
        <w:rPr>
          <w:rFonts w:hint="eastAsia"/>
          <w:sz w:val="24"/>
          <w:lang w:eastAsia="ja-JP"/>
        </w:rPr>
        <w:t xml:space="preserve"> belief model</w:t>
      </w:r>
      <w:r w:rsidR="00192EC6" w:rsidRPr="000E1A78">
        <w:rPr>
          <w:sz w:val="24"/>
          <w:szCs w:val="24"/>
          <w:lang w:eastAsia="ja-JP"/>
        </w:rPr>
        <w:t xml:space="preserve">s (e.g. </w:t>
      </w:r>
      <w:r w:rsidR="007B6D98" w:rsidRPr="004250FA">
        <w:rPr>
          <w:sz w:val="24"/>
          <w:szCs w:val="24"/>
        </w:rPr>
        <w:t xml:space="preserve">Abreu and Brunnermeier 2003, </w:t>
      </w:r>
      <w:r w:rsidR="00192EC6" w:rsidRPr="000E1A78">
        <w:rPr>
          <w:sz w:val="24"/>
          <w:szCs w:val="24"/>
          <w:lang w:eastAsia="ja-JP"/>
        </w:rPr>
        <w:t>A</w:t>
      </w:r>
      <w:r w:rsidR="00192EC6" w:rsidRPr="000E1A78">
        <w:rPr>
          <w:sz w:val="24"/>
          <w:szCs w:val="24"/>
          <w:lang w:eastAsia="ja-JP"/>
        </w:rPr>
        <w:t>l</w:t>
      </w:r>
      <w:r w:rsidR="00192EC6">
        <w:rPr>
          <w:rFonts w:hint="eastAsia"/>
          <w:sz w:val="24"/>
          <w:lang w:eastAsia="ja-JP"/>
        </w:rPr>
        <w:t xml:space="preserve">len et al. 2006, DeLong et al. 1990a, 1990b, Dow and Gorton 1994, </w:t>
      </w:r>
      <w:proofErr w:type="spellStart"/>
      <w:r w:rsidR="00192EC6">
        <w:rPr>
          <w:rFonts w:hint="eastAsia"/>
          <w:sz w:val="24"/>
          <w:lang w:eastAsia="ja-JP"/>
        </w:rPr>
        <w:t>Froot</w:t>
      </w:r>
      <w:proofErr w:type="spellEnd"/>
      <w:r w:rsidR="00192EC6">
        <w:rPr>
          <w:rFonts w:hint="eastAsia"/>
          <w:sz w:val="24"/>
          <w:lang w:eastAsia="ja-JP"/>
        </w:rPr>
        <w:t xml:space="preserve"> et al. 1992</w:t>
      </w:r>
      <w:r>
        <w:rPr>
          <w:sz w:val="24"/>
          <w:lang w:eastAsia="ja-JP"/>
        </w:rPr>
        <w:t xml:space="preserve">, </w:t>
      </w:r>
      <w:proofErr w:type="spellStart"/>
      <w:r>
        <w:rPr>
          <w:sz w:val="24"/>
          <w:lang w:eastAsia="ja-JP"/>
        </w:rPr>
        <w:t>Scheinkman</w:t>
      </w:r>
      <w:proofErr w:type="spellEnd"/>
      <w:r>
        <w:rPr>
          <w:sz w:val="24"/>
          <w:lang w:eastAsia="ja-JP"/>
        </w:rPr>
        <w:t xml:space="preserve"> and </w:t>
      </w:r>
      <w:proofErr w:type="spellStart"/>
      <w:r>
        <w:rPr>
          <w:sz w:val="24"/>
          <w:lang w:eastAsia="ja-JP"/>
        </w:rPr>
        <w:t>Xiong</w:t>
      </w:r>
      <w:proofErr w:type="spellEnd"/>
      <w:r>
        <w:rPr>
          <w:sz w:val="24"/>
          <w:lang w:eastAsia="ja-JP"/>
        </w:rPr>
        <w:t xml:space="preserve"> 2003</w:t>
      </w:r>
      <w:r w:rsidR="00192EC6">
        <w:rPr>
          <w:rFonts w:hint="eastAsia"/>
          <w:sz w:val="24"/>
          <w:lang w:eastAsia="ja-JP"/>
        </w:rPr>
        <w:t xml:space="preserve">). We </w:t>
      </w:r>
      <w:r>
        <w:rPr>
          <w:sz w:val="24"/>
          <w:lang w:eastAsia="ja-JP"/>
        </w:rPr>
        <w:t>find</w:t>
      </w:r>
      <w:r w:rsidR="00192EC6">
        <w:rPr>
          <w:rFonts w:hint="eastAsia"/>
          <w:sz w:val="24"/>
          <w:lang w:eastAsia="ja-JP"/>
        </w:rPr>
        <w:t xml:space="preserve"> that even in </w:t>
      </w:r>
      <w:r w:rsidR="00ED7A74">
        <w:rPr>
          <w:sz w:val="24"/>
          <w:lang w:eastAsia="ja-JP"/>
        </w:rPr>
        <w:t>these</w:t>
      </w:r>
      <w:r w:rsidR="00ED7A74">
        <w:rPr>
          <w:rFonts w:hint="eastAsia"/>
          <w:sz w:val="24"/>
          <w:lang w:eastAsia="ja-JP"/>
        </w:rPr>
        <w:t xml:space="preserve"> </w:t>
      </w:r>
      <w:r w:rsidR="00192EC6">
        <w:rPr>
          <w:sz w:val="24"/>
          <w:lang w:eastAsia="ja-JP"/>
        </w:rPr>
        <w:t xml:space="preserve">simple </w:t>
      </w:r>
      <w:r w:rsidR="007F5FC2">
        <w:rPr>
          <w:sz w:val="24"/>
          <w:lang w:eastAsia="ja-JP"/>
        </w:rPr>
        <w:t xml:space="preserve">laboratory </w:t>
      </w:r>
      <w:r w:rsidR="00192EC6">
        <w:rPr>
          <w:rFonts w:hint="eastAsia"/>
          <w:sz w:val="24"/>
          <w:lang w:eastAsia="ja-JP"/>
        </w:rPr>
        <w:t>market</w:t>
      </w:r>
      <w:r w:rsidR="00042911">
        <w:rPr>
          <w:sz w:val="24"/>
          <w:lang w:eastAsia="ja-JP"/>
        </w:rPr>
        <w:t>s</w:t>
      </w:r>
      <w:r w:rsidR="00192EC6">
        <w:rPr>
          <w:sz w:val="24"/>
          <w:lang w:eastAsia="ja-JP"/>
        </w:rPr>
        <w:t xml:space="preserve"> (the sec</w:t>
      </w:r>
      <w:r w:rsidR="00192EC6">
        <w:rPr>
          <w:sz w:val="24"/>
          <w:lang w:eastAsia="ja-JP"/>
        </w:rPr>
        <w:t>u</w:t>
      </w:r>
      <w:r w:rsidR="00192EC6">
        <w:rPr>
          <w:sz w:val="24"/>
          <w:lang w:eastAsia="ja-JP"/>
        </w:rPr>
        <w:t xml:space="preserve">rity pays </w:t>
      </w:r>
      <w:r w:rsidR="00042911">
        <w:rPr>
          <w:sz w:val="24"/>
          <w:lang w:eastAsia="ja-JP"/>
        </w:rPr>
        <w:t>a</w:t>
      </w:r>
      <w:r w:rsidR="00192EC6">
        <w:rPr>
          <w:sz w:val="24"/>
          <w:lang w:eastAsia="ja-JP"/>
        </w:rPr>
        <w:t xml:space="preserve"> single non-stochastic common knowledge </w:t>
      </w:r>
      <w:r w:rsidR="00ED7A74">
        <w:rPr>
          <w:sz w:val="24"/>
          <w:lang w:eastAsia="ja-JP"/>
        </w:rPr>
        <w:t xml:space="preserve">terminal </w:t>
      </w:r>
      <w:r w:rsidR="00192EC6">
        <w:rPr>
          <w:sz w:val="24"/>
          <w:lang w:eastAsia="ja-JP"/>
        </w:rPr>
        <w:t>dividend</w:t>
      </w:r>
      <w:r w:rsidR="00980B26">
        <w:rPr>
          <w:sz w:val="24"/>
          <w:lang w:eastAsia="ja-JP"/>
        </w:rPr>
        <w:t xml:space="preserve"> at the end of its 16-period life</w:t>
      </w:r>
      <w:r w:rsidR="00192EC6">
        <w:rPr>
          <w:sz w:val="24"/>
          <w:lang w:eastAsia="ja-JP"/>
        </w:rPr>
        <w:t>)</w:t>
      </w:r>
      <w:proofErr w:type="gramStart"/>
      <w:r w:rsidR="00192EC6">
        <w:rPr>
          <w:rFonts w:hint="eastAsia"/>
          <w:sz w:val="24"/>
          <w:lang w:eastAsia="ja-JP"/>
        </w:rPr>
        <w:t>,</w:t>
      </w:r>
      <w:proofErr w:type="gramEnd"/>
      <w:r w:rsidR="00192EC6">
        <w:rPr>
          <w:rFonts w:hint="eastAsia"/>
          <w:sz w:val="24"/>
          <w:lang w:eastAsia="ja-JP"/>
        </w:rPr>
        <w:t xml:space="preserve"> it is difficult for speculating investors to form </w:t>
      </w:r>
      <w:r w:rsidR="00192EC6">
        <w:rPr>
          <w:sz w:val="24"/>
          <w:lang w:eastAsia="ja-JP"/>
        </w:rPr>
        <w:t xml:space="preserve">common knowledge </w:t>
      </w:r>
      <w:r w:rsidR="00192EC6">
        <w:rPr>
          <w:rFonts w:hint="eastAsia"/>
          <w:sz w:val="24"/>
          <w:lang w:eastAsia="ja-JP"/>
        </w:rPr>
        <w:t>rational e</w:t>
      </w:r>
      <w:r w:rsidR="00192EC6">
        <w:rPr>
          <w:rFonts w:hint="eastAsia"/>
          <w:sz w:val="24"/>
          <w:lang w:eastAsia="ja-JP"/>
        </w:rPr>
        <w:t>x</w:t>
      </w:r>
      <w:r w:rsidR="00192EC6">
        <w:rPr>
          <w:rFonts w:hint="eastAsia"/>
          <w:sz w:val="24"/>
          <w:lang w:eastAsia="ja-JP"/>
        </w:rPr>
        <w:t>pectations of future prices</w:t>
      </w:r>
      <w:r w:rsidR="00192EC6">
        <w:rPr>
          <w:sz w:val="24"/>
          <w:lang w:eastAsia="ja-JP"/>
        </w:rPr>
        <w:t xml:space="preserve">. </w:t>
      </w:r>
      <w:r w:rsidR="00192EC6">
        <w:rPr>
          <w:rFonts w:hint="eastAsia"/>
          <w:sz w:val="24"/>
          <w:lang w:eastAsia="ja-JP"/>
        </w:rPr>
        <w:t>Since securities traded in real financial markets have more co</w:t>
      </w:r>
      <w:r w:rsidR="00192EC6">
        <w:rPr>
          <w:rFonts w:hint="eastAsia"/>
          <w:sz w:val="24"/>
          <w:lang w:eastAsia="ja-JP"/>
        </w:rPr>
        <w:t>m</w:t>
      </w:r>
      <w:r w:rsidR="00192EC6">
        <w:rPr>
          <w:rFonts w:hint="eastAsia"/>
          <w:sz w:val="24"/>
          <w:lang w:eastAsia="ja-JP"/>
        </w:rPr>
        <w:t>plex features (</w:t>
      </w:r>
      <w:r w:rsidR="00980B26">
        <w:rPr>
          <w:sz w:val="24"/>
          <w:lang w:eastAsia="ja-JP"/>
        </w:rPr>
        <w:t xml:space="preserve">such as </w:t>
      </w:r>
      <w:r w:rsidR="00192EC6">
        <w:rPr>
          <w:rFonts w:hint="eastAsia"/>
          <w:sz w:val="24"/>
          <w:lang w:eastAsia="ja-JP"/>
        </w:rPr>
        <w:t xml:space="preserve">uncertainty, </w:t>
      </w:r>
      <w:r w:rsidR="00192EC6">
        <w:rPr>
          <w:sz w:val="24"/>
          <w:lang w:eastAsia="ja-JP"/>
        </w:rPr>
        <w:t>information</w:t>
      </w:r>
      <w:r w:rsidR="00192EC6">
        <w:rPr>
          <w:rFonts w:hint="eastAsia"/>
          <w:sz w:val="24"/>
          <w:lang w:eastAsia="ja-JP"/>
        </w:rPr>
        <w:t xml:space="preserve"> asymmetries, </w:t>
      </w:r>
      <w:r w:rsidR="00980B26">
        <w:rPr>
          <w:sz w:val="24"/>
          <w:lang w:eastAsia="ja-JP"/>
        </w:rPr>
        <w:t xml:space="preserve">and </w:t>
      </w:r>
      <w:r w:rsidR="00192EC6">
        <w:rPr>
          <w:sz w:val="24"/>
          <w:lang w:eastAsia="ja-JP"/>
        </w:rPr>
        <w:t>heterogeneous</w:t>
      </w:r>
      <w:r w:rsidR="00192EC6">
        <w:rPr>
          <w:rFonts w:hint="eastAsia"/>
          <w:sz w:val="24"/>
          <w:lang w:eastAsia="ja-JP"/>
        </w:rPr>
        <w:t xml:space="preserve"> beliefs </w:t>
      </w:r>
      <w:r w:rsidR="00192EC6">
        <w:rPr>
          <w:sz w:val="24"/>
          <w:lang w:eastAsia="ja-JP"/>
        </w:rPr>
        <w:t>r</w:t>
      </w:r>
      <w:r w:rsidR="00192EC6">
        <w:rPr>
          <w:sz w:val="24"/>
          <w:lang w:eastAsia="ja-JP"/>
        </w:rPr>
        <w:t>e</w:t>
      </w:r>
      <w:r w:rsidR="00192EC6">
        <w:rPr>
          <w:sz w:val="24"/>
          <w:lang w:eastAsia="ja-JP"/>
        </w:rPr>
        <w:t>garding</w:t>
      </w:r>
      <w:r w:rsidR="00192EC6">
        <w:rPr>
          <w:rFonts w:hint="eastAsia"/>
          <w:sz w:val="24"/>
          <w:lang w:eastAsia="ja-JP"/>
        </w:rPr>
        <w:t xml:space="preserve"> future cash flows), we conjecture that </w:t>
      </w:r>
      <w:r w:rsidR="00192EC6">
        <w:rPr>
          <w:sz w:val="24"/>
          <w:lang w:eastAsia="ja-JP"/>
        </w:rPr>
        <w:t>common knowledge of rationality among i</w:t>
      </w:r>
      <w:r w:rsidR="00192EC6">
        <w:rPr>
          <w:sz w:val="24"/>
          <w:lang w:eastAsia="ja-JP"/>
        </w:rPr>
        <w:t>n</w:t>
      </w:r>
      <w:r w:rsidR="00192EC6">
        <w:rPr>
          <w:sz w:val="24"/>
          <w:lang w:eastAsia="ja-JP"/>
        </w:rPr>
        <w:t xml:space="preserve">vestors is </w:t>
      </w:r>
      <w:r w:rsidR="00ED7A74">
        <w:rPr>
          <w:sz w:val="24"/>
          <w:lang w:eastAsia="ja-JP"/>
        </w:rPr>
        <w:t xml:space="preserve">even </w:t>
      </w:r>
      <w:r w:rsidR="00192EC6">
        <w:rPr>
          <w:sz w:val="24"/>
          <w:lang w:eastAsia="ja-JP"/>
        </w:rPr>
        <w:t xml:space="preserve">less likely to hold in the field and investors </w:t>
      </w:r>
      <w:r w:rsidR="00192EC6">
        <w:rPr>
          <w:rFonts w:hint="eastAsia"/>
          <w:sz w:val="24"/>
          <w:lang w:eastAsia="ja-JP"/>
        </w:rPr>
        <w:t xml:space="preserve">face </w:t>
      </w:r>
      <w:r w:rsidR="00042911">
        <w:rPr>
          <w:sz w:val="24"/>
          <w:lang w:eastAsia="ja-JP"/>
        </w:rPr>
        <w:t xml:space="preserve">even </w:t>
      </w:r>
      <w:r w:rsidR="00192EC6">
        <w:rPr>
          <w:rFonts w:hint="eastAsia"/>
          <w:sz w:val="24"/>
          <w:lang w:eastAsia="ja-JP"/>
        </w:rPr>
        <w:t xml:space="preserve">greater challenges in </w:t>
      </w:r>
      <w:r w:rsidR="00192EC6">
        <w:rPr>
          <w:sz w:val="24"/>
          <w:lang w:eastAsia="ja-JP"/>
        </w:rPr>
        <w:t xml:space="preserve">forming </w:t>
      </w:r>
      <w:r w:rsidR="00192EC6">
        <w:rPr>
          <w:rFonts w:hint="eastAsia"/>
          <w:sz w:val="24"/>
          <w:lang w:eastAsia="ja-JP"/>
        </w:rPr>
        <w:t>rational expectation</w:t>
      </w:r>
      <w:r w:rsidR="00192EC6">
        <w:rPr>
          <w:sz w:val="24"/>
          <w:lang w:eastAsia="ja-JP"/>
        </w:rPr>
        <w:t>s</w:t>
      </w:r>
      <w:r w:rsidR="00192EC6">
        <w:rPr>
          <w:rFonts w:hint="eastAsia"/>
          <w:sz w:val="24"/>
          <w:lang w:eastAsia="ja-JP"/>
        </w:rPr>
        <w:t xml:space="preserve">. </w:t>
      </w:r>
      <w:r w:rsidR="00192EC6">
        <w:rPr>
          <w:sz w:val="24"/>
          <w:lang w:eastAsia="ja-JP"/>
        </w:rPr>
        <w:t>It appears that b</w:t>
      </w:r>
      <w:r w:rsidR="00192EC6">
        <w:rPr>
          <w:rFonts w:hint="eastAsia"/>
          <w:sz w:val="24"/>
          <w:lang w:eastAsia="ja-JP"/>
        </w:rPr>
        <w:t>uilding theories by relaxing the assumption underlying rational expectation</w:t>
      </w:r>
      <w:r w:rsidR="00192EC6">
        <w:rPr>
          <w:sz w:val="24"/>
          <w:lang w:eastAsia="ja-JP"/>
        </w:rPr>
        <w:t>s</w:t>
      </w:r>
      <w:r w:rsidR="00192EC6">
        <w:rPr>
          <w:rFonts w:hint="eastAsia"/>
          <w:sz w:val="24"/>
          <w:lang w:eastAsia="ja-JP"/>
        </w:rPr>
        <w:t xml:space="preserve"> </w:t>
      </w:r>
      <w:r w:rsidR="00192EC6">
        <w:rPr>
          <w:sz w:val="24"/>
          <w:lang w:eastAsia="ja-JP"/>
        </w:rPr>
        <w:t xml:space="preserve">is </w:t>
      </w:r>
      <w:r w:rsidR="00192EC6">
        <w:rPr>
          <w:rFonts w:hint="eastAsia"/>
          <w:sz w:val="24"/>
          <w:lang w:eastAsia="ja-JP"/>
        </w:rPr>
        <w:t xml:space="preserve">one way to explain the price volatility and indeterminacy in financial markets (see, </w:t>
      </w:r>
      <w:r w:rsidR="0053487C">
        <w:rPr>
          <w:sz w:val="24"/>
          <w:lang w:eastAsia="ja-JP"/>
        </w:rPr>
        <w:t>e.g.</w:t>
      </w:r>
      <w:r w:rsidR="00192EC6">
        <w:rPr>
          <w:rFonts w:hint="eastAsia"/>
          <w:sz w:val="24"/>
          <w:lang w:eastAsia="ja-JP"/>
        </w:rPr>
        <w:t xml:space="preserve">, Adam and </w:t>
      </w:r>
      <w:proofErr w:type="spellStart"/>
      <w:r w:rsidR="00192EC6">
        <w:rPr>
          <w:rFonts w:hint="eastAsia"/>
          <w:sz w:val="24"/>
          <w:lang w:eastAsia="ja-JP"/>
        </w:rPr>
        <w:t>Marcet</w:t>
      </w:r>
      <w:proofErr w:type="spellEnd"/>
      <w:r w:rsidR="00192EC6">
        <w:rPr>
          <w:rFonts w:hint="eastAsia"/>
          <w:sz w:val="24"/>
          <w:lang w:eastAsia="ja-JP"/>
        </w:rPr>
        <w:t xml:space="preserve"> 2011).</w:t>
      </w:r>
    </w:p>
    <w:p w14:paraId="4382FB5B" w14:textId="6333B100" w:rsidR="00710B96" w:rsidRDefault="00706E49" w:rsidP="008028E8">
      <w:pPr>
        <w:spacing w:line="480" w:lineRule="auto"/>
        <w:ind w:right="-45" w:firstLine="720"/>
        <w:jc w:val="both"/>
        <w:rPr>
          <w:sz w:val="24"/>
          <w:lang w:eastAsia="ja-JP"/>
        </w:rPr>
      </w:pPr>
      <w:r>
        <w:rPr>
          <w:rFonts w:hint="eastAsia"/>
          <w:sz w:val="24"/>
          <w:lang w:eastAsia="ja-JP"/>
        </w:rPr>
        <w:t xml:space="preserve">In some earlier experiments </w:t>
      </w:r>
      <w:r w:rsidR="00330F0A">
        <w:rPr>
          <w:rFonts w:hint="eastAsia"/>
          <w:sz w:val="24"/>
          <w:lang w:eastAsia="ja-JP"/>
        </w:rPr>
        <w:t>financial mar</w:t>
      </w:r>
      <w:r>
        <w:rPr>
          <w:rFonts w:hint="eastAsia"/>
          <w:sz w:val="24"/>
          <w:lang w:eastAsia="ja-JP"/>
        </w:rPr>
        <w:t>kets converge</w:t>
      </w:r>
      <w:r w:rsidR="004665F9">
        <w:rPr>
          <w:sz w:val="24"/>
          <w:lang w:eastAsia="ja-JP"/>
        </w:rPr>
        <w:t>d</w:t>
      </w:r>
      <w:r w:rsidR="00330F0A">
        <w:rPr>
          <w:rFonts w:hint="eastAsia"/>
          <w:sz w:val="24"/>
          <w:lang w:eastAsia="ja-JP"/>
        </w:rPr>
        <w:t xml:space="preserve"> to the </w:t>
      </w:r>
      <w:r>
        <w:rPr>
          <w:rFonts w:hint="eastAsia"/>
          <w:sz w:val="24"/>
          <w:lang w:eastAsia="ja-JP"/>
        </w:rPr>
        <w:t xml:space="preserve">static REE </w:t>
      </w:r>
      <w:r w:rsidR="00330F0A">
        <w:rPr>
          <w:rFonts w:hint="eastAsia"/>
          <w:sz w:val="24"/>
          <w:lang w:eastAsia="ja-JP"/>
        </w:rPr>
        <w:t>(</w:t>
      </w:r>
      <w:proofErr w:type="spellStart"/>
      <w:r w:rsidR="00330F0A">
        <w:rPr>
          <w:rFonts w:hint="eastAsia"/>
          <w:sz w:val="24"/>
          <w:lang w:eastAsia="ja-JP"/>
        </w:rPr>
        <w:t>Plot</w:t>
      </w:r>
      <w:r>
        <w:rPr>
          <w:rFonts w:hint="eastAsia"/>
          <w:sz w:val="24"/>
          <w:lang w:eastAsia="ja-JP"/>
        </w:rPr>
        <w:t>t</w:t>
      </w:r>
      <w:proofErr w:type="spellEnd"/>
      <w:r w:rsidR="00330F0A">
        <w:rPr>
          <w:rFonts w:hint="eastAsia"/>
          <w:sz w:val="24"/>
          <w:lang w:eastAsia="ja-JP"/>
        </w:rPr>
        <w:t xml:space="preserve"> and Sunder 1982, 1988)</w:t>
      </w:r>
      <w:r>
        <w:rPr>
          <w:rFonts w:hint="eastAsia"/>
          <w:sz w:val="24"/>
          <w:lang w:eastAsia="ja-JP"/>
        </w:rPr>
        <w:t xml:space="preserve"> </w:t>
      </w:r>
      <w:r w:rsidR="00DB129C">
        <w:rPr>
          <w:rFonts w:hint="eastAsia"/>
          <w:sz w:val="24"/>
          <w:lang w:eastAsia="ja-JP"/>
        </w:rPr>
        <w:t xml:space="preserve">in </w:t>
      </w:r>
      <w:r w:rsidR="00CA311F">
        <w:rPr>
          <w:rFonts w:hint="eastAsia"/>
          <w:sz w:val="24"/>
          <w:lang w:eastAsia="ja-JP"/>
        </w:rPr>
        <w:t>which</w:t>
      </w:r>
      <w:r w:rsidR="00DB129C">
        <w:rPr>
          <w:rFonts w:hint="eastAsia"/>
          <w:sz w:val="24"/>
          <w:lang w:eastAsia="ja-JP"/>
        </w:rPr>
        <w:t xml:space="preserve"> traders are able to infer the current state of the world from the observed market phenomena. In contrast</w:t>
      </w:r>
      <w:r w:rsidR="00F050CC">
        <w:rPr>
          <w:rFonts w:hint="eastAsia"/>
          <w:sz w:val="24"/>
          <w:lang w:eastAsia="ja-JP"/>
        </w:rPr>
        <w:t xml:space="preserve">, </w:t>
      </w:r>
      <w:r>
        <w:rPr>
          <w:rFonts w:hint="eastAsia"/>
          <w:sz w:val="24"/>
          <w:lang w:eastAsia="ja-JP"/>
        </w:rPr>
        <w:t xml:space="preserve">the </w:t>
      </w:r>
      <w:r w:rsidR="00330F0A">
        <w:rPr>
          <w:rFonts w:hint="eastAsia"/>
          <w:sz w:val="24"/>
          <w:lang w:eastAsia="ja-JP"/>
        </w:rPr>
        <w:t xml:space="preserve">REE </w:t>
      </w:r>
      <w:r w:rsidR="00F050CC">
        <w:rPr>
          <w:sz w:val="24"/>
          <w:lang w:eastAsia="ja-JP"/>
        </w:rPr>
        <w:t>examined</w:t>
      </w:r>
      <w:r w:rsidR="00F050CC">
        <w:rPr>
          <w:rFonts w:hint="eastAsia"/>
          <w:sz w:val="24"/>
          <w:lang w:eastAsia="ja-JP"/>
        </w:rPr>
        <w:t xml:space="preserve"> </w:t>
      </w:r>
      <w:r w:rsidR="00330F0A">
        <w:rPr>
          <w:rFonts w:hint="eastAsia"/>
          <w:sz w:val="24"/>
          <w:lang w:eastAsia="ja-JP"/>
        </w:rPr>
        <w:t>in our markets</w:t>
      </w:r>
      <w:r w:rsidR="00CA311F">
        <w:rPr>
          <w:rFonts w:hint="eastAsia"/>
          <w:sz w:val="24"/>
          <w:lang w:eastAsia="ja-JP"/>
        </w:rPr>
        <w:t xml:space="preserve"> </w:t>
      </w:r>
      <w:r>
        <w:rPr>
          <w:rFonts w:hint="eastAsia"/>
          <w:sz w:val="24"/>
          <w:lang w:eastAsia="ja-JP"/>
        </w:rPr>
        <w:t xml:space="preserve">is </w:t>
      </w:r>
      <w:r w:rsidR="00CA311F" w:rsidRPr="00CA311F">
        <w:rPr>
          <w:rFonts w:hint="eastAsia"/>
          <w:i/>
          <w:sz w:val="24"/>
          <w:lang w:eastAsia="ja-JP"/>
        </w:rPr>
        <w:t>dynamic</w:t>
      </w:r>
      <w:r w:rsidR="00CA311F">
        <w:rPr>
          <w:rFonts w:hint="eastAsia"/>
          <w:sz w:val="24"/>
          <w:lang w:eastAsia="ja-JP"/>
        </w:rPr>
        <w:t xml:space="preserve"> </w:t>
      </w:r>
      <w:r w:rsidR="00806669">
        <w:rPr>
          <w:sz w:val="24"/>
          <w:lang w:eastAsia="ja-JP"/>
        </w:rPr>
        <w:t xml:space="preserve">and </w:t>
      </w:r>
      <w:r w:rsidR="00CA311F">
        <w:rPr>
          <w:rFonts w:hint="eastAsia"/>
          <w:sz w:val="24"/>
          <w:lang w:eastAsia="ja-JP"/>
        </w:rPr>
        <w:t>inter</w:t>
      </w:r>
      <w:r w:rsidR="00BE35FB">
        <w:rPr>
          <w:rFonts w:hint="eastAsia"/>
          <w:sz w:val="24"/>
          <w:lang w:eastAsia="ja-JP"/>
        </w:rPr>
        <w:t>-</w:t>
      </w:r>
      <w:r w:rsidR="00806669">
        <w:rPr>
          <w:sz w:val="24"/>
          <w:lang w:eastAsia="ja-JP"/>
        </w:rPr>
        <w:t>generati</w:t>
      </w:r>
      <w:r w:rsidR="00B60FC4">
        <w:rPr>
          <w:sz w:val="24"/>
          <w:lang w:eastAsia="ja-JP"/>
        </w:rPr>
        <w:t>o</w:t>
      </w:r>
      <w:r w:rsidR="00806669">
        <w:rPr>
          <w:sz w:val="24"/>
          <w:lang w:eastAsia="ja-JP"/>
        </w:rPr>
        <w:t>nal</w:t>
      </w:r>
      <w:r>
        <w:rPr>
          <w:rFonts w:hint="eastAsia"/>
          <w:sz w:val="24"/>
          <w:lang w:eastAsia="ja-JP"/>
        </w:rPr>
        <w:t>;</w:t>
      </w:r>
      <w:r w:rsidR="00CA311F">
        <w:rPr>
          <w:rFonts w:hint="eastAsia"/>
          <w:sz w:val="24"/>
          <w:lang w:eastAsia="ja-JP"/>
        </w:rPr>
        <w:t xml:space="preserve"> </w:t>
      </w:r>
      <w:r w:rsidR="008128D6">
        <w:rPr>
          <w:rFonts w:hint="eastAsia"/>
          <w:sz w:val="24"/>
          <w:lang w:eastAsia="ja-JP"/>
        </w:rPr>
        <w:t>investors</w:t>
      </w:r>
      <w:r>
        <w:rPr>
          <w:sz w:val="24"/>
          <w:lang w:eastAsia="ja-JP"/>
        </w:rPr>
        <w:t>’</w:t>
      </w:r>
      <w:r w:rsidR="00CA311F">
        <w:rPr>
          <w:rFonts w:hint="eastAsia"/>
          <w:sz w:val="24"/>
          <w:lang w:eastAsia="ja-JP"/>
        </w:rPr>
        <w:t xml:space="preserve"> expect</w:t>
      </w:r>
      <w:r>
        <w:rPr>
          <w:rFonts w:hint="eastAsia"/>
          <w:sz w:val="24"/>
          <w:lang w:eastAsia="ja-JP"/>
        </w:rPr>
        <w:t>ations of</w:t>
      </w:r>
      <w:r w:rsidR="00CA311F">
        <w:rPr>
          <w:rFonts w:hint="eastAsia"/>
          <w:sz w:val="24"/>
          <w:lang w:eastAsia="ja-JP"/>
        </w:rPr>
        <w:t xml:space="preserve"> </w:t>
      </w:r>
      <w:r w:rsidR="00CA311F">
        <w:rPr>
          <w:sz w:val="24"/>
          <w:lang w:eastAsia="ja-JP"/>
        </w:rPr>
        <w:t>future</w:t>
      </w:r>
      <w:r w:rsidR="00CA311F">
        <w:rPr>
          <w:rFonts w:hint="eastAsia"/>
          <w:sz w:val="24"/>
          <w:lang w:eastAsia="ja-JP"/>
        </w:rPr>
        <w:t xml:space="preserve"> prices </w:t>
      </w:r>
      <w:r>
        <w:rPr>
          <w:rFonts w:hint="eastAsia"/>
          <w:sz w:val="24"/>
          <w:lang w:eastAsia="ja-JP"/>
        </w:rPr>
        <w:t xml:space="preserve">are </w:t>
      </w:r>
      <w:r w:rsidR="00B60FC4">
        <w:rPr>
          <w:sz w:val="24"/>
          <w:lang w:eastAsia="ja-JP"/>
        </w:rPr>
        <w:t xml:space="preserve">formed by iterated </w:t>
      </w:r>
      <w:r w:rsidR="007C43E3">
        <w:rPr>
          <w:sz w:val="24"/>
          <w:lang w:eastAsia="ja-JP"/>
        </w:rPr>
        <w:t>expectations</w:t>
      </w:r>
      <w:r w:rsidR="00710B96">
        <w:rPr>
          <w:sz w:val="24"/>
          <w:lang w:eastAsia="ja-JP"/>
        </w:rPr>
        <w:t xml:space="preserve"> </w:t>
      </w:r>
      <w:r w:rsidR="00BD7592">
        <w:rPr>
          <w:rFonts w:hint="eastAsia"/>
          <w:sz w:val="24"/>
          <w:lang w:eastAsia="ja-JP"/>
        </w:rPr>
        <w:t xml:space="preserve">and </w:t>
      </w:r>
      <w:r w:rsidR="00B60FC4">
        <w:rPr>
          <w:sz w:val="24"/>
          <w:lang w:eastAsia="ja-JP"/>
        </w:rPr>
        <w:t>backward induction</w:t>
      </w:r>
      <w:r w:rsidR="00CE5DDD">
        <w:rPr>
          <w:sz w:val="24"/>
          <w:lang w:eastAsia="ja-JP"/>
        </w:rPr>
        <w:t xml:space="preserve"> over generations</w:t>
      </w:r>
      <w:r w:rsidR="00F16CE8">
        <w:rPr>
          <w:rFonts w:hint="eastAsia"/>
          <w:sz w:val="24"/>
          <w:lang w:eastAsia="ja-JP"/>
        </w:rPr>
        <w:t xml:space="preserve">. </w:t>
      </w:r>
      <w:r w:rsidR="004665F9">
        <w:rPr>
          <w:sz w:val="24"/>
          <w:lang w:eastAsia="ja-JP"/>
        </w:rPr>
        <w:t>Arriving at t</w:t>
      </w:r>
      <w:r w:rsidR="004665F9">
        <w:rPr>
          <w:rFonts w:hint="eastAsia"/>
          <w:sz w:val="24"/>
          <w:lang w:eastAsia="ja-JP"/>
        </w:rPr>
        <w:t xml:space="preserve">his </w:t>
      </w:r>
      <w:r w:rsidR="00F16CE8">
        <w:rPr>
          <w:rFonts w:hint="eastAsia"/>
          <w:sz w:val="24"/>
          <w:lang w:eastAsia="ja-JP"/>
        </w:rPr>
        <w:t xml:space="preserve">dynamic REE </w:t>
      </w:r>
      <w:r w:rsidR="009165B4">
        <w:rPr>
          <w:rFonts w:hint="eastAsia"/>
          <w:sz w:val="24"/>
          <w:lang w:eastAsia="ja-JP"/>
        </w:rPr>
        <w:t xml:space="preserve">is implausible since it </w:t>
      </w:r>
      <w:r w:rsidR="00F16CE8">
        <w:rPr>
          <w:rFonts w:hint="eastAsia"/>
          <w:sz w:val="24"/>
          <w:lang w:eastAsia="ja-JP"/>
        </w:rPr>
        <w:t xml:space="preserve">requires </w:t>
      </w:r>
      <w:r w:rsidR="008128D6">
        <w:rPr>
          <w:rFonts w:hint="eastAsia"/>
          <w:sz w:val="24"/>
          <w:lang w:eastAsia="ja-JP"/>
        </w:rPr>
        <w:t xml:space="preserve">investors </w:t>
      </w:r>
      <w:r w:rsidR="000742E7">
        <w:rPr>
          <w:sz w:val="24"/>
          <w:lang w:eastAsia="ja-JP"/>
        </w:rPr>
        <w:t xml:space="preserve">to have not only </w:t>
      </w:r>
      <w:r w:rsidR="008128D6">
        <w:rPr>
          <w:rFonts w:hint="eastAsia"/>
          <w:sz w:val="24"/>
          <w:lang w:eastAsia="ja-JP"/>
        </w:rPr>
        <w:t>extraordinary cognitive ability</w:t>
      </w:r>
      <w:r w:rsidR="00B60FC4">
        <w:rPr>
          <w:sz w:val="24"/>
          <w:lang w:eastAsia="ja-JP"/>
        </w:rPr>
        <w:t xml:space="preserve"> </w:t>
      </w:r>
      <w:r w:rsidR="000742E7">
        <w:rPr>
          <w:sz w:val="24"/>
          <w:lang w:eastAsia="ja-JP"/>
        </w:rPr>
        <w:t xml:space="preserve">but also </w:t>
      </w:r>
      <w:r w:rsidR="00B60FC4">
        <w:rPr>
          <w:sz w:val="24"/>
          <w:lang w:eastAsia="ja-JP"/>
        </w:rPr>
        <w:t>its common knowledge among all generations of investors.</w:t>
      </w:r>
    </w:p>
    <w:p w14:paraId="12F19CEA" w14:textId="2B6B817A" w:rsidR="00E1046F" w:rsidRDefault="00AE158D" w:rsidP="00BD2B62">
      <w:pPr>
        <w:spacing w:line="480" w:lineRule="auto"/>
        <w:ind w:right="-45" w:firstLine="720"/>
        <w:jc w:val="both"/>
        <w:rPr>
          <w:b/>
          <w:sz w:val="24"/>
          <w:szCs w:val="24"/>
        </w:rPr>
      </w:pPr>
      <w:r w:rsidRPr="001C7308">
        <w:rPr>
          <w:sz w:val="24"/>
          <w:lang w:eastAsia="ja-JP"/>
        </w:rPr>
        <w:t xml:space="preserve">Several implications emerge from this study. </w:t>
      </w:r>
      <w:r w:rsidR="00E56346">
        <w:rPr>
          <w:rFonts w:hint="eastAsia"/>
          <w:sz w:val="24"/>
          <w:lang w:eastAsia="ja-JP"/>
        </w:rPr>
        <w:t xml:space="preserve">First, </w:t>
      </w:r>
      <w:r w:rsidR="00955F15" w:rsidRPr="001C7308">
        <w:rPr>
          <w:sz w:val="24"/>
          <w:lang w:eastAsia="ja-JP"/>
        </w:rPr>
        <w:t>greater inefficiency, pricing ano</w:t>
      </w:r>
      <w:r w:rsidR="00955F15" w:rsidRPr="001C7308">
        <w:rPr>
          <w:sz w:val="24"/>
          <w:lang w:eastAsia="ja-JP"/>
        </w:rPr>
        <w:t>m</w:t>
      </w:r>
      <w:r w:rsidR="00955F15" w:rsidRPr="001C7308">
        <w:rPr>
          <w:sz w:val="24"/>
          <w:lang w:eastAsia="ja-JP"/>
        </w:rPr>
        <w:t xml:space="preserve">alies, and the so-called “behavioral” phenomena </w:t>
      </w:r>
      <w:r w:rsidR="00955F15">
        <w:rPr>
          <w:rFonts w:hint="eastAsia"/>
          <w:sz w:val="24"/>
          <w:lang w:eastAsia="ja-JP"/>
        </w:rPr>
        <w:t xml:space="preserve">which cause </w:t>
      </w:r>
      <w:r w:rsidR="006D14DF">
        <w:rPr>
          <w:rFonts w:hint="eastAsia"/>
          <w:sz w:val="24"/>
          <w:lang w:eastAsia="ja-JP"/>
        </w:rPr>
        <w:t>security</w:t>
      </w:r>
      <w:r w:rsidR="00955F15">
        <w:rPr>
          <w:rFonts w:hint="eastAsia"/>
          <w:sz w:val="24"/>
          <w:lang w:eastAsia="ja-JP"/>
        </w:rPr>
        <w:t xml:space="preserve"> prices to </w:t>
      </w:r>
      <w:r w:rsidR="00955F15">
        <w:rPr>
          <w:sz w:val="24"/>
          <w:lang w:eastAsia="ja-JP"/>
        </w:rPr>
        <w:t>depart</w:t>
      </w:r>
      <w:r w:rsidR="00955F15">
        <w:rPr>
          <w:rFonts w:hint="eastAsia"/>
          <w:sz w:val="24"/>
          <w:lang w:eastAsia="ja-JP"/>
        </w:rPr>
        <w:t xml:space="preserve"> from </w:t>
      </w:r>
      <w:r w:rsidR="00955F15">
        <w:rPr>
          <w:rFonts w:hint="eastAsia"/>
          <w:sz w:val="24"/>
          <w:lang w:eastAsia="ja-JP"/>
        </w:rPr>
        <w:lastRenderedPageBreak/>
        <w:t xml:space="preserve">fundamentals are more likely to be observed when markets are </w:t>
      </w:r>
      <w:r w:rsidR="00FF6B0E">
        <w:rPr>
          <w:sz w:val="24"/>
          <w:lang w:eastAsia="ja-JP"/>
        </w:rPr>
        <w:t>populated</w:t>
      </w:r>
      <w:r w:rsidR="00FF6B0E">
        <w:rPr>
          <w:rFonts w:hint="eastAsia"/>
          <w:sz w:val="24"/>
          <w:lang w:eastAsia="ja-JP"/>
        </w:rPr>
        <w:t xml:space="preserve"> </w:t>
      </w:r>
      <w:r w:rsidR="00FF6B0E">
        <w:rPr>
          <w:sz w:val="24"/>
          <w:lang w:eastAsia="ja-JP"/>
        </w:rPr>
        <w:t>with</w:t>
      </w:r>
      <w:r w:rsidR="00955F15">
        <w:rPr>
          <w:rFonts w:hint="eastAsia"/>
          <w:sz w:val="24"/>
          <w:lang w:eastAsia="ja-JP"/>
        </w:rPr>
        <w:t xml:space="preserve"> </w:t>
      </w:r>
      <w:r w:rsidR="004665F9">
        <w:rPr>
          <w:sz w:val="24"/>
          <w:lang w:eastAsia="ja-JP"/>
        </w:rPr>
        <w:t xml:space="preserve">mostly </w:t>
      </w:r>
      <w:r w:rsidR="000076F9">
        <w:rPr>
          <w:rFonts w:hint="eastAsia"/>
          <w:sz w:val="24"/>
          <w:lang w:eastAsia="ja-JP"/>
        </w:rPr>
        <w:t>s</w:t>
      </w:r>
      <w:r w:rsidR="008847E9">
        <w:rPr>
          <w:rFonts w:hint="eastAsia"/>
          <w:sz w:val="24"/>
          <w:lang w:eastAsia="ja-JP"/>
        </w:rPr>
        <w:t>pec</w:t>
      </w:r>
      <w:r w:rsidR="008847E9">
        <w:rPr>
          <w:rFonts w:hint="eastAsia"/>
          <w:sz w:val="24"/>
          <w:lang w:eastAsia="ja-JP"/>
        </w:rPr>
        <w:t>u</w:t>
      </w:r>
      <w:r w:rsidR="008847E9">
        <w:rPr>
          <w:rFonts w:hint="eastAsia"/>
          <w:sz w:val="24"/>
          <w:lang w:eastAsia="ja-JP"/>
        </w:rPr>
        <w:t>lati</w:t>
      </w:r>
      <w:r w:rsidR="000742E7">
        <w:rPr>
          <w:sz w:val="24"/>
          <w:lang w:eastAsia="ja-JP"/>
        </w:rPr>
        <w:t>ng</w:t>
      </w:r>
      <w:r w:rsidR="002F1A7C">
        <w:rPr>
          <w:rFonts w:hint="eastAsia"/>
          <w:sz w:val="24"/>
          <w:lang w:eastAsia="ja-JP"/>
        </w:rPr>
        <w:t xml:space="preserve"> </w:t>
      </w:r>
      <w:r w:rsidR="00440147">
        <w:rPr>
          <w:rFonts w:hint="eastAsia"/>
          <w:sz w:val="24"/>
          <w:lang w:eastAsia="ja-JP"/>
        </w:rPr>
        <w:t>investor</w:t>
      </w:r>
      <w:r w:rsidR="002F1A7C">
        <w:rPr>
          <w:rFonts w:hint="eastAsia"/>
          <w:sz w:val="24"/>
          <w:lang w:eastAsia="ja-JP"/>
        </w:rPr>
        <w:t>s</w:t>
      </w:r>
      <w:r w:rsidR="00955F15">
        <w:rPr>
          <w:rFonts w:hint="eastAsia"/>
          <w:sz w:val="24"/>
          <w:lang w:eastAsia="ja-JP"/>
        </w:rPr>
        <w:t>.</w:t>
      </w:r>
      <w:r w:rsidR="00955F15" w:rsidRPr="001C7308" w:rsidDel="004A54C3">
        <w:rPr>
          <w:sz w:val="24"/>
          <w:lang w:eastAsia="ja-JP"/>
        </w:rPr>
        <w:t xml:space="preserve"> </w:t>
      </w:r>
      <w:r w:rsidR="00955F15">
        <w:rPr>
          <w:rFonts w:hint="eastAsia"/>
          <w:sz w:val="24"/>
          <w:lang w:eastAsia="ja-JP"/>
        </w:rPr>
        <w:t>Second, the excess price volatility in real stock markets reported by previous empir</w:t>
      </w:r>
      <w:r w:rsidR="00600777">
        <w:rPr>
          <w:rFonts w:hint="eastAsia"/>
          <w:sz w:val="24"/>
          <w:lang w:eastAsia="ja-JP"/>
        </w:rPr>
        <w:t>ical studies (e.g.</w:t>
      </w:r>
      <w:r w:rsidR="0053487C">
        <w:rPr>
          <w:sz w:val="24"/>
          <w:lang w:eastAsia="ja-JP"/>
        </w:rPr>
        <w:t>,</w:t>
      </w:r>
      <w:r w:rsidR="00600777">
        <w:rPr>
          <w:rFonts w:hint="eastAsia"/>
          <w:sz w:val="24"/>
          <w:lang w:eastAsia="ja-JP"/>
        </w:rPr>
        <w:t xml:space="preserve"> Le</w:t>
      </w:r>
      <w:r w:rsidR="00600777">
        <w:rPr>
          <w:sz w:val="24"/>
          <w:lang w:eastAsia="ja-JP"/>
        </w:rPr>
        <w:t>R</w:t>
      </w:r>
      <w:r w:rsidR="00955F15">
        <w:rPr>
          <w:rFonts w:hint="eastAsia"/>
          <w:sz w:val="24"/>
          <w:lang w:eastAsia="ja-JP"/>
        </w:rPr>
        <w:t xml:space="preserve">oy and Porter 1981, Shiller 1981) </w:t>
      </w:r>
      <w:r w:rsidR="00036982">
        <w:rPr>
          <w:sz w:val="24"/>
          <w:lang w:eastAsia="ja-JP"/>
        </w:rPr>
        <w:t>may</w:t>
      </w:r>
      <w:r w:rsidR="00036982">
        <w:rPr>
          <w:rFonts w:hint="eastAsia"/>
          <w:sz w:val="24"/>
          <w:lang w:eastAsia="ja-JP"/>
        </w:rPr>
        <w:t xml:space="preserve"> </w:t>
      </w:r>
      <w:r w:rsidR="00955F15">
        <w:rPr>
          <w:rFonts w:hint="eastAsia"/>
          <w:sz w:val="24"/>
          <w:lang w:eastAsia="ja-JP"/>
        </w:rPr>
        <w:t xml:space="preserve">be caused by the existence of </w:t>
      </w:r>
      <w:r w:rsidR="000076F9">
        <w:rPr>
          <w:rFonts w:hint="eastAsia"/>
          <w:sz w:val="24"/>
          <w:lang w:eastAsia="ja-JP"/>
        </w:rPr>
        <w:t>s</w:t>
      </w:r>
      <w:r w:rsidR="008847E9">
        <w:rPr>
          <w:rFonts w:hint="eastAsia"/>
          <w:sz w:val="24"/>
          <w:lang w:eastAsia="ja-JP"/>
        </w:rPr>
        <w:t>peculative in</w:t>
      </w:r>
      <w:r w:rsidR="00440147">
        <w:rPr>
          <w:rFonts w:hint="eastAsia"/>
          <w:sz w:val="24"/>
          <w:lang w:eastAsia="ja-JP"/>
        </w:rPr>
        <w:t>vestor</w:t>
      </w:r>
      <w:r w:rsidR="002F1A7C">
        <w:rPr>
          <w:rFonts w:hint="eastAsia"/>
          <w:sz w:val="24"/>
          <w:lang w:eastAsia="ja-JP"/>
        </w:rPr>
        <w:t>s</w:t>
      </w:r>
      <w:r w:rsidR="00955F15">
        <w:rPr>
          <w:rFonts w:hint="eastAsia"/>
          <w:sz w:val="24"/>
          <w:lang w:eastAsia="ja-JP"/>
        </w:rPr>
        <w:t xml:space="preserve">. This </w:t>
      </w:r>
      <w:r w:rsidR="0053487C">
        <w:rPr>
          <w:sz w:val="24"/>
          <w:lang w:eastAsia="ja-JP"/>
        </w:rPr>
        <w:t xml:space="preserve">observation </w:t>
      </w:r>
      <w:r w:rsidR="00955F15">
        <w:rPr>
          <w:rFonts w:hint="eastAsia"/>
          <w:sz w:val="24"/>
          <w:lang w:eastAsia="ja-JP"/>
        </w:rPr>
        <w:t xml:space="preserve">raises </w:t>
      </w:r>
      <w:r w:rsidR="00036982">
        <w:rPr>
          <w:sz w:val="24"/>
          <w:lang w:eastAsia="ja-JP"/>
        </w:rPr>
        <w:t>the</w:t>
      </w:r>
      <w:r w:rsidR="00036982">
        <w:rPr>
          <w:rFonts w:hint="eastAsia"/>
          <w:sz w:val="24"/>
          <w:lang w:eastAsia="ja-JP"/>
        </w:rPr>
        <w:t xml:space="preserve"> </w:t>
      </w:r>
      <w:r w:rsidR="00955F15">
        <w:rPr>
          <w:rFonts w:hint="eastAsia"/>
          <w:sz w:val="24"/>
          <w:lang w:eastAsia="ja-JP"/>
        </w:rPr>
        <w:t xml:space="preserve">empirical question </w:t>
      </w:r>
      <w:r w:rsidR="00600982">
        <w:rPr>
          <w:rFonts w:hint="eastAsia"/>
          <w:sz w:val="24"/>
          <w:lang w:eastAsia="ja-JP"/>
        </w:rPr>
        <w:t>o</w:t>
      </w:r>
      <w:r w:rsidR="00036982">
        <w:rPr>
          <w:sz w:val="24"/>
          <w:lang w:eastAsia="ja-JP"/>
        </w:rPr>
        <w:t>f</w:t>
      </w:r>
      <w:r w:rsidR="00600982">
        <w:rPr>
          <w:rFonts w:hint="eastAsia"/>
          <w:sz w:val="24"/>
          <w:lang w:eastAsia="ja-JP"/>
        </w:rPr>
        <w:t xml:space="preserve"> </w:t>
      </w:r>
      <w:r w:rsidR="00955F15">
        <w:rPr>
          <w:rFonts w:hint="eastAsia"/>
          <w:sz w:val="24"/>
          <w:lang w:eastAsia="ja-JP"/>
        </w:rPr>
        <w:t>whether stock price volatility is larger in periods and markets w</w:t>
      </w:r>
      <w:r w:rsidR="00FF6B0E">
        <w:rPr>
          <w:sz w:val="24"/>
          <w:lang w:eastAsia="ja-JP"/>
        </w:rPr>
        <w:t xml:space="preserve">ith more </w:t>
      </w:r>
      <w:r w:rsidR="000076F9">
        <w:rPr>
          <w:rFonts w:hint="eastAsia"/>
          <w:sz w:val="24"/>
          <w:lang w:eastAsia="ja-JP"/>
        </w:rPr>
        <w:t>s</w:t>
      </w:r>
      <w:r w:rsidR="008847E9">
        <w:rPr>
          <w:rFonts w:hint="eastAsia"/>
          <w:sz w:val="24"/>
          <w:lang w:eastAsia="ja-JP"/>
        </w:rPr>
        <w:t>peculative</w:t>
      </w:r>
      <w:r w:rsidR="00955F15">
        <w:rPr>
          <w:rFonts w:hint="eastAsia"/>
          <w:sz w:val="24"/>
          <w:lang w:eastAsia="ja-JP"/>
        </w:rPr>
        <w:t xml:space="preserve"> </w:t>
      </w:r>
      <w:r w:rsidR="00440147">
        <w:rPr>
          <w:rFonts w:hint="eastAsia"/>
          <w:sz w:val="24"/>
          <w:lang w:eastAsia="ja-JP"/>
        </w:rPr>
        <w:t>investor</w:t>
      </w:r>
      <w:r w:rsidR="002F1A7C">
        <w:rPr>
          <w:rFonts w:hint="eastAsia"/>
          <w:sz w:val="24"/>
          <w:lang w:eastAsia="ja-JP"/>
        </w:rPr>
        <w:t>s</w:t>
      </w:r>
      <w:r w:rsidR="00955F15">
        <w:rPr>
          <w:rFonts w:hint="eastAsia"/>
          <w:sz w:val="24"/>
          <w:lang w:eastAsia="ja-JP"/>
        </w:rPr>
        <w:t xml:space="preserve">. Third, </w:t>
      </w:r>
      <w:r w:rsidR="00513141">
        <w:rPr>
          <w:rFonts w:hint="eastAsia"/>
          <w:sz w:val="24"/>
          <w:lang w:eastAsia="ja-JP"/>
        </w:rPr>
        <w:t>securities with longer maturities are more prone to price indeterminacy. Given investors</w:t>
      </w:r>
      <w:r w:rsidR="00513141">
        <w:rPr>
          <w:sz w:val="24"/>
          <w:lang w:eastAsia="ja-JP"/>
        </w:rPr>
        <w:t>’</w:t>
      </w:r>
      <w:r w:rsidR="00513141">
        <w:rPr>
          <w:rFonts w:hint="eastAsia"/>
          <w:sz w:val="24"/>
          <w:lang w:eastAsia="ja-JP"/>
        </w:rPr>
        <w:t xml:space="preserve"> </w:t>
      </w:r>
      <w:r w:rsidR="008847E9">
        <w:rPr>
          <w:rFonts w:hint="eastAsia"/>
          <w:sz w:val="24"/>
          <w:lang w:eastAsia="ja-JP"/>
        </w:rPr>
        <w:t>holding per</w:t>
      </w:r>
      <w:r w:rsidR="008847E9">
        <w:rPr>
          <w:rFonts w:hint="eastAsia"/>
          <w:sz w:val="24"/>
          <w:lang w:eastAsia="ja-JP"/>
        </w:rPr>
        <w:t>i</w:t>
      </w:r>
      <w:r w:rsidR="008847E9">
        <w:rPr>
          <w:rFonts w:hint="eastAsia"/>
          <w:sz w:val="24"/>
          <w:lang w:eastAsia="ja-JP"/>
        </w:rPr>
        <w:t>ods</w:t>
      </w:r>
      <w:r w:rsidR="00513141">
        <w:rPr>
          <w:rFonts w:hint="eastAsia"/>
          <w:sz w:val="24"/>
          <w:lang w:eastAsia="ja-JP"/>
        </w:rPr>
        <w:t>, as the maturity becomes long</w:t>
      </w:r>
      <w:r w:rsidR="00071CB4">
        <w:rPr>
          <w:rFonts w:hint="eastAsia"/>
          <w:sz w:val="24"/>
          <w:lang w:eastAsia="ja-JP"/>
        </w:rPr>
        <w:t>er</w:t>
      </w:r>
      <w:r w:rsidR="00513141">
        <w:rPr>
          <w:rFonts w:hint="eastAsia"/>
          <w:sz w:val="24"/>
          <w:lang w:eastAsia="ja-JP"/>
        </w:rPr>
        <w:t xml:space="preserve">, </w:t>
      </w:r>
      <w:r w:rsidR="00071CB4">
        <w:rPr>
          <w:rFonts w:hint="eastAsia"/>
          <w:sz w:val="24"/>
          <w:lang w:eastAsia="ja-JP"/>
        </w:rPr>
        <w:t xml:space="preserve">the number of </w:t>
      </w:r>
      <w:r w:rsidR="004665F9">
        <w:rPr>
          <w:sz w:val="24"/>
          <w:lang w:eastAsia="ja-JP"/>
        </w:rPr>
        <w:t xml:space="preserve">trading </w:t>
      </w:r>
      <w:r w:rsidR="00071CB4">
        <w:rPr>
          <w:rFonts w:hint="eastAsia"/>
          <w:sz w:val="24"/>
          <w:lang w:eastAsia="ja-JP"/>
        </w:rPr>
        <w:t xml:space="preserve">generations that hold the security </w:t>
      </w:r>
      <w:r w:rsidR="00071CB4" w:rsidRPr="007448FC">
        <w:rPr>
          <w:sz w:val="24"/>
          <w:lang w:eastAsia="ja-JP"/>
        </w:rPr>
        <w:t xml:space="preserve">between </w:t>
      </w:r>
      <w:r w:rsidR="00036982">
        <w:rPr>
          <w:sz w:val="24"/>
          <w:lang w:eastAsia="ja-JP"/>
        </w:rPr>
        <w:t xml:space="preserve">the </w:t>
      </w:r>
      <w:r w:rsidR="00071CB4" w:rsidRPr="007448FC">
        <w:rPr>
          <w:sz w:val="24"/>
          <w:lang w:eastAsia="ja-JP"/>
        </w:rPr>
        <w:t xml:space="preserve">present and </w:t>
      </w:r>
      <w:r w:rsidR="00071CB4">
        <w:rPr>
          <w:sz w:val="24"/>
          <w:lang w:eastAsia="ja-JP"/>
        </w:rPr>
        <w:t xml:space="preserve">the </w:t>
      </w:r>
      <w:r w:rsidR="00071CB4" w:rsidRPr="007448FC">
        <w:rPr>
          <w:sz w:val="24"/>
          <w:lang w:eastAsia="ja-JP"/>
        </w:rPr>
        <w:t xml:space="preserve">maturity </w:t>
      </w:r>
      <w:r w:rsidR="00036982">
        <w:rPr>
          <w:sz w:val="24"/>
          <w:lang w:eastAsia="ja-JP"/>
        </w:rPr>
        <w:t xml:space="preserve">date </w:t>
      </w:r>
      <w:r w:rsidR="00071CB4" w:rsidRPr="007448FC">
        <w:rPr>
          <w:sz w:val="24"/>
          <w:lang w:eastAsia="ja-JP"/>
        </w:rPr>
        <w:t>increases</w:t>
      </w:r>
      <w:r w:rsidR="00071CB4">
        <w:rPr>
          <w:rFonts w:hint="eastAsia"/>
          <w:sz w:val="24"/>
          <w:lang w:eastAsia="ja-JP"/>
        </w:rPr>
        <w:t>, and it becomes more difficult for inve</w:t>
      </w:r>
      <w:r w:rsidR="00071CB4">
        <w:rPr>
          <w:rFonts w:hint="eastAsia"/>
          <w:sz w:val="24"/>
          <w:lang w:eastAsia="ja-JP"/>
        </w:rPr>
        <w:t>s</w:t>
      </w:r>
      <w:r w:rsidR="00071CB4">
        <w:rPr>
          <w:rFonts w:hint="eastAsia"/>
          <w:sz w:val="24"/>
          <w:lang w:eastAsia="ja-JP"/>
        </w:rPr>
        <w:t>tors to form rational expectation</w:t>
      </w:r>
      <w:r w:rsidR="00CC4090">
        <w:rPr>
          <w:rFonts w:hint="eastAsia"/>
          <w:sz w:val="24"/>
          <w:lang w:eastAsia="ja-JP"/>
        </w:rPr>
        <w:t>s</w:t>
      </w:r>
      <w:r w:rsidR="00071CB4">
        <w:rPr>
          <w:rFonts w:hint="eastAsia"/>
          <w:sz w:val="24"/>
          <w:lang w:eastAsia="ja-JP"/>
        </w:rPr>
        <w:t xml:space="preserve"> </w:t>
      </w:r>
      <w:r w:rsidR="00ED7A74">
        <w:rPr>
          <w:sz w:val="24"/>
          <w:lang w:eastAsia="ja-JP"/>
        </w:rPr>
        <w:t xml:space="preserve">by </w:t>
      </w:r>
      <w:r w:rsidR="00CE5DDD">
        <w:rPr>
          <w:sz w:val="24"/>
          <w:lang w:eastAsia="ja-JP"/>
        </w:rPr>
        <w:t>backward inducti</w:t>
      </w:r>
      <w:r w:rsidR="00ED7A74">
        <w:rPr>
          <w:sz w:val="24"/>
          <w:lang w:eastAsia="ja-JP"/>
        </w:rPr>
        <w:t>ng</w:t>
      </w:r>
      <w:r w:rsidR="00CE5DDD">
        <w:rPr>
          <w:sz w:val="24"/>
          <w:lang w:eastAsia="ja-JP"/>
        </w:rPr>
        <w:t xml:space="preserve"> </w:t>
      </w:r>
      <w:r w:rsidR="00DE387F">
        <w:rPr>
          <w:sz w:val="24"/>
          <w:lang w:eastAsia="ja-JP"/>
        </w:rPr>
        <w:t xml:space="preserve">through multiple iterations, </w:t>
      </w:r>
      <w:r w:rsidR="00955F15">
        <w:rPr>
          <w:rFonts w:hint="eastAsia"/>
          <w:sz w:val="24"/>
          <w:lang w:eastAsia="ja-JP"/>
        </w:rPr>
        <w:t>and pri</w:t>
      </w:r>
      <w:r w:rsidR="00955F15">
        <w:rPr>
          <w:rFonts w:hint="eastAsia"/>
          <w:sz w:val="24"/>
          <w:lang w:eastAsia="ja-JP"/>
        </w:rPr>
        <w:t>c</w:t>
      </w:r>
      <w:r w:rsidR="00955F15">
        <w:rPr>
          <w:rFonts w:hint="eastAsia"/>
          <w:sz w:val="24"/>
          <w:lang w:eastAsia="ja-JP"/>
        </w:rPr>
        <w:t xml:space="preserve">es </w:t>
      </w:r>
      <w:r w:rsidR="001A26B3">
        <w:rPr>
          <w:rFonts w:hint="eastAsia"/>
          <w:sz w:val="24"/>
          <w:lang w:eastAsia="ja-JP"/>
        </w:rPr>
        <w:t xml:space="preserve">tend to deviate more from </w:t>
      </w:r>
      <w:r w:rsidR="00ED7A74">
        <w:rPr>
          <w:sz w:val="24"/>
          <w:lang w:eastAsia="ja-JP"/>
        </w:rPr>
        <w:t xml:space="preserve">the </w:t>
      </w:r>
      <w:r w:rsidR="00955F15">
        <w:rPr>
          <w:rFonts w:hint="eastAsia"/>
          <w:sz w:val="24"/>
          <w:lang w:eastAsia="ja-JP"/>
        </w:rPr>
        <w:t>fundamentals</w:t>
      </w:r>
      <w:r w:rsidR="00071CB4">
        <w:rPr>
          <w:rFonts w:hint="eastAsia"/>
          <w:sz w:val="24"/>
          <w:lang w:eastAsia="ja-JP"/>
        </w:rPr>
        <w:t xml:space="preserve">. </w:t>
      </w:r>
      <w:r w:rsidR="00955F15">
        <w:rPr>
          <w:rFonts w:hint="eastAsia"/>
          <w:sz w:val="24"/>
          <w:lang w:eastAsia="ja-JP"/>
        </w:rPr>
        <w:t>Fourth</w:t>
      </w:r>
      <w:r w:rsidR="00071CB4">
        <w:rPr>
          <w:rFonts w:hint="eastAsia"/>
          <w:sz w:val="24"/>
          <w:lang w:eastAsia="ja-JP"/>
        </w:rPr>
        <w:t xml:space="preserve">, the securities with longer durations are more likely to </w:t>
      </w:r>
      <w:r w:rsidR="00071CB4">
        <w:rPr>
          <w:sz w:val="24"/>
          <w:lang w:eastAsia="ja-JP"/>
        </w:rPr>
        <w:t>deviate</w:t>
      </w:r>
      <w:r w:rsidR="00071CB4">
        <w:rPr>
          <w:rFonts w:hint="eastAsia"/>
          <w:sz w:val="24"/>
          <w:lang w:eastAsia="ja-JP"/>
        </w:rPr>
        <w:t xml:space="preserve"> from the fundamentals.</w:t>
      </w:r>
      <w:r w:rsidR="001A26B3">
        <w:rPr>
          <w:rStyle w:val="Funotenzeichen"/>
          <w:sz w:val="24"/>
          <w:lang w:eastAsia="ja-JP"/>
        </w:rPr>
        <w:footnoteReference w:id="51"/>
      </w:r>
      <w:r w:rsidR="00071CB4">
        <w:rPr>
          <w:rFonts w:hint="eastAsia"/>
          <w:sz w:val="24"/>
          <w:lang w:eastAsia="ja-JP"/>
        </w:rPr>
        <w:t xml:space="preserve"> As the duration of a security increases, </w:t>
      </w:r>
      <w:r w:rsidR="008F4C53">
        <w:rPr>
          <w:rFonts w:hint="eastAsia"/>
          <w:sz w:val="24"/>
          <w:lang w:eastAsia="ja-JP"/>
        </w:rPr>
        <w:t>inve</w:t>
      </w:r>
      <w:r w:rsidR="008F4C53">
        <w:rPr>
          <w:rFonts w:hint="eastAsia"/>
          <w:sz w:val="24"/>
          <w:lang w:eastAsia="ja-JP"/>
        </w:rPr>
        <w:t>s</w:t>
      </w:r>
      <w:r w:rsidR="008F4C53">
        <w:rPr>
          <w:rFonts w:hint="eastAsia"/>
          <w:sz w:val="24"/>
          <w:lang w:eastAsia="ja-JP"/>
        </w:rPr>
        <w:t xml:space="preserve">tors receive </w:t>
      </w:r>
      <w:r w:rsidR="003C2716">
        <w:rPr>
          <w:sz w:val="24"/>
          <w:lang w:eastAsia="ja-JP"/>
        </w:rPr>
        <w:t xml:space="preserve">a </w:t>
      </w:r>
      <w:r w:rsidR="008F4C53">
        <w:rPr>
          <w:rFonts w:hint="eastAsia"/>
          <w:sz w:val="24"/>
          <w:lang w:eastAsia="ja-JP"/>
        </w:rPr>
        <w:t>smaller portion of its value from cash</w:t>
      </w:r>
      <w:r w:rsidR="001A26B3">
        <w:rPr>
          <w:rFonts w:hint="eastAsia"/>
          <w:sz w:val="24"/>
          <w:lang w:eastAsia="ja-JP"/>
        </w:rPr>
        <w:t xml:space="preserve"> </w:t>
      </w:r>
      <w:r w:rsidR="008F4C53">
        <w:rPr>
          <w:rFonts w:hint="eastAsia"/>
          <w:sz w:val="24"/>
          <w:lang w:eastAsia="ja-JP"/>
        </w:rPr>
        <w:t xml:space="preserve">flow within their </w:t>
      </w:r>
      <w:r w:rsidR="008847E9">
        <w:rPr>
          <w:rFonts w:hint="eastAsia"/>
          <w:sz w:val="24"/>
          <w:lang w:eastAsia="ja-JP"/>
        </w:rPr>
        <w:t>holding periods</w:t>
      </w:r>
      <w:r w:rsidR="008F4C53">
        <w:rPr>
          <w:rFonts w:hint="eastAsia"/>
          <w:sz w:val="24"/>
          <w:lang w:eastAsia="ja-JP"/>
        </w:rPr>
        <w:t xml:space="preserve"> and </w:t>
      </w:r>
      <w:r w:rsidR="00FF6B0E">
        <w:rPr>
          <w:sz w:val="24"/>
          <w:lang w:eastAsia="ja-JP"/>
        </w:rPr>
        <w:t xml:space="preserve">a larger fraction of </w:t>
      </w:r>
      <w:r w:rsidR="008F4C53">
        <w:rPr>
          <w:rFonts w:hint="eastAsia"/>
          <w:sz w:val="24"/>
          <w:lang w:eastAsia="ja-JP"/>
        </w:rPr>
        <w:t xml:space="preserve">their valuation </w:t>
      </w:r>
      <w:r w:rsidR="00FF6B0E">
        <w:rPr>
          <w:sz w:val="24"/>
          <w:lang w:eastAsia="ja-JP"/>
        </w:rPr>
        <w:t xml:space="preserve">depends on </w:t>
      </w:r>
      <w:r w:rsidR="00DE387F">
        <w:rPr>
          <w:sz w:val="24"/>
          <w:lang w:eastAsia="ja-JP"/>
        </w:rPr>
        <w:t xml:space="preserve">more-difficult-to-anticipate </w:t>
      </w:r>
      <w:r w:rsidR="008F4C53">
        <w:rPr>
          <w:rFonts w:hint="eastAsia"/>
          <w:sz w:val="24"/>
          <w:lang w:eastAsia="ja-JP"/>
        </w:rPr>
        <w:t xml:space="preserve">capital gains (future prices). </w:t>
      </w:r>
      <w:r w:rsidR="004851C6">
        <w:rPr>
          <w:sz w:val="24"/>
          <w:lang w:eastAsia="ja-JP"/>
        </w:rPr>
        <w:t>Fifth</w:t>
      </w:r>
      <w:r w:rsidR="001A26B3">
        <w:rPr>
          <w:rFonts w:hint="eastAsia"/>
          <w:sz w:val="24"/>
          <w:lang w:eastAsia="ja-JP"/>
        </w:rPr>
        <w:t xml:space="preserve">, </w:t>
      </w:r>
      <w:r w:rsidR="00A72C6F">
        <w:rPr>
          <w:sz w:val="24"/>
          <w:lang w:eastAsia="ja-JP"/>
        </w:rPr>
        <w:t xml:space="preserve">prudent </w:t>
      </w:r>
      <w:r w:rsidR="001A26B3">
        <w:rPr>
          <w:rFonts w:hint="eastAsia"/>
          <w:sz w:val="24"/>
          <w:lang w:eastAsia="ja-JP"/>
        </w:rPr>
        <w:t xml:space="preserve">monetary policy would matter for the stabilization of </w:t>
      </w:r>
      <w:r w:rsidR="006D14DF">
        <w:rPr>
          <w:rFonts w:hint="eastAsia"/>
          <w:sz w:val="24"/>
          <w:lang w:eastAsia="ja-JP"/>
        </w:rPr>
        <w:t>security</w:t>
      </w:r>
      <w:r w:rsidR="001A26B3">
        <w:rPr>
          <w:rFonts w:hint="eastAsia"/>
          <w:sz w:val="24"/>
          <w:lang w:eastAsia="ja-JP"/>
        </w:rPr>
        <w:t xml:space="preserve"> prices. </w:t>
      </w:r>
      <w:r w:rsidR="00ED7A74">
        <w:rPr>
          <w:sz w:val="24"/>
          <w:lang w:eastAsia="ja-JP"/>
        </w:rPr>
        <w:t>These</w:t>
      </w:r>
      <w:r w:rsidR="009B5885">
        <w:rPr>
          <w:rFonts w:hint="eastAsia"/>
          <w:sz w:val="24"/>
          <w:lang w:eastAsia="ja-JP"/>
        </w:rPr>
        <w:t xml:space="preserve"> data show</w:t>
      </w:r>
      <w:r w:rsidR="001A26B3">
        <w:rPr>
          <w:rFonts w:hint="eastAsia"/>
          <w:sz w:val="24"/>
          <w:lang w:eastAsia="ja-JP"/>
        </w:rPr>
        <w:t xml:space="preserve"> that </w:t>
      </w:r>
      <w:r w:rsidR="00A72C6F">
        <w:rPr>
          <w:sz w:val="24"/>
          <w:lang w:eastAsia="ja-JP"/>
        </w:rPr>
        <w:t xml:space="preserve">the level of </w:t>
      </w:r>
      <w:r w:rsidR="001A26B3">
        <w:rPr>
          <w:rFonts w:hint="eastAsia"/>
          <w:sz w:val="24"/>
          <w:lang w:eastAsia="ja-JP"/>
        </w:rPr>
        <w:t>li</w:t>
      </w:r>
      <w:r w:rsidR="003A3F49">
        <w:rPr>
          <w:rFonts w:hint="eastAsia"/>
          <w:sz w:val="24"/>
          <w:lang w:eastAsia="ja-JP"/>
        </w:rPr>
        <w:t xml:space="preserve">quidity </w:t>
      </w:r>
      <w:r w:rsidR="00A72C6F">
        <w:rPr>
          <w:sz w:val="24"/>
          <w:lang w:eastAsia="ja-JP"/>
        </w:rPr>
        <w:t xml:space="preserve">influences volatility and deviation of prices from fundamentals </w:t>
      </w:r>
      <w:r w:rsidR="001A26B3">
        <w:rPr>
          <w:rFonts w:hint="eastAsia"/>
          <w:sz w:val="24"/>
          <w:lang w:eastAsia="ja-JP"/>
        </w:rPr>
        <w:t>in market</w:t>
      </w:r>
      <w:r w:rsidR="00B866E4">
        <w:rPr>
          <w:sz w:val="24"/>
          <w:lang w:eastAsia="ja-JP"/>
        </w:rPr>
        <w:t>s</w:t>
      </w:r>
      <w:r w:rsidR="001A26B3">
        <w:rPr>
          <w:rFonts w:hint="eastAsia"/>
          <w:sz w:val="24"/>
          <w:lang w:eastAsia="ja-JP"/>
        </w:rPr>
        <w:t xml:space="preserve"> with </w:t>
      </w:r>
      <w:r w:rsidR="000076F9">
        <w:rPr>
          <w:rFonts w:hint="eastAsia"/>
          <w:sz w:val="24"/>
          <w:lang w:eastAsia="ja-JP"/>
        </w:rPr>
        <w:t>s</w:t>
      </w:r>
      <w:r w:rsidR="00872020">
        <w:rPr>
          <w:rFonts w:hint="eastAsia"/>
          <w:sz w:val="24"/>
          <w:lang w:eastAsia="ja-JP"/>
        </w:rPr>
        <w:t>peculating</w:t>
      </w:r>
      <w:r w:rsidR="001A26B3">
        <w:rPr>
          <w:rFonts w:hint="eastAsia"/>
          <w:sz w:val="24"/>
          <w:lang w:eastAsia="ja-JP"/>
        </w:rPr>
        <w:t xml:space="preserve"> </w:t>
      </w:r>
      <w:r w:rsidR="00440147">
        <w:rPr>
          <w:rFonts w:hint="eastAsia"/>
          <w:sz w:val="24"/>
          <w:lang w:eastAsia="ja-JP"/>
        </w:rPr>
        <w:t>investor</w:t>
      </w:r>
      <w:r w:rsidR="002F1A7C">
        <w:rPr>
          <w:rFonts w:hint="eastAsia"/>
          <w:sz w:val="24"/>
          <w:lang w:eastAsia="ja-JP"/>
        </w:rPr>
        <w:t>s</w:t>
      </w:r>
      <w:r w:rsidR="001A26B3">
        <w:rPr>
          <w:rFonts w:hint="eastAsia"/>
          <w:sz w:val="24"/>
          <w:lang w:eastAsia="ja-JP"/>
        </w:rPr>
        <w:t xml:space="preserve">. This </w:t>
      </w:r>
      <w:r w:rsidR="009B5885">
        <w:rPr>
          <w:sz w:val="24"/>
          <w:lang w:eastAsia="ja-JP"/>
        </w:rPr>
        <w:t xml:space="preserve">finding </w:t>
      </w:r>
      <w:r w:rsidR="001A26B3">
        <w:rPr>
          <w:rFonts w:hint="eastAsia"/>
          <w:sz w:val="24"/>
          <w:lang w:eastAsia="ja-JP"/>
        </w:rPr>
        <w:t xml:space="preserve">implies that controlling </w:t>
      </w:r>
      <w:r w:rsidR="00DE387F">
        <w:rPr>
          <w:sz w:val="24"/>
          <w:lang w:eastAsia="ja-JP"/>
        </w:rPr>
        <w:t xml:space="preserve">the stock of </w:t>
      </w:r>
      <w:r w:rsidR="001A26B3">
        <w:rPr>
          <w:rFonts w:hint="eastAsia"/>
          <w:sz w:val="24"/>
          <w:lang w:eastAsia="ja-JP"/>
        </w:rPr>
        <w:t xml:space="preserve">money and credit </w:t>
      </w:r>
      <w:r w:rsidR="00922C92">
        <w:rPr>
          <w:sz w:val="24"/>
          <w:lang w:eastAsia="ja-JP"/>
        </w:rPr>
        <w:t>are</w:t>
      </w:r>
      <w:r w:rsidR="00922C92">
        <w:rPr>
          <w:rFonts w:hint="eastAsia"/>
          <w:sz w:val="24"/>
          <w:lang w:eastAsia="ja-JP"/>
        </w:rPr>
        <w:t xml:space="preserve"> </w:t>
      </w:r>
      <w:r w:rsidR="001A26B3">
        <w:rPr>
          <w:rFonts w:hint="eastAsia"/>
          <w:sz w:val="24"/>
          <w:lang w:eastAsia="ja-JP"/>
        </w:rPr>
        <w:t xml:space="preserve">important for stabilizing not only </w:t>
      </w:r>
      <w:r w:rsidR="003C2716">
        <w:rPr>
          <w:sz w:val="24"/>
          <w:lang w:eastAsia="ja-JP"/>
        </w:rPr>
        <w:t xml:space="preserve">the </w:t>
      </w:r>
      <w:r w:rsidR="001A26B3">
        <w:rPr>
          <w:rFonts w:hint="eastAsia"/>
          <w:sz w:val="24"/>
          <w:lang w:eastAsia="ja-JP"/>
        </w:rPr>
        <w:t xml:space="preserve">real economy but also </w:t>
      </w:r>
      <w:r w:rsidR="006D14DF">
        <w:rPr>
          <w:rFonts w:hint="eastAsia"/>
          <w:sz w:val="24"/>
          <w:lang w:eastAsia="ja-JP"/>
        </w:rPr>
        <w:t>security</w:t>
      </w:r>
      <w:r w:rsidR="001A26B3">
        <w:rPr>
          <w:rFonts w:hint="eastAsia"/>
          <w:sz w:val="24"/>
          <w:lang w:eastAsia="ja-JP"/>
        </w:rPr>
        <w:t xml:space="preserve"> prices</w:t>
      </w:r>
      <w:r w:rsidR="00EF7E37" w:rsidRPr="00EF7E37">
        <w:rPr>
          <w:rFonts w:hint="eastAsia"/>
          <w:sz w:val="24"/>
          <w:lang w:eastAsia="ja-JP"/>
        </w:rPr>
        <w:t xml:space="preserve"> </w:t>
      </w:r>
      <w:r w:rsidR="00623361">
        <w:rPr>
          <w:rFonts w:hint="eastAsia"/>
          <w:sz w:val="24"/>
          <w:lang w:eastAsia="ja-JP"/>
        </w:rPr>
        <w:t xml:space="preserve">when </w:t>
      </w:r>
      <w:r w:rsidR="00EF7E37">
        <w:rPr>
          <w:rFonts w:hint="eastAsia"/>
          <w:sz w:val="24"/>
          <w:lang w:eastAsia="ja-JP"/>
        </w:rPr>
        <w:t xml:space="preserve">markets </w:t>
      </w:r>
      <w:r w:rsidR="00623361">
        <w:rPr>
          <w:rFonts w:hint="eastAsia"/>
          <w:sz w:val="24"/>
          <w:lang w:eastAsia="ja-JP"/>
        </w:rPr>
        <w:t xml:space="preserve">are </w:t>
      </w:r>
      <w:r w:rsidR="00EF7E37">
        <w:rPr>
          <w:rFonts w:hint="eastAsia"/>
          <w:sz w:val="24"/>
          <w:lang w:eastAsia="ja-JP"/>
        </w:rPr>
        <w:t xml:space="preserve">dominated by </w:t>
      </w:r>
      <w:r w:rsidR="000076F9">
        <w:rPr>
          <w:rFonts w:hint="eastAsia"/>
          <w:sz w:val="24"/>
          <w:lang w:eastAsia="ja-JP"/>
        </w:rPr>
        <w:t>s</w:t>
      </w:r>
      <w:r w:rsidR="00872020">
        <w:rPr>
          <w:rFonts w:hint="eastAsia"/>
          <w:sz w:val="24"/>
          <w:lang w:eastAsia="ja-JP"/>
        </w:rPr>
        <w:t>peculating</w:t>
      </w:r>
      <w:r w:rsidR="00EF7E37">
        <w:rPr>
          <w:rFonts w:hint="eastAsia"/>
          <w:sz w:val="24"/>
          <w:lang w:eastAsia="ja-JP"/>
        </w:rPr>
        <w:t xml:space="preserve"> </w:t>
      </w:r>
      <w:r w:rsidR="00440147">
        <w:rPr>
          <w:rFonts w:hint="eastAsia"/>
          <w:sz w:val="24"/>
          <w:lang w:eastAsia="ja-JP"/>
        </w:rPr>
        <w:t>investor</w:t>
      </w:r>
      <w:r w:rsidR="002F1A7C">
        <w:rPr>
          <w:rFonts w:hint="eastAsia"/>
          <w:sz w:val="24"/>
          <w:lang w:eastAsia="ja-JP"/>
        </w:rPr>
        <w:t>s</w:t>
      </w:r>
      <w:r w:rsidR="001A26B3">
        <w:rPr>
          <w:rFonts w:hint="eastAsia"/>
          <w:sz w:val="24"/>
          <w:lang w:eastAsia="ja-JP"/>
        </w:rPr>
        <w:t>.</w:t>
      </w:r>
      <w:r w:rsidR="003307EF">
        <w:rPr>
          <w:sz w:val="24"/>
          <w:lang w:eastAsia="ja-JP"/>
        </w:rPr>
        <w:t xml:space="preserve"> </w:t>
      </w:r>
      <w:r w:rsidR="009B5885">
        <w:rPr>
          <w:sz w:val="24"/>
          <w:lang w:eastAsia="ja-JP"/>
        </w:rPr>
        <w:t>S</w:t>
      </w:r>
      <w:r w:rsidR="004851C6">
        <w:rPr>
          <w:sz w:val="24"/>
          <w:lang w:eastAsia="ja-JP"/>
        </w:rPr>
        <w:t>ixt</w:t>
      </w:r>
      <w:r w:rsidR="009B5885">
        <w:rPr>
          <w:sz w:val="24"/>
          <w:lang w:eastAsia="ja-JP"/>
        </w:rPr>
        <w:t>h</w:t>
      </w:r>
      <w:r w:rsidR="003307EF">
        <w:rPr>
          <w:sz w:val="24"/>
          <w:lang w:eastAsia="ja-JP"/>
        </w:rPr>
        <w:t>, to the extent s</w:t>
      </w:r>
      <w:r w:rsidR="003307EF">
        <w:rPr>
          <w:sz w:val="24"/>
          <w:lang w:eastAsia="ja-JP"/>
        </w:rPr>
        <w:t>e</w:t>
      </w:r>
      <w:r w:rsidR="003307EF">
        <w:rPr>
          <w:sz w:val="24"/>
          <w:lang w:eastAsia="ja-JP"/>
        </w:rPr>
        <w:t>curity</w:t>
      </w:r>
      <w:r w:rsidR="00922C92">
        <w:rPr>
          <w:sz w:val="24"/>
          <w:lang w:eastAsia="ja-JP"/>
        </w:rPr>
        <w:t xml:space="preserve"> prices are </w:t>
      </w:r>
      <w:r w:rsidR="003307EF">
        <w:rPr>
          <w:sz w:val="24"/>
          <w:lang w:eastAsia="ja-JP"/>
        </w:rPr>
        <w:t>destabilized by speculating investors, it is possible to develop an argument to support higher tax rates on short-term capital gains.</w:t>
      </w:r>
      <w:r w:rsidR="0049378D">
        <w:rPr>
          <w:rFonts w:hint="eastAsia"/>
          <w:sz w:val="24"/>
          <w:lang w:eastAsia="ja-JP"/>
        </w:rPr>
        <w:t xml:space="preserve"> </w:t>
      </w:r>
      <w:r w:rsidR="003307EF">
        <w:rPr>
          <w:sz w:val="24"/>
          <w:lang w:eastAsia="ja-JP"/>
        </w:rPr>
        <w:t>However, effectiveness of policies for suppressing price bubbles and indeterminacy is a subject for future exploration.</w:t>
      </w:r>
      <w:r w:rsidR="00E1046F">
        <w:rPr>
          <w:b/>
          <w:sz w:val="24"/>
          <w:szCs w:val="24"/>
        </w:rPr>
        <w:br w:type="page"/>
      </w:r>
    </w:p>
    <w:p w14:paraId="5A1D8217" w14:textId="77777777" w:rsidR="00E9154C" w:rsidRPr="00AB78B3" w:rsidRDefault="00926D3D" w:rsidP="00922C92">
      <w:pPr>
        <w:spacing w:line="480" w:lineRule="auto"/>
        <w:ind w:right="-45"/>
        <w:jc w:val="both"/>
        <w:rPr>
          <w:b/>
          <w:sz w:val="24"/>
          <w:szCs w:val="24"/>
        </w:rPr>
      </w:pPr>
      <w:r w:rsidRPr="00AB78B3">
        <w:rPr>
          <w:b/>
          <w:sz w:val="24"/>
          <w:szCs w:val="24"/>
        </w:rPr>
        <w:lastRenderedPageBreak/>
        <w:t>References</w:t>
      </w:r>
    </w:p>
    <w:p w14:paraId="39149854" w14:textId="77777777" w:rsidR="00EF7E37" w:rsidRPr="00A117A6" w:rsidRDefault="00951C79">
      <w:pPr>
        <w:pStyle w:val="Textkrper"/>
        <w:spacing w:after="240" w:line="276" w:lineRule="auto"/>
        <w:ind w:left="567" w:hanging="567"/>
      </w:pPr>
      <w:r>
        <w:t xml:space="preserve">Abreu, D. and Brunnermeier, M. K. (2003) Bubbles and </w:t>
      </w:r>
      <w:r w:rsidR="005577B4">
        <w:t>Crashes</w:t>
      </w:r>
      <w:r>
        <w:t xml:space="preserve">, </w:t>
      </w:r>
      <w:proofErr w:type="spellStart"/>
      <w:r>
        <w:rPr>
          <w:i/>
        </w:rPr>
        <w:t>Econometrica</w:t>
      </w:r>
      <w:proofErr w:type="spellEnd"/>
      <w:r>
        <w:t>, 71, 173-204.</w:t>
      </w:r>
    </w:p>
    <w:p w14:paraId="66249E89" w14:textId="77777777" w:rsidR="00EF7E37" w:rsidRPr="00A117A6" w:rsidRDefault="00951C79">
      <w:pPr>
        <w:pStyle w:val="Textkrper"/>
        <w:spacing w:after="240" w:line="276" w:lineRule="auto"/>
        <w:ind w:left="567" w:hanging="567"/>
      </w:pPr>
      <w:proofErr w:type="spellStart"/>
      <w:r>
        <w:t>Ackert</w:t>
      </w:r>
      <w:proofErr w:type="spellEnd"/>
      <w:r>
        <w:t xml:space="preserve">, L. F., </w:t>
      </w:r>
      <w:proofErr w:type="spellStart"/>
      <w:r>
        <w:t>Charupat</w:t>
      </w:r>
      <w:proofErr w:type="spellEnd"/>
      <w:r>
        <w:t xml:space="preserve">, N., Church, B. K., and </w:t>
      </w:r>
      <w:proofErr w:type="spellStart"/>
      <w:r>
        <w:t>Deaves</w:t>
      </w:r>
      <w:proofErr w:type="spellEnd"/>
      <w:r>
        <w:t xml:space="preserve">, R. (2006) Margin, </w:t>
      </w:r>
      <w:r w:rsidR="005577B4">
        <w:t>S</w:t>
      </w:r>
      <w:r>
        <w:t xml:space="preserve">hort </w:t>
      </w:r>
      <w:r w:rsidR="005577B4">
        <w:t>S</w:t>
      </w:r>
      <w:r>
        <w:t xml:space="preserve">ell, and </w:t>
      </w:r>
      <w:r w:rsidR="005577B4">
        <w:t>L</w:t>
      </w:r>
      <w:r>
        <w:t xml:space="preserve">otteries in </w:t>
      </w:r>
      <w:r w:rsidR="005577B4">
        <w:t>E</w:t>
      </w:r>
      <w:r>
        <w:t xml:space="preserve">xperimental </w:t>
      </w:r>
      <w:r w:rsidR="005577B4">
        <w:t>S</w:t>
      </w:r>
      <w:r>
        <w:t xml:space="preserve">ecurity </w:t>
      </w:r>
      <w:r w:rsidR="005577B4">
        <w:t>M</w:t>
      </w:r>
      <w:r>
        <w:t xml:space="preserve">arkets, </w:t>
      </w:r>
      <w:r>
        <w:rPr>
          <w:i/>
        </w:rPr>
        <w:t>Southern Economic Journal</w:t>
      </w:r>
      <w:r>
        <w:t>, 73, 419-436.</w:t>
      </w:r>
    </w:p>
    <w:p w14:paraId="25E2EDAD" w14:textId="77777777" w:rsidR="00EF7E37" w:rsidRPr="00A117A6" w:rsidRDefault="00951C79">
      <w:pPr>
        <w:pStyle w:val="Textkrper"/>
        <w:spacing w:after="240" w:line="276" w:lineRule="auto"/>
        <w:ind w:left="567" w:hanging="567"/>
      </w:pPr>
      <w:r>
        <w:t xml:space="preserve">Adam, K. and </w:t>
      </w:r>
      <w:proofErr w:type="spellStart"/>
      <w:r>
        <w:t>Marcet</w:t>
      </w:r>
      <w:proofErr w:type="spellEnd"/>
      <w:r>
        <w:t xml:space="preserve">, A. (2011) Internal </w:t>
      </w:r>
      <w:r w:rsidR="005577B4">
        <w:t>R</w:t>
      </w:r>
      <w:r>
        <w:t xml:space="preserve">ationality, </w:t>
      </w:r>
      <w:r w:rsidR="005577B4">
        <w:t>I</w:t>
      </w:r>
      <w:r>
        <w:t xml:space="preserve">mperfect </w:t>
      </w:r>
      <w:r w:rsidR="005577B4">
        <w:t>M</w:t>
      </w:r>
      <w:r>
        <w:t xml:space="preserve">arket </w:t>
      </w:r>
      <w:r w:rsidR="005577B4">
        <w:t>K</w:t>
      </w:r>
      <w:r>
        <w:t xml:space="preserve">nowledge and </w:t>
      </w:r>
      <w:r w:rsidR="005577B4">
        <w:t>S</w:t>
      </w:r>
      <w:r>
        <w:t>ec</w:t>
      </w:r>
      <w:r>
        <w:t>u</w:t>
      </w:r>
      <w:r>
        <w:t xml:space="preserve">rity </w:t>
      </w:r>
      <w:r w:rsidR="005577B4">
        <w:t>Prices</w:t>
      </w:r>
      <w:r>
        <w:t xml:space="preserve">, </w:t>
      </w:r>
      <w:r>
        <w:rPr>
          <w:i/>
          <w:noProof/>
        </w:rPr>
        <w:t>Journal of Economic Theory</w:t>
      </w:r>
      <w:r>
        <w:rPr>
          <w:noProof/>
        </w:rPr>
        <w:t xml:space="preserve">, </w:t>
      </w:r>
      <w:r w:rsidR="005B1E74" w:rsidRPr="0045253B">
        <w:rPr>
          <w:noProof/>
        </w:rPr>
        <w:t>146</w:t>
      </w:r>
      <w:r>
        <w:rPr>
          <w:noProof/>
        </w:rPr>
        <w:t>, 1244-1252.</w:t>
      </w:r>
    </w:p>
    <w:p w14:paraId="295603EA" w14:textId="2B4B5C89" w:rsidR="00EC620C" w:rsidRDefault="00EC620C" w:rsidP="007B2FEF">
      <w:pPr>
        <w:spacing w:afterLines="100" w:after="240" w:line="276" w:lineRule="auto"/>
        <w:ind w:left="566" w:hangingChars="236" w:hanging="566"/>
        <w:jc w:val="both"/>
        <w:rPr>
          <w:noProof/>
          <w:sz w:val="24"/>
          <w:szCs w:val="24"/>
          <w:lang w:eastAsia="ja-JP"/>
        </w:rPr>
      </w:pPr>
      <w:bookmarkStart w:id="1" w:name="_ENREF_1"/>
      <w:r>
        <w:rPr>
          <w:rFonts w:hint="eastAsia"/>
          <w:noProof/>
          <w:sz w:val="24"/>
          <w:szCs w:val="24"/>
          <w:lang w:eastAsia="ja-JP"/>
        </w:rPr>
        <w:t>Akiyama, E,, Hanaki,</w:t>
      </w:r>
      <w:r>
        <w:rPr>
          <w:noProof/>
          <w:sz w:val="24"/>
          <w:szCs w:val="24"/>
          <w:lang w:eastAsia="ja-JP"/>
        </w:rPr>
        <w:t xml:space="preserve"> N.,</w:t>
      </w:r>
      <w:r>
        <w:rPr>
          <w:rFonts w:hint="eastAsia"/>
          <w:noProof/>
          <w:sz w:val="24"/>
          <w:szCs w:val="24"/>
          <w:lang w:eastAsia="ja-JP"/>
        </w:rPr>
        <w:t xml:space="preserve"> and </w:t>
      </w:r>
      <w:r>
        <w:rPr>
          <w:noProof/>
          <w:sz w:val="24"/>
          <w:szCs w:val="24"/>
          <w:lang w:eastAsia="ja-JP"/>
        </w:rPr>
        <w:t xml:space="preserve">Ishikawa, R. (2017) It Is Not Just Confusion! Strategic Uncertainty in an Experimental Asset Market, </w:t>
      </w:r>
      <w:r w:rsidRPr="00A634E6">
        <w:rPr>
          <w:i/>
          <w:noProof/>
          <w:sz w:val="24"/>
          <w:szCs w:val="24"/>
          <w:lang w:eastAsia="ja-JP"/>
        </w:rPr>
        <w:t>Economic Journal</w:t>
      </w:r>
      <w:r>
        <w:rPr>
          <w:noProof/>
          <w:sz w:val="24"/>
          <w:szCs w:val="24"/>
          <w:lang w:eastAsia="ja-JP"/>
        </w:rPr>
        <w:t>, 127, F563-F580.</w:t>
      </w:r>
    </w:p>
    <w:p w14:paraId="0DC4BBA6" w14:textId="77777777" w:rsidR="0043186A" w:rsidRDefault="00951C79" w:rsidP="007B2FEF">
      <w:pPr>
        <w:spacing w:afterLines="100" w:after="240" w:line="276" w:lineRule="auto"/>
        <w:ind w:left="566" w:hangingChars="236" w:hanging="566"/>
        <w:jc w:val="both"/>
        <w:rPr>
          <w:noProof/>
          <w:sz w:val="24"/>
          <w:szCs w:val="24"/>
          <w:lang w:eastAsia="ja-JP"/>
        </w:rPr>
      </w:pPr>
      <w:r>
        <w:rPr>
          <w:noProof/>
          <w:sz w:val="24"/>
          <w:szCs w:val="24"/>
          <w:lang w:eastAsia="ja-JP"/>
        </w:rPr>
        <w:t xml:space="preserve">Allen, F., Morris, S., and Postlewaite, A. (1993) Finite Bubbles with Short Sale Constraints and Asymmetric Information, </w:t>
      </w:r>
      <w:r>
        <w:rPr>
          <w:i/>
          <w:noProof/>
          <w:sz w:val="24"/>
          <w:szCs w:val="24"/>
          <w:lang w:eastAsia="ja-JP"/>
        </w:rPr>
        <w:t>Journal of Economic Theory</w:t>
      </w:r>
      <w:r>
        <w:rPr>
          <w:noProof/>
          <w:sz w:val="24"/>
          <w:szCs w:val="24"/>
          <w:lang w:eastAsia="ja-JP"/>
        </w:rPr>
        <w:t>, 61, 206-229.</w:t>
      </w:r>
      <w:bookmarkEnd w:id="1"/>
    </w:p>
    <w:p w14:paraId="4F5F92D1" w14:textId="77777777" w:rsidR="00EF7E37" w:rsidRPr="00A117A6" w:rsidRDefault="00951C79">
      <w:pPr>
        <w:pStyle w:val="Textkrper"/>
        <w:spacing w:after="240" w:line="276" w:lineRule="auto"/>
        <w:ind w:left="567" w:hanging="567"/>
      </w:pPr>
      <w:r>
        <w:t xml:space="preserve">Allen, F., Morris, S., and Shin, H. S. (2006) Beauty Contests and </w:t>
      </w:r>
      <w:r w:rsidR="005577B4">
        <w:t>I</w:t>
      </w:r>
      <w:r>
        <w:t xml:space="preserve">terated </w:t>
      </w:r>
      <w:r w:rsidR="005577B4">
        <w:t>E</w:t>
      </w:r>
      <w:r>
        <w:t xml:space="preserve">xpectations in </w:t>
      </w:r>
      <w:r w:rsidR="005577B4">
        <w:t>S</w:t>
      </w:r>
      <w:r>
        <w:t xml:space="preserve">ecurity </w:t>
      </w:r>
      <w:r w:rsidR="005577B4">
        <w:t>M</w:t>
      </w:r>
      <w:r>
        <w:t xml:space="preserve">arkets, </w:t>
      </w:r>
      <w:r w:rsidR="005B1E74" w:rsidRPr="0045253B">
        <w:rPr>
          <w:i/>
        </w:rPr>
        <w:t>The</w:t>
      </w:r>
      <w:r w:rsidR="00335175">
        <w:rPr>
          <w:rFonts w:hint="eastAsia"/>
        </w:rPr>
        <w:t xml:space="preserve"> </w:t>
      </w:r>
      <w:r>
        <w:rPr>
          <w:i/>
        </w:rPr>
        <w:t>Review of Financial Studies</w:t>
      </w:r>
      <w:r>
        <w:t>, 19, 719-752.</w:t>
      </w:r>
    </w:p>
    <w:p w14:paraId="209028A8" w14:textId="77777777" w:rsidR="00EA4597" w:rsidRPr="00EA4597" w:rsidRDefault="00EA4597">
      <w:pPr>
        <w:pStyle w:val="Textkrper"/>
        <w:spacing w:after="240" w:line="276" w:lineRule="auto"/>
        <w:ind w:left="567" w:hanging="567"/>
      </w:pPr>
      <w:proofErr w:type="spellStart"/>
      <w:r w:rsidRPr="00922C92">
        <w:rPr>
          <w:color w:val="000000"/>
          <w:shd w:val="clear" w:color="auto" w:fill="FFFFFF"/>
        </w:rPr>
        <w:t>Amershi</w:t>
      </w:r>
      <w:proofErr w:type="spellEnd"/>
      <w:r w:rsidRPr="00922C92">
        <w:rPr>
          <w:color w:val="000000"/>
          <w:shd w:val="clear" w:color="auto" w:fill="FFFFFF"/>
        </w:rPr>
        <w:t>, A</w:t>
      </w:r>
      <w:r w:rsidR="00EA662D">
        <w:rPr>
          <w:rFonts w:hint="eastAsia"/>
          <w:color w:val="000000"/>
          <w:shd w:val="clear" w:color="auto" w:fill="FFFFFF"/>
        </w:rPr>
        <w:t xml:space="preserve">. </w:t>
      </w:r>
      <w:r w:rsidRPr="00922C92">
        <w:rPr>
          <w:color w:val="000000"/>
          <w:shd w:val="clear" w:color="auto" w:fill="FFFFFF"/>
        </w:rPr>
        <w:t>H. and Sunder</w:t>
      </w:r>
      <w:r w:rsidR="00724786">
        <w:rPr>
          <w:rFonts w:hint="eastAsia"/>
          <w:color w:val="000000"/>
          <w:shd w:val="clear" w:color="auto" w:fill="FFFFFF"/>
        </w:rPr>
        <w:t xml:space="preserve"> S</w:t>
      </w:r>
      <w:r w:rsidRPr="00922C92">
        <w:rPr>
          <w:color w:val="000000"/>
          <w:shd w:val="clear" w:color="auto" w:fill="FFFFFF"/>
        </w:rPr>
        <w:t xml:space="preserve">. </w:t>
      </w:r>
      <w:r w:rsidR="00724786">
        <w:rPr>
          <w:rFonts w:hint="eastAsia"/>
          <w:color w:val="000000"/>
          <w:shd w:val="clear" w:color="auto" w:fill="FFFFFF"/>
        </w:rPr>
        <w:t xml:space="preserve">(1987) </w:t>
      </w:r>
      <w:r w:rsidRPr="00922C92">
        <w:rPr>
          <w:color w:val="000000"/>
          <w:shd w:val="clear" w:color="auto" w:fill="FFFFFF"/>
        </w:rPr>
        <w:t>Failure of Stock Prices to Discipline Managers in a R</w:t>
      </w:r>
      <w:r w:rsidRPr="00922C92">
        <w:rPr>
          <w:color w:val="000000"/>
          <w:shd w:val="clear" w:color="auto" w:fill="FFFFFF"/>
        </w:rPr>
        <w:t>a</w:t>
      </w:r>
      <w:r w:rsidRPr="00922C92">
        <w:rPr>
          <w:color w:val="000000"/>
          <w:shd w:val="clear" w:color="auto" w:fill="FFFFFF"/>
        </w:rPr>
        <w:t>tional Expectations Economy</w:t>
      </w:r>
      <w:r w:rsidR="00724786">
        <w:rPr>
          <w:rFonts w:hint="eastAsia"/>
          <w:color w:val="000000"/>
          <w:shd w:val="clear" w:color="auto" w:fill="FFFFFF"/>
        </w:rPr>
        <w:t>,</w:t>
      </w:r>
      <w:r w:rsidRPr="00922C92">
        <w:rPr>
          <w:rStyle w:val="apple-converted-space"/>
          <w:color w:val="000000"/>
          <w:shd w:val="clear" w:color="auto" w:fill="FFFFFF"/>
        </w:rPr>
        <w:t> </w:t>
      </w:r>
      <w:r w:rsidRPr="00922C92">
        <w:rPr>
          <w:rStyle w:val="Hervorhebung"/>
          <w:color w:val="000000"/>
          <w:shd w:val="clear" w:color="auto" w:fill="FFFFFF"/>
        </w:rPr>
        <w:t>Journal of Accounting Research</w:t>
      </w:r>
      <w:r w:rsidR="00DC7768">
        <w:rPr>
          <w:rStyle w:val="Hervorhebung"/>
          <w:color w:val="000000"/>
          <w:shd w:val="clear" w:color="auto" w:fill="FFFFFF"/>
        </w:rPr>
        <w:t>,</w:t>
      </w:r>
      <w:r w:rsidRPr="00922C92">
        <w:rPr>
          <w:rStyle w:val="apple-converted-space"/>
          <w:color w:val="000000"/>
          <w:shd w:val="clear" w:color="auto" w:fill="FFFFFF"/>
        </w:rPr>
        <w:t> </w:t>
      </w:r>
      <w:r w:rsidRPr="00922C92">
        <w:rPr>
          <w:color w:val="000000"/>
          <w:shd w:val="clear" w:color="auto" w:fill="FFFFFF"/>
        </w:rPr>
        <w:t>25, 177-195.</w:t>
      </w:r>
      <w:r w:rsidRPr="00922C92">
        <w:rPr>
          <w:rStyle w:val="apple-converted-space"/>
          <w:color w:val="000000"/>
          <w:shd w:val="clear" w:color="auto" w:fill="FFFFFF"/>
        </w:rPr>
        <w:t> </w:t>
      </w:r>
    </w:p>
    <w:p w14:paraId="55746882" w14:textId="77777777" w:rsidR="003A23C5" w:rsidRPr="00DC7768" w:rsidRDefault="003A23C5">
      <w:pPr>
        <w:pStyle w:val="Textkrper"/>
        <w:spacing w:after="240" w:line="276" w:lineRule="auto"/>
        <w:ind w:left="567" w:hanging="567"/>
      </w:pPr>
      <w:proofErr w:type="spellStart"/>
      <w:r>
        <w:rPr>
          <w:rFonts w:hint="eastAsia"/>
        </w:rPr>
        <w:t>Aumann</w:t>
      </w:r>
      <w:proofErr w:type="spellEnd"/>
      <w:r w:rsidR="00DC7768">
        <w:t>, R. J.</w:t>
      </w:r>
      <w:r>
        <w:rPr>
          <w:rFonts w:hint="eastAsia"/>
        </w:rPr>
        <w:t xml:space="preserve"> (1995)</w:t>
      </w:r>
      <w:r w:rsidR="00DC7768">
        <w:t xml:space="preserve"> Backward Induction and Common Knowledge of Rationality, </w:t>
      </w:r>
      <w:r w:rsidR="00DC7768" w:rsidRPr="004250FA">
        <w:rPr>
          <w:i/>
        </w:rPr>
        <w:t>Games and Economic Behavior</w:t>
      </w:r>
      <w:r w:rsidR="00DC7768">
        <w:t>, 8, 6-19.</w:t>
      </w:r>
    </w:p>
    <w:p w14:paraId="6DDA14E5" w14:textId="77777777" w:rsidR="003A23C5" w:rsidRDefault="003A23C5">
      <w:pPr>
        <w:pStyle w:val="Textkrper"/>
        <w:spacing w:after="240" w:line="276" w:lineRule="auto"/>
        <w:ind w:left="567" w:hanging="567"/>
      </w:pPr>
      <w:proofErr w:type="spellStart"/>
      <w:r>
        <w:rPr>
          <w:rFonts w:hint="eastAsia"/>
        </w:rPr>
        <w:t>Bao</w:t>
      </w:r>
      <w:proofErr w:type="spellEnd"/>
      <w:r w:rsidR="00DC7768">
        <w:t xml:space="preserve">, T., Hommes, C., </w:t>
      </w:r>
      <w:proofErr w:type="spellStart"/>
      <w:r w:rsidR="00DC7768">
        <w:t>Sonnemans</w:t>
      </w:r>
      <w:proofErr w:type="spellEnd"/>
      <w:r w:rsidR="00DC7768">
        <w:t xml:space="preserve">, J., and </w:t>
      </w:r>
      <w:proofErr w:type="spellStart"/>
      <w:r w:rsidR="00DC7768">
        <w:t>Tuinstra</w:t>
      </w:r>
      <w:proofErr w:type="spellEnd"/>
      <w:r w:rsidR="00DC7768">
        <w:t xml:space="preserve">, J. </w:t>
      </w:r>
      <w:r>
        <w:rPr>
          <w:rFonts w:hint="eastAsia"/>
        </w:rPr>
        <w:t>(2012)</w:t>
      </w:r>
      <w:r w:rsidR="00DC7768">
        <w:t xml:space="preserve"> Individual Expectations, Li</w:t>
      </w:r>
      <w:r w:rsidR="00DC7768">
        <w:t>m</w:t>
      </w:r>
      <w:r w:rsidR="00DC7768">
        <w:t xml:space="preserve">ited Rationality and Aggregate Outcomes, </w:t>
      </w:r>
      <w:r w:rsidR="00DC7768" w:rsidRPr="004250FA">
        <w:rPr>
          <w:i/>
        </w:rPr>
        <w:t>Journal of Economic Dynamics and Control</w:t>
      </w:r>
      <w:r w:rsidR="00DC7768">
        <w:t>, 36, 1101-1120.</w:t>
      </w:r>
    </w:p>
    <w:p w14:paraId="626094F1" w14:textId="77777777" w:rsidR="003A23C5" w:rsidRDefault="00DC7768">
      <w:pPr>
        <w:pStyle w:val="Textkrper"/>
        <w:spacing w:after="240" w:line="276" w:lineRule="auto"/>
        <w:ind w:left="567" w:hanging="567"/>
      </w:pPr>
      <w:proofErr w:type="spellStart"/>
      <w:proofErr w:type="gramStart"/>
      <w:r>
        <w:rPr>
          <w:rFonts w:hint="eastAsia"/>
        </w:rPr>
        <w:t>Bao</w:t>
      </w:r>
      <w:proofErr w:type="spellEnd"/>
      <w:r>
        <w:t xml:space="preserve">, T., Duffy, and Hommes, C. </w:t>
      </w:r>
      <w:r>
        <w:rPr>
          <w:rFonts w:hint="eastAsia"/>
        </w:rPr>
        <w:t>(201</w:t>
      </w:r>
      <w:r>
        <w:t>3</w:t>
      </w:r>
      <w:r>
        <w:rPr>
          <w:rFonts w:hint="eastAsia"/>
        </w:rPr>
        <w:t>)</w:t>
      </w:r>
      <w:r>
        <w:t xml:space="preserve"> Learning, Forecasting and Optimizing: An Exper</w:t>
      </w:r>
      <w:r>
        <w:t>i</w:t>
      </w:r>
      <w:r>
        <w:t xml:space="preserve">mental Study, </w:t>
      </w:r>
      <w:r w:rsidRPr="004250FA">
        <w:rPr>
          <w:i/>
        </w:rPr>
        <w:t>European Economic Review</w:t>
      </w:r>
      <w:r>
        <w:t>, 61, 186-204.</w:t>
      </w:r>
      <w:proofErr w:type="gramEnd"/>
    </w:p>
    <w:p w14:paraId="2E3ED637" w14:textId="77777777" w:rsidR="00EF7E37" w:rsidRPr="00A117A6" w:rsidRDefault="00951C79">
      <w:pPr>
        <w:pStyle w:val="Textkrper"/>
        <w:spacing w:after="240" w:line="276" w:lineRule="auto"/>
        <w:ind w:left="567" w:hanging="567"/>
      </w:pPr>
      <w:r>
        <w:t xml:space="preserve">Bernardo, A. E. and Welch, I. (2004) Liquidity and </w:t>
      </w:r>
      <w:r w:rsidR="005577B4">
        <w:t>F</w:t>
      </w:r>
      <w:r>
        <w:t xml:space="preserve">inancial </w:t>
      </w:r>
      <w:r w:rsidR="005577B4">
        <w:t>M</w:t>
      </w:r>
      <w:r>
        <w:t xml:space="preserve">arket </w:t>
      </w:r>
      <w:r w:rsidR="005577B4">
        <w:t>R</w:t>
      </w:r>
      <w:r>
        <w:t xml:space="preserve">uns, </w:t>
      </w:r>
      <w:r>
        <w:rPr>
          <w:i/>
        </w:rPr>
        <w:t>Quarterly Journal of Economics</w:t>
      </w:r>
      <w:r>
        <w:t>, 1</w:t>
      </w:r>
      <w:r w:rsidR="005B1E74" w:rsidRPr="0045253B">
        <w:t>19</w:t>
      </w:r>
      <w:r>
        <w:t>, 135-158.</w:t>
      </w:r>
    </w:p>
    <w:p w14:paraId="3BACCEB4" w14:textId="77777777" w:rsidR="00EF7E37" w:rsidRPr="00A117A6" w:rsidRDefault="00951C79">
      <w:pPr>
        <w:pStyle w:val="Textkrper"/>
        <w:spacing w:after="240" w:line="276" w:lineRule="auto"/>
        <w:ind w:left="567" w:hanging="567"/>
      </w:pPr>
      <w:proofErr w:type="gramStart"/>
      <w:r>
        <w:t>Blanchard, O. J. and Watson, M. W. (1982) Bubbles, Rational Expectations and Financial Markets.</w:t>
      </w:r>
      <w:proofErr w:type="gramEnd"/>
      <w:r>
        <w:t xml:space="preserve"> </w:t>
      </w:r>
      <w:r>
        <w:rPr>
          <w:i/>
        </w:rPr>
        <w:t>Crisis in the Economic and Financial Structure</w:t>
      </w:r>
      <w:r>
        <w:t xml:space="preserve">, </w:t>
      </w:r>
      <w:proofErr w:type="spellStart"/>
      <w:r>
        <w:t>Wachtel</w:t>
      </w:r>
      <w:proofErr w:type="spellEnd"/>
      <w:r>
        <w:t>, H. M. (Ed.), Le</w:t>
      </w:r>
      <w:r>
        <w:t>x</w:t>
      </w:r>
      <w:r>
        <w:t>ington Books, 295-315.</w:t>
      </w:r>
    </w:p>
    <w:p w14:paraId="6F82973F" w14:textId="30A1B2F7" w:rsidR="00EF7E37" w:rsidRPr="00A117A6" w:rsidRDefault="00951C79">
      <w:pPr>
        <w:pStyle w:val="Textkrper"/>
        <w:spacing w:after="240" w:line="276" w:lineRule="auto"/>
        <w:ind w:left="567" w:hanging="567"/>
      </w:pPr>
      <w:proofErr w:type="spellStart"/>
      <w:r>
        <w:t>Breaban</w:t>
      </w:r>
      <w:proofErr w:type="spellEnd"/>
      <w:r>
        <w:t xml:space="preserve">, A. and Noussair, C. N. (2014) Fundamental </w:t>
      </w:r>
      <w:r w:rsidR="005577B4">
        <w:t>V</w:t>
      </w:r>
      <w:r>
        <w:t xml:space="preserve">alue </w:t>
      </w:r>
      <w:r w:rsidR="005577B4">
        <w:t>T</w:t>
      </w:r>
      <w:r>
        <w:t xml:space="preserve">rajectories and </w:t>
      </w:r>
      <w:r w:rsidR="00440147">
        <w:t>Investor</w:t>
      </w:r>
      <w:r>
        <w:t xml:space="preserve"> </w:t>
      </w:r>
      <w:r w:rsidR="005577B4">
        <w:t>C</w:t>
      </w:r>
      <w:r>
        <w:t>hara</w:t>
      </w:r>
      <w:r>
        <w:t>c</w:t>
      </w:r>
      <w:r>
        <w:t xml:space="preserve">teristics in </w:t>
      </w:r>
      <w:r w:rsidR="00D57DDE">
        <w:t>a security</w:t>
      </w:r>
      <w:r>
        <w:t xml:space="preserve"> </w:t>
      </w:r>
      <w:r w:rsidR="005577B4">
        <w:t>M</w:t>
      </w:r>
      <w:r>
        <w:t xml:space="preserve">arket </w:t>
      </w:r>
      <w:r w:rsidR="005577B4">
        <w:t>E</w:t>
      </w:r>
      <w:r>
        <w:t xml:space="preserve">xperiment, </w:t>
      </w:r>
      <w:proofErr w:type="spellStart"/>
      <w:r>
        <w:t>CentER</w:t>
      </w:r>
      <w:proofErr w:type="spellEnd"/>
      <w:r>
        <w:t xml:space="preserve"> Working paper No. 2014-010.</w:t>
      </w:r>
    </w:p>
    <w:p w14:paraId="7FF12D24" w14:textId="77777777" w:rsidR="003A23C5" w:rsidRDefault="003A23C5">
      <w:pPr>
        <w:pStyle w:val="Textkrper"/>
        <w:spacing w:after="240" w:line="276" w:lineRule="auto"/>
        <w:ind w:left="567" w:hanging="567"/>
      </w:pPr>
      <w:proofErr w:type="spellStart"/>
      <w:proofErr w:type="gramStart"/>
      <w:r>
        <w:rPr>
          <w:rFonts w:hint="eastAsia"/>
        </w:rPr>
        <w:t>Brealey</w:t>
      </w:r>
      <w:proofErr w:type="spellEnd"/>
      <w:r w:rsidR="00D85321">
        <w:t>, R. A., Myers, S. C., and Allen, F. (</w:t>
      </w:r>
      <w:r>
        <w:rPr>
          <w:rFonts w:hint="eastAsia"/>
        </w:rPr>
        <w:t>2014</w:t>
      </w:r>
      <w:r w:rsidR="00D85321">
        <w:t xml:space="preserve">) </w:t>
      </w:r>
      <w:r w:rsidR="00D85321" w:rsidRPr="004250FA">
        <w:rPr>
          <w:i/>
        </w:rPr>
        <w:t>Principles of Corporate Finance</w:t>
      </w:r>
      <w:r w:rsidR="00D85321">
        <w:t>, (11</w:t>
      </w:r>
      <w:r w:rsidR="00D85321" w:rsidRPr="004250FA">
        <w:rPr>
          <w:vertAlign w:val="superscript"/>
        </w:rPr>
        <w:t>th</w:t>
      </w:r>
      <w:r w:rsidR="00D85321">
        <w:t xml:space="preserve"> ed.), </w:t>
      </w:r>
      <w:proofErr w:type="spellStart"/>
      <w:r w:rsidR="00D85321">
        <w:t>McGrawHill</w:t>
      </w:r>
      <w:proofErr w:type="spellEnd"/>
      <w:r w:rsidR="00D85321">
        <w:t>, Berkshire.</w:t>
      </w:r>
      <w:proofErr w:type="gramEnd"/>
      <w:r w:rsidR="00D85321">
        <w:t xml:space="preserve"> </w:t>
      </w:r>
    </w:p>
    <w:p w14:paraId="625DB596" w14:textId="77777777" w:rsidR="00EF7E37" w:rsidRPr="00A117A6" w:rsidRDefault="00951C79">
      <w:pPr>
        <w:pStyle w:val="Textkrper"/>
        <w:spacing w:after="240" w:line="276" w:lineRule="auto"/>
        <w:ind w:left="567" w:hanging="567"/>
      </w:pPr>
      <w:proofErr w:type="spellStart"/>
      <w:r>
        <w:t>Caginalp</w:t>
      </w:r>
      <w:proofErr w:type="spellEnd"/>
      <w:r>
        <w:t xml:space="preserve">, G., Porter D. and Smith V. (1998) Initial </w:t>
      </w:r>
      <w:r w:rsidR="005577B4">
        <w:t>C</w:t>
      </w:r>
      <w:r>
        <w:t>ash/</w:t>
      </w:r>
      <w:r w:rsidR="005577B4">
        <w:t>S</w:t>
      </w:r>
      <w:r>
        <w:t xml:space="preserve">ecurity </w:t>
      </w:r>
      <w:r w:rsidR="005577B4">
        <w:t>R</w:t>
      </w:r>
      <w:r>
        <w:t xml:space="preserve">atio and </w:t>
      </w:r>
      <w:r w:rsidR="005577B4">
        <w:t>S</w:t>
      </w:r>
      <w:r>
        <w:t xml:space="preserve">ecurity </w:t>
      </w:r>
      <w:r w:rsidR="005577B4">
        <w:t>P</w:t>
      </w:r>
      <w:r>
        <w:t xml:space="preserve">rices: an </w:t>
      </w:r>
      <w:r w:rsidR="005577B4">
        <w:t>E</w:t>
      </w:r>
      <w:r>
        <w:t xml:space="preserve">xperimental </w:t>
      </w:r>
      <w:r w:rsidR="005577B4">
        <w:t>S</w:t>
      </w:r>
      <w:r>
        <w:t xml:space="preserve">tudy, </w:t>
      </w:r>
      <w:r>
        <w:rPr>
          <w:i/>
        </w:rPr>
        <w:t>PNAS USA</w:t>
      </w:r>
      <w:r>
        <w:t>, 95, 756–761.</w:t>
      </w:r>
    </w:p>
    <w:p w14:paraId="400C30E8" w14:textId="77777777" w:rsidR="00EF7E37" w:rsidRPr="00A117A6" w:rsidRDefault="00951C79">
      <w:pPr>
        <w:pStyle w:val="Textkrper"/>
        <w:spacing w:after="240" w:line="276" w:lineRule="auto"/>
        <w:ind w:left="567" w:hanging="567"/>
      </w:pPr>
      <w:proofErr w:type="spellStart"/>
      <w:r>
        <w:lastRenderedPageBreak/>
        <w:t>Caginalp</w:t>
      </w:r>
      <w:proofErr w:type="spellEnd"/>
      <w:r>
        <w:t xml:space="preserve">, G., Porter D. and Smith V. (2001) Financial </w:t>
      </w:r>
      <w:r w:rsidR="005577B4">
        <w:t>B</w:t>
      </w:r>
      <w:r>
        <w:t xml:space="preserve">ubbles: Excess </w:t>
      </w:r>
      <w:r w:rsidR="005577B4">
        <w:t>C</w:t>
      </w:r>
      <w:r>
        <w:t xml:space="preserve">ash, </w:t>
      </w:r>
      <w:r w:rsidR="005577B4">
        <w:t>M</w:t>
      </w:r>
      <w:r>
        <w:t xml:space="preserve">omentum and </w:t>
      </w:r>
      <w:r w:rsidR="005577B4">
        <w:t>I</w:t>
      </w:r>
      <w:r>
        <w:t xml:space="preserve">ncomplete </w:t>
      </w:r>
      <w:r w:rsidR="005577B4">
        <w:t>I</w:t>
      </w:r>
      <w:r>
        <w:t xml:space="preserve">nformation, </w:t>
      </w:r>
      <w:proofErr w:type="gramStart"/>
      <w:r>
        <w:rPr>
          <w:i/>
        </w:rPr>
        <w:t>The</w:t>
      </w:r>
      <w:proofErr w:type="gramEnd"/>
      <w:r>
        <w:rPr>
          <w:i/>
        </w:rPr>
        <w:t xml:space="preserve"> Journal of Psychology and Financial Markets</w:t>
      </w:r>
      <w:r>
        <w:t>, 2, 80–99.</w:t>
      </w:r>
    </w:p>
    <w:p w14:paraId="2EBCFFF6" w14:textId="77777777" w:rsidR="00EF7E37" w:rsidRDefault="00951C79">
      <w:pPr>
        <w:pStyle w:val="Textkrper"/>
        <w:spacing w:after="240" w:line="276" w:lineRule="auto"/>
        <w:ind w:left="567" w:hanging="567"/>
      </w:pPr>
      <w:proofErr w:type="spellStart"/>
      <w:r>
        <w:t>Caginalp</w:t>
      </w:r>
      <w:proofErr w:type="spellEnd"/>
      <w:r>
        <w:t xml:space="preserve">, G. and </w:t>
      </w:r>
      <w:proofErr w:type="spellStart"/>
      <w:r>
        <w:t>Ilieva</w:t>
      </w:r>
      <w:proofErr w:type="spellEnd"/>
      <w:r>
        <w:t xml:space="preserve">, V. (2008) </w:t>
      </w:r>
      <w:proofErr w:type="gramStart"/>
      <w:r>
        <w:t>The</w:t>
      </w:r>
      <w:proofErr w:type="gramEnd"/>
      <w:r>
        <w:t xml:space="preserve"> </w:t>
      </w:r>
      <w:r w:rsidR="005577B4">
        <w:t>D</w:t>
      </w:r>
      <w:r>
        <w:t xml:space="preserve">ynamics of </w:t>
      </w:r>
      <w:r w:rsidR="00440147">
        <w:t>Investor</w:t>
      </w:r>
      <w:r>
        <w:t xml:space="preserve"> </w:t>
      </w:r>
      <w:r w:rsidR="005577B4">
        <w:t>M</w:t>
      </w:r>
      <w:r>
        <w:t xml:space="preserve">otivations in </w:t>
      </w:r>
      <w:r w:rsidR="005577B4">
        <w:t>S</w:t>
      </w:r>
      <w:r>
        <w:t xml:space="preserve">ecurity </w:t>
      </w:r>
      <w:r w:rsidR="005577B4">
        <w:t>B</w:t>
      </w:r>
      <w:r>
        <w:t>u</w:t>
      </w:r>
      <w:r>
        <w:t>b</w:t>
      </w:r>
      <w:r>
        <w:t xml:space="preserve">bles, </w:t>
      </w:r>
      <w:r>
        <w:rPr>
          <w:i/>
        </w:rPr>
        <w:t xml:space="preserve">Journal of Economic Behavior </w:t>
      </w:r>
      <w:r w:rsidR="00335175">
        <w:rPr>
          <w:rFonts w:hint="eastAsia"/>
          <w:i/>
        </w:rPr>
        <w:t>and</w:t>
      </w:r>
      <w:r>
        <w:rPr>
          <w:i/>
        </w:rPr>
        <w:t xml:space="preserve"> </w:t>
      </w:r>
      <w:proofErr w:type="spellStart"/>
      <w:r>
        <w:rPr>
          <w:i/>
        </w:rPr>
        <w:t>Organisation</w:t>
      </w:r>
      <w:proofErr w:type="spellEnd"/>
      <w:r>
        <w:t>, 66, 641-656.</w:t>
      </w:r>
    </w:p>
    <w:p w14:paraId="23B44561" w14:textId="77777777" w:rsidR="003A23C5" w:rsidRPr="00A117A6" w:rsidRDefault="003A23C5">
      <w:pPr>
        <w:pStyle w:val="Textkrper"/>
        <w:spacing w:after="240" w:line="276" w:lineRule="auto"/>
        <w:ind w:left="567" w:hanging="567"/>
      </w:pPr>
      <w:proofErr w:type="spellStart"/>
      <w:r>
        <w:t>Camerer</w:t>
      </w:r>
      <w:proofErr w:type="spellEnd"/>
      <w:r w:rsidR="00D85321">
        <w:t>, C. (</w:t>
      </w:r>
      <w:r>
        <w:t>2003</w:t>
      </w:r>
      <w:r w:rsidR="00D85321">
        <w:t xml:space="preserve">) </w:t>
      </w:r>
      <w:r w:rsidR="00D85321" w:rsidRPr="004250FA">
        <w:rPr>
          <w:i/>
        </w:rPr>
        <w:t>Behavioral Game Theory: Experiments in Strategic Interaction</w:t>
      </w:r>
      <w:r w:rsidR="00D85321">
        <w:t>, Princ</w:t>
      </w:r>
      <w:r w:rsidR="00D85321">
        <w:t>e</w:t>
      </w:r>
      <w:r w:rsidR="00D85321">
        <w:t>ton University Press, Princeton.</w:t>
      </w:r>
    </w:p>
    <w:p w14:paraId="55D658E1" w14:textId="77777777" w:rsidR="00EF7E37" w:rsidRPr="00A117A6" w:rsidRDefault="00951C79">
      <w:pPr>
        <w:pStyle w:val="Textkrper"/>
        <w:spacing w:after="240" w:line="276" w:lineRule="auto"/>
        <w:ind w:left="567" w:hanging="567"/>
      </w:pPr>
      <w:proofErr w:type="spellStart"/>
      <w:r>
        <w:t>Cella</w:t>
      </w:r>
      <w:proofErr w:type="spellEnd"/>
      <w:r>
        <w:t xml:space="preserve"> C., </w:t>
      </w:r>
      <w:proofErr w:type="spellStart"/>
      <w:r>
        <w:t>Ellul</w:t>
      </w:r>
      <w:proofErr w:type="spellEnd"/>
      <w:r>
        <w:t xml:space="preserve"> A., and </w:t>
      </w:r>
      <w:proofErr w:type="spellStart"/>
      <w:r>
        <w:t>Giannetti</w:t>
      </w:r>
      <w:proofErr w:type="spellEnd"/>
      <w:r>
        <w:t xml:space="preserve"> M. (2013) Investors’ Horizons and the Amplification of Market Shocks, </w:t>
      </w:r>
      <w:proofErr w:type="gramStart"/>
      <w:r>
        <w:rPr>
          <w:i/>
        </w:rPr>
        <w:t>The</w:t>
      </w:r>
      <w:proofErr w:type="gramEnd"/>
      <w:r>
        <w:rPr>
          <w:i/>
        </w:rPr>
        <w:t xml:space="preserve"> Review of Financial Studies</w:t>
      </w:r>
      <w:r>
        <w:t>, 26, 1607-1648.</w:t>
      </w:r>
    </w:p>
    <w:p w14:paraId="1B1C83E3" w14:textId="77777777" w:rsidR="00D85321" w:rsidRDefault="003A23C5" w:rsidP="00D85321">
      <w:pPr>
        <w:pStyle w:val="Textkrper"/>
        <w:spacing w:after="240" w:line="276" w:lineRule="auto"/>
        <w:ind w:left="567" w:hanging="567"/>
      </w:pPr>
      <w:r>
        <w:rPr>
          <w:rFonts w:hint="eastAsia"/>
        </w:rPr>
        <w:t>Cheung</w:t>
      </w:r>
      <w:r w:rsidR="00D85321">
        <w:t xml:space="preserve">, S. L., </w:t>
      </w:r>
      <w:proofErr w:type="spellStart"/>
      <w:r w:rsidR="00D85321">
        <w:t>Hedegaard</w:t>
      </w:r>
      <w:proofErr w:type="spellEnd"/>
      <w:r w:rsidR="00D85321">
        <w:t xml:space="preserve">, M., Plan, S. </w:t>
      </w:r>
      <w:r>
        <w:rPr>
          <w:rFonts w:hint="eastAsia"/>
        </w:rPr>
        <w:t>(2014)</w:t>
      </w:r>
      <w:r w:rsidR="00D85321">
        <w:t xml:space="preserve"> To See is to Believe: Common Expectations in Experimental Asset Markets, </w:t>
      </w:r>
      <w:r w:rsidR="00D85321" w:rsidRPr="002834FE">
        <w:rPr>
          <w:i/>
        </w:rPr>
        <w:t>European Economic Review</w:t>
      </w:r>
      <w:r w:rsidR="00D85321">
        <w:t>, 66, 84-96.</w:t>
      </w:r>
    </w:p>
    <w:p w14:paraId="2FFC4E44" w14:textId="77777777" w:rsidR="00EF7E37" w:rsidRPr="00A117A6" w:rsidRDefault="00951C79">
      <w:pPr>
        <w:pStyle w:val="Textkrper"/>
        <w:spacing w:after="240" w:line="276" w:lineRule="auto"/>
        <w:ind w:left="567" w:hanging="567"/>
      </w:pPr>
      <w:r>
        <w:t>Deck, C.</w:t>
      </w:r>
      <w:r w:rsidR="00724786">
        <w:rPr>
          <w:rFonts w:hint="eastAsia"/>
        </w:rPr>
        <w:t>,</w:t>
      </w:r>
      <w:r>
        <w:t xml:space="preserve"> Porter, D. and Smith, V. L. (201</w:t>
      </w:r>
      <w:r w:rsidR="00710B96">
        <w:t>4</w:t>
      </w:r>
      <w:r>
        <w:t>) Double Bubbles in Security Markets with Mult</w:t>
      </w:r>
      <w:r>
        <w:t>i</w:t>
      </w:r>
      <w:r>
        <w:t xml:space="preserve">ple Generations, </w:t>
      </w:r>
      <w:r w:rsidR="00710B96" w:rsidRPr="004250FA">
        <w:rPr>
          <w:i/>
        </w:rPr>
        <w:t>Journal of Behavioral Finance</w:t>
      </w:r>
      <w:r w:rsidR="00710B96">
        <w:t>, 15, 79-88.</w:t>
      </w:r>
    </w:p>
    <w:p w14:paraId="7D536662" w14:textId="77777777" w:rsidR="00EF7E37" w:rsidRPr="00A117A6" w:rsidRDefault="00951C79">
      <w:pPr>
        <w:pStyle w:val="Textkrper"/>
        <w:spacing w:after="240" w:line="276" w:lineRule="auto"/>
        <w:ind w:left="567" w:hanging="567"/>
      </w:pPr>
      <w:r>
        <w:t xml:space="preserve">DeLong, J. B., Shleifer, A., </w:t>
      </w:r>
      <w:proofErr w:type="gramStart"/>
      <w:r>
        <w:t>Summers</w:t>
      </w:r>
      <w:proofErr w:type="gramEnd"/>
      <w:r>
        <w:t xml:space="preserve">, L. H., and </w:t>
      </w:r>
      <w:proofErr w:type="spellStart"/>
      <w:r>
        <w:t>Waldmann</w:t>
      </w:r>
      <w:proofErr w:type="spellEnd"/>
      <w:r>
        <w:t xml:space="preserve">, R. J. (1990a) Noise </w:t>
      </w:r>
      <w:r w:rsidR="00440147">
        <w:t>Investor</w:t>
      </w:r>
      <w:r>
        <w:t xml:space="preserve"> Risk in Financial Markets, </w:t>
      </w:r>
      <w:r>
        <w:rPr>
          <w:i/>
        </w:rPr>
        <w:t>Journal of Political Economy</w:t>
      </w:r>
      <w:r>
        <w:t>, 98, 703-738</w:t>
      </w:r>
    </w:p>
    <w:p w14:paraId="038BBC16" w14:textId="77777777" w:rsidR="0043186A" w:rsidRDefault="00951C79" w:rsidP="007B2FEF">
      <w:pPr>
        <w:spacing w:afterLines="100" w:after="240" w:line="276" w:lineRule="auto"/>
        <w:ind w:left="564" w:hangingChars="235" w:hanging="564"/>
        <w:jc w:val="both"/>
        <w:rPr>
          <w:noProof/>
          <w:sz w:val="24"/>
          <w:szCs w:val="24"/>
          <w:lang w:eastAsia="ja-JP"/>
        </w:rPr>
      </w:pPr>
      <w:bookmarkStart w:id="2" w:name="_ENREF_9"/>
      <w:r>
        <w:rPr>
          <w:noProof/>
          <w:sz w:val="24"/>
          <w:szCs w:val="24"/>
          <w:lang w:eastAsia="ja-JP"/>
        </w:rPr>
        <w:t xml:space="preserve">DeLong, J. B., Shleifer, A., Summers, L. H., and Waldmann, R. J. (1990b). Positive Feedback Investment Strategies and Destabilizing Rational Speculation, </w:t>
      </w:r>
      <w:r w:rsidR="005B1E74" w:rsidRPr="0045253B">
        <w:rPr>
          <w:i/>
          <w:noProof/>
          <w:sz w:val="24"/>
          <w:szCs w:val="24"/>
          <w:lang w:eastAsia="ja-JP"/>
        </w:rPr>
        <w:t>The</w:t>
      </w:r>
      <w:r w:rsidR="00335175">
        <w:rPr>
          <w:rFonts w:hint="eastAsia"/>
          <w:noProof/>
          <w:sz w:val="24"/>
          <w:szCs w:val="24"/>
          <w:lang w:eastAsia="ja-JP"/>
        </w:rPr>
        <w:t xml:space="preserve"> </w:t>
      </w:r>
      <w:r>
        <w:rPr>
          <w:i/>
          <w:noProof/>
          <w:sz w:val="24"/>
          <w:szCs w:val="24"/>
          <w:lang w:eastAsia="ja-JP"/>
        </w:rPr>
        <w:t>Journal of Finance</w:t>
      </w:r>
      <w:r>
        <w:rPr>
          <w:noProof/>
          <w:sz w:val="24"/>
          <w:szCs w:val="24"/>
          <w:lang w:eastAsia="ja-JP"/>
        </w:rPr>
        <w:t>, 45, 379-395.</w:t>
      </w:r>
      <w:bookmarkEnd w:id="2"/>
    </w:p>
    <w:p w14:paraId="22BB3C7C" w14:textId="04DC5A33" w:rsidR="008179E0" w:rsidRPr="008179E0" w:rsidRDefault="008179E0" w:rsidP="008179E0">
      <w:pPr>
        <w:spacing w:afterLines="100" w:after="240" w:line="276" w:lineRule="auto"/>
        <w:ind w:left="564" w:hangingChars="235" w:hanging="564"/>
        <w:jc w:val="both"/>
        <w:rPr>
          <w:noProof/>
          <w:sz w:val="24"/>
          <w:szCs w:val="24"/>
          <w:lang w:eastAsia="ja-JP"/>
        </w:rPr>
      </w:pPr>
      <w:r>
        <w:rPr>
          <w:noProof/>
          <w:sz w:val="24"/>
          <w:szCs w:val="24"/>
          <w:lang w:eastAsia="ja-JP"/>
        </w:rPr>
        <w:t>De Martino, B.,</w:t>
      </w:r>
      <w:r w:rsidR="008157CF">
        <w:rPr>
          <w:noProof/>
          <w:sz w:val="24"/>
          <w:szCs w:val="24"/>
          <w:lang w:eastAsia="ja-JP"/>
        </w:rPr>
        <w:t xml:space="preserve"> </w:t>
      </w:r>
      <w:hyperlink r:id="rId14" w:history="1">
        <w:r w:rsidRPr="008179E0">
          <w:rPr>
            <w:noProof/>
            <w:sz w:val="24"/>
            <w:szCs w:val="24"/>
            <w:lang w:eastAsia="ja-JP"/>
          </w:rPr>
          <w:t>O’Doherty</w:t>
        </w:r>
      </w:hyperlink>
      <w:r w:rsidRPr="008179E0">
        <w:rPr>
          <w:noProof/>
          <w:sz w:val="24"/>
          <w:szCs w:val="24"/>
          <w:lang w:eastAsia="ja-JP"/>
        </w:rPr>
        <w:t>,</w:t>
      </w:r>
      <w:r>
        <w:rPr>
          <w:noProof/>
          <w:sz w:val="24"/>
          <w:szCs w:val="24"/>
          <w:lang w:eastAsia="ja-JP"/>
        </w:rPr>
        <w:t xml:space="preserve"> J.P., </w:t>
      </w:r>
      <w:hyperlink r:id="rId15" w:history="1">
        <w:r w:rsidRPr="008179E0">
          <w:rPr>
            <w:noProof/>
            <w:sz w:val="24"/>
            <w:szCs w:val="24"/>
            <w:lang w:eastAsia="ja-JP"/>
          </w:rPr>
          <w:t>Ray</w:t>
        </w:r>
      </w:hyperlink>
      <w:r w:rsidRPr="008179E0">
        <w:rPr>
          <w:noProof/>
          <w:sz w:val="24"/>
          <w:szCs w:val="24"/>
          <w:lang w:eastAsia="ja-JP"/>
        </w:rPr>
        <w:t>,</w:t>
      </w:r>
      <w:r>
        <w:rPr>
          <w:noProof/>
          <w:sz w:val="24"/>
          <w:szCs w:val="24"/>
          <w:lang w:eastAsia="ja-JP"/>
        </w:rPr>
        <w:t xml:space="preserve"> R., Bossaerts, P. and Camerer, C. (2013) </w:t>
      </w:r>
      <w:r w:rsidRPr="008179E0">
        <w:rPr>
          <w:noProof/>
          <w:sz w:val="24"/>
          <w:szCs w:val="24"/>
          <w:lang w:eastAsia="ja-JP"/>
        </w:rPr>
        <w:t>In the Mind of the Market: Theory of Mind Biases Value Computation during Financial Bubbles</w:t>
      </w:r>
      <w:r>
        <w:rPr>
          <w:noProof/>
          <w:sz w:val="24"/>
          <w:szCs w:val="24"/>
          <w:lang w:eastAsia="ja-JP"/>
        </w:rPr>
        <w:t xml:space="preserve">, </w:t>
      </w:r>
      <w:hyperlink r:id="rId16" w:history="1">
        <w:r w:rsidRPr="008179E0">
          <w:rPr>
            <w:i/>
            <w:noProof/>
            <w:sz w:val="24"/>
            <w:szCs w:val="24"/>
            <w:lang w:eastAsia="ja-JP"/>
          </w:rPr>
          <w:t>Neuron</w:t>
        </w:r>
      </w:hyperlink>
      <w:r>
        <w:rPr>
          <w:noProof/>
          <w:sz w:val="24"/>
          <w:szCs w:val="24"/>
          <w:lang w:eastAsia="ja-JP"/>
        </w:rPr>
        <w:t>,</w:t>
      </w:r>
      <w:r w:rsidRPr="008179E0">
        <w:rPr>
          <w:noProof/>
          <w:sz w:val="24"/>
          <w:szCs w:val="24"/>
          <w:lang w:eastAsia="ja-JP"/>
        </w:rPr>
        <w:t xml:space="preserve"> 79(6)</w:t>
      </w:r>
      <w:r>
        <w:rPr>
          <w:noProof/>
          <w:sz w:val="24"/>
          <w:szCs w:val="24"/>
          <w:lang w:eastAsia="ja-JP"/>
        </w:rPr>
        <w:t xml:space="preserve">, </w:t>
      </w:r>
      <w:r w:rsidRPr="008179E0">
        <w:rPr>
          <w:noProof/>
          <w:sz w:val="24"/>
          <w:szCs w:val="24"/>
          <w:lang w:eastAsia="ja-JP"/>
        </w:rPr>
        <w:t>1222–1231</w:t>
      </w:r>
      <w:r>
        <w:rPr>
          <w:noProof/>
          <w:sz w:val="24"/>
          <w:szCs w:val="24"/>
          <w:lang w:eastAsia="ja-JP"/>
        </w:rPr>
        <w:t>.</w:t>
      </w:r>
    </w:p>
    <w:p w14:paraId="040C2622" w14:textId="77777777" w:rsidR="00EF7E37" w:rsidRPr="00A117A6" w:rsidRDefault="00951C79">
      <w:pPr>
        <w:spacing w:line="480" w:lineRule="auto"/>
        <w:ind w:left="720" w:hanging="720"/>
        <w:jc w:val="both"/>
        <w:rPr>
          <w:sz w:val="24"/>
        </w:rPr>
      </w:pPr>
      <w:proofErr w:type="gramStart"/>
      <w:r>
        <w:rPr>
          <w:sz w:val="24"/>
        </w:rPr>
        <w:t>D</w:t>
      </w:r>
      <w:r>
        <w:rPr>
          <w:sz w:val="24"/>
          <w:lang w:eastAsia="ja-JP"/>
        </w:rPr>
        <w:t xml:space="preserve">ow, J. and Gorton, G. (1994) Arbitrage </w:t>
      </w:r>
      <w:r w:rsidR="005577B4">
        <w:rPr>
          <w:sz w:val="24"/>
          <w:lang w:eastAsia="ja-JP"/>
        </w:rPr>
        <w:t>C</w:t>
      </w:r>
      <w:r>
        <w:rPr>
          <w:sz w:val="24"/>
          <w:lang w:eastAsia="ja-JP"/>
        </w:rPr>
        <w:t>hains.</w:t>
      </w:r>
      <w:proofErr w:type="gramEnd"/>
      <w:r>
        <w:rPr>
          <w:sz w:val="24"/>
        </w:rPr>
        <w:t xml:space="preserve"> </w:t>
      </w:r>
      <w:r w:rsidR="006E6B7F" w:rsidRPr="009251C7">
        <w:rPr>
          <w:i/>
          <w:sz w:val="24"/>
          <w:lang w:eastAsia="ja-JP"/>
        </w:rPr>
        <w:t xml:space="preserve">The </w:t>
      </w:r>
      <w:r>
        <w:rPr>
          <w:i/>
          <w:iCs/>
          <w:sz w:val="24"/>
          <w:lang w:eastAsia="ja-JP"/>
        </w:rPr>
        <w:t>Journal of Finance</w:t>
      </w:r>
      <w:r w:rsidR="006E6B7F" w:rsidRPr="009251C7">
        <w:rPr>
          <w:iCs/>
          <w:sz w:val="24"/>
          <w:lang w:eastAsia="ja-JP"/>
        </w:rPr>
        <w:t>,</w:t>
      </w:r>
      <w:r>
        <w:rPr>
          <w:iCs/>
          <w:sz w:val="24"/>
          <w:lang w:eastAsia="ja-JP"/>
        </w:rPr>
        <w:t xml:space="preserve"> 49, </w:t>
      </w:r>
      <w:r>
        <w:rPr>
          <w:sz w:val="24"/>
          <w:lang w:eastAsia="ja-JP"/>
        </w:rPr>
        <w:t>819</w:t>
      </w:r>
      <w:r>
        <w:rPr>
          <w:sz w:val="24"/>
        </w:rPr>
        <w:t>-</w:t>
      </w:r>
      <w:r>
        <w:rPr>
          <w:sz w:val="24"/>
          <w:lang w:eastAsia="ja-JP"/>
        </w:rPr>
        <w:t>849</w:t>
      </w:r>
      <w:r>
        <w:rPr>
          <w:sz w:val="24"/>
        </w:rPr>
        <w:t>.</w:t>
      </w:r>
    </w:p>
    <w:p w14:paraId="611FABF5" w14:textId="77777777" w:rsidR="00EF7E37" w:rsidRPr="00A117A6" w:rsidRDefault="00951C79">
      <w:pPr>
        <w:pStyle w:val="Textkrper"/>
        <w:spacing w:after="240" w:line="276" w:lineRule="auto"/>
        <w:ind w:left="567" w:hanging="567"/>
      </w:pPr>
      <w:proofErr w:type="spellStart"/>
      <w:r>
        <w:t>Fischbacher</w:t>
      </w:r>
      <w:proofErr w:type="spellEnd"/>
      <w:r>
        <w:t xml:space="preserve">, U. (2007) z-Tree: Zurich Toolbox for Ready-made Economic </w:t>
      </w:r>
      <w:r w:rsidR="005B1E74" w:rsidRPr="0045253B">
        <w:t>Experiments</w:t>
      </w:r>
      <w:r w:rsidR="005577B4">
        <w:rPr>
          <w:rFonts w:hint="eastAsia"/>
        </w:rPr>
        <w:t>,</w:t>
      </w:r>
      <w:r>
        <w:rPr>
          <w:i/>
        </w:rPr>
        <w:t xml:space="preserve"> E</w:t>
      </w:r>
      <w:r>
        <w:rPr>
          <w:i/>
        </w:rPr>
        <w:t>x</w:t>
      </w:r>
      <w:r>
        <w:rPr>
          <w:i/>
        </w:rPr>
        <w:t>perimental Economics</w:t>
      </w:r>
      <w:r>
        <w:t>, 10, 171-178.</w:t>
      </w:r>
    </w:p>
    <w:p w14:paraId="1714CC65" w14:textId="77777777" w:rsidR="00EF7E37" w:rsidRPr="00A117A6" w:rsidRDefault="00951C79">
      <w:pPr>
        <w:pStyle w:val="Textkrper"/>
        <w:spacing w:after="240" w:line="276" w:lineRule="auto"/>
        <w:ind w:left="567" w:hanging="567"/>
      </w:pPr>
      <w:proofErr w:type="spellStart"/>
      <w:r>
        <w:t>Froot</w:t>
      </w:r>
      <w:proofErr w:type="spellEnd"/>
      <w:r>
        <w:t xml:space="preserve"> K.A., </w:t>
      </w:r>
      <w:proofErr w:type="spellStart"/>
      <w:r>
        <w:t>Scharfstein</w:t>
      </w:r>
      <w:proofErr w:type="spellEnd"/>
      <w:r>
        <w:t xml:space="preserve"> D.S., and Stein J.C. (1992) Herd on the Street: Informational Ineff</w:t>
      </w:r>
      <w:r>
        <w:t>i</w:t>
      </w:r>
      <w:r>
        <w:t xml:space="preserve">ciencies in a Market with Short-Term Speculation, </w:t>
      </w:r>
      <w:proofErr w:type="gramStart"/>
      <w:r>
        <w:rPr>
          <w:i/>
        </w:rPr>
        <w:t>The</w:t>
      </w:r>
      <w:proofErr w:type="gramEnd"/>
      <w:r>
        <w:rPr>
          <w:i/>
        </w:rPr>
        <w:t xml:space="preserve"> Journal of Finance</w:t>
      </w:r>
      <w:r>
        <w:t>, 47, 1461-1484.</w:t>
      </w:r>
    </w:p>
    <w:p w14:paraId="13F1F1DF" w14:textId="77777777" w:rsidR="003A23C5" w:rsidRPr="00A72C6F" w:rsidRDefault="00FD2D84">
      <w:pPr>
        <w:pStyle w:val="Textkrper"/>
        <w:spacing w:after="240" w:line="276" w:lineRule="auto"/>
        <w:ind w:left="567" w:hanging="567"/>
      </w:pPr>
      <w:proofErr w:type="spellStart"/>
      <w:r w:rsidRPr="00A72C6F">
        <w:t>Geanakoplos</w:t>
      </w:r>
      <w:proofErr w:type="spellEnd"/>
      <w:r w:rsidRPr="00A72C6F">
        <w:t xml:space="preserve">, J. (1992) Common Knowledge, </w:t>
      </w:r>
      <w:r w:rsidRPr="00A72C6F">
        <w:rPr>
          <w:i/>
        </w:rPr>
        <w:t>Journal of Economic Perspectives</w:t>
      </w:r>
      <w:r w:rsidRPr="00A72C6F">
        <w:t>, 6, 53-82.</w:t>
      </w:r>
    </w:p>
    <w:p w14:paraId="43D8ADCF" w14:textId="77777777" w:rsidR="00EF7E37" w:rsidRPr="00F5634E" w:rsidRDefault="00951C79">
      <w:pPr>
        <w:pStyle w:val="Textkrper"/>
        <w:spacing w:after="240" w:line="276" w:lineRule="auto"/>
        <w:ind w:left="567" w:hanging="567"/>
      </w:pPr>
      <w:r>
        <w:rPr>
          <w:lang w:val="de-DE"/>
        </w:rPr>
        <w:t xml:space="preserve">Greiner, B. (2004) Forschung und wissenschaftliches Rechnen 2003, An Online </w:t>
      </w:r>
      <w:proofErr w:type="spellStart"/>
      <w:r>
        <w:rPr>
          <w:lang w:val="de-DE"/>
        </w:rPr>
        <w:t>Recruitment</w:t>
      </w:r>
      <w:proofErr w:type="spellEnd"/>
      <w:r>
        <w:rPr>
          <w:lang w:val="de-DE"/>
        </w:rPr>
        <w:t xml:space="preserve"> System for Economic Experiments. </w:t>
      </w:r>
      <w:proofErr w:type="gramStart"/>
      <w:r w:rsidRPr="00F5634E">
        <w:t xml:space="preserve">GWDG </w:t>
      </w:r>
      <w:proofErr w:type="spellStart"/>
      <w:r w:rsidRPr="00F5634E">
        <w:t>Bericht</w:t>
      </w:r>
      <w:proofErr w:type="spellEnd"/>
      <w:r w:rsidRPr="00F5634E">
        <w:t xml:space="preserve"> 63.</w:t>
      </w:r>
      <w:proofErr w:type="gramEnd"/>
      <w:r w:rsidRPr="00F5634E">
        <w:t xml:space="preserve"> </w:t>
      </w:r>
      <w:proofErr w:type="spellStart"/>
      <w:proofErr w:type="gramStart"/>
      <w:r w:rsidRPr="00F5634E">
        <w:t>Gesellschaft</w:t>
      </w:r>
      <w:proofErr w:type="spellEnd"/>
      <w:r w:rsidRPr="00F5634E">
        <w:t xml:space="preserve"> </w:t>
      </w:r>
      <w:proofErr w:type="spellStart"/>
      <w:r w:rsidRPr="00F5634E">
        <w:t>fuer</w:t>
      </w:r>
      <w:proofErr w:type="spellEnd"/>
      <w:r w:rsidRPr="00F5634E">
        <w:t xml:space="preserve"> </w:t>
      </w:r>
      <w:proofErr w:type="spellStart"/>
      <w:r w:rsidRPr="00F5634E">
        <w:t>Wissenschaf</w:t>
      </w:r>
      <w:r w:rsidRPr="00F5634E">
        <w:t>t</w:t>
      </w:r>
      <w:r w:rsidRPr="00F5634E">
        <w:t>liche</w:t>
      </w:r>
      <w:proofErr w:type="spellEnd"/>
      <w:r w:rsidRPr="00F5634E">
        <w:t xml:space="preserve"> </w:t>
      </w:r>
      <w:proofErr w:type="spellStart"/>
      <w:r w:rsidRPr="00F5634E">
        <w:t>Datenverarbeitung</w:t>
      </w:r>
      <w:proofErr w:type="spellEnd"/>
      <w:r w:rsidRPr="00F5634E">
        <w:t xml:space="preserve">, </w:t>
      </w:r>
      <w:proofErr w:type="spellStart"/>
      <w:r w:rsidRPr="00F5634E">
        <w:t>Goettingen</w:t>
      </w:r>
      <w:proofErr w:type="spellEnd"/>
      <w:r w:rsidRPr="00F5634E">
        <w:t>, 79-93.</w:t>
      </w:r>
      <w:proofErr w:type="gramEnd"/>
    </w:p>
    <w:p w14:paraId="6A90C812" w14:textId="77777777" w:rsidR="00EF7E37" w:rsidRPr="00F5634E" w:rsidRDefault="00951C79">
      <w:pPr>
        <w:pStyle w:val="Textkrper"/>
        <w:spacing w:after="240" w:line="276" w:lineRule="auto"/>
        <w:ind w:left="567" w:hanging="567"/>
      </w:pPr>
      <w:r w:rsidRPr="00F5634E">
        <w:t xml:space="preserve">Greenwood, R. and Shleifer, A. (2014) Expectations of </w:t>
      </w:r>
      <w:r w:rsidR="005577B4" w:rsidRPr="00F5634E">
        <w:t>R</w:t>
      </w:r>
      <w:r w:rsidRPr="00F5634E">
        <w:t xml:space="preserve">eturns and </w:t>
      </w:r>
      <w:r w:rsidR="005577B4" w:rsidRPr="00F5634E">
        <w:t>E</w:t>
      </w:r>
      <w:r w:rsidRPr="00F5634E">
        <w:t xml:space="preserve">xpected </w:t>
      </w:r>
      <w:r w:rsidR="005577B4" w:rsidRPr="00F5634E">
        <w:t>R</w:t>
      </w:r>
      <w:r w:rsidRPr="00F5634E">
        <w:t xml:space="preserve">eturns, </w:t>
      </w:r>
      <w:proofErr w:type="gramStart"/>
      <w:r w:rsidR="005B1E74" w:rsidRPr="00F5634E">
        <w:rPr>
          <w:i/>
        </w:rPr>
        <w:t>The</w:t>
      </w:r>
      <w:proofErr w:type="gramEnd"/>
      <w:r w:rsidR="00335175" w:rsidRPr="00F5634E">
        <w:t xml:space="preserve"> </w:t>
      </w:r>
      <w:r w:rsidR="005B1E74" w:rsidRPr="00F5634E">
        <w:rPr>
          <w:i/>
        </w:rPr>
        <w:t>Review of Financial Studies</w:t>
      </w:r>
      <w:r w:rsidRPr="00F5634E">
        <w:t>, 27, 714-746.</w:t>
      </w:r>
    </w:p>
    <w:p w14:paraId="4F584DA1" w14:textId="77777777" w:rsidR="00EF7E37" w:rsidRPr="00A117A6" w:rsidRDefault="00951C79">
      <w:pPr>
        <w:pStyle w:val="Textkrper"/>
        <w:spacing w:after="240" w:line="276" w:lineRule="auto"/>
        <w:ind w:left="567" w:hanging="567"/>
      </w:pPr>
      <w:proofErr w:type="spellStart"/>
      <w:proofErr w:type="gramStart"/>
      <w:r>
        <w:lastRenderedPageBreak/>
        <w:t>Haruvy</w:t>
      </w:r>
      <w:proofErr w:type="spellEnd"/>
      <w:r>
        <w:t>, E. and Noussair C.</w:t>
      </w:r>
      <w:r w:rsidR="00CB3952">
        <w:t xml:space="preserve"> </w:t>
      </w:r>
      <w:r>
        <w:t xml:space="preserve">(2006) The </w:t>
      </w:r>
      <w:r w:rsidR="005577B4">
        <w:t>E</w:t>
      </w:r>
      <w:r>
        <w:t xml:space="preserve">ffect of </w:t>
      </w:r>
      <w:r w:rsidR="00B4180C">
        <w:t>S</w:t>
      </w:r>
      <w:r>
        <w:t xml:space="preserve">hort </w:t>
      </w:r>
      <w:r w:rsidR="00B4180C">
        <w:t>S</w:t>
      </w:r>
      <w:r>
        <w:t xml:space="preserve">elling on </w:t>
      </w:r>
      <w:r w:rsidR="00B4180C">
        <w:t>B</w:t>
      </w:r>
      <w:r>
        <w:t xml:space="preserve">ubbles and </w:t>
      </w:r>
      <w:r w:rsidR="00B4180C">
        <w:t>C</w:t>
      </w:r>
      <w:r>
        <w:t xml:space="preserve">rashes in </w:t>
      </w:r>
      <w:r w:rsidR="00B4180C">
        <w:t>E</w:t>
      </w:r>
      <w:r>
        <w:t xml:space="preserve">xperimental </w:t>
      </w:r>
      <w:r w:rsidR="00B4180C">
        <w:t>S</w:t>
      </w:r>
      <w:r>
        <w:t xml:space="preserve">pot </w:t>
      </w:r>
      <w:r w:rsidR="00B4180C">
        <w:t>S</w:t>
      </w:r>
      <w:r>
        <w:t xml:space="preserve">ecurity </w:t>
      </w:r>
      <w:r w:rsidR="00B4180C">
        <w:t>M</w:t>
      </w:r>
      <w:r>
        <w:t xml:space="preserve">arkets, </w:t>
      </w:r>
      <w:r>
        <w:rPr>
          <w:i/>
        </w:rPr>
        <w:t>The Journal of Finance,</w:t>
      </w:r>
      <w:r>
        <w:t xml:space="preserve"> 61, 1119–1157.</w:t>
      </w:r>
      <w:proofErr w:type="gramEnd"/>
    </w:p>
    <w:p w14:paraId="09A6F355" w14:textId="77777777" w:rsidR="00CB3952" w:rsidRDefault="003A23C5">
      <w:pPr>
        <w:pStyle w:val="Textkrper"/>
        <w:spacing w:after="240" w:line="276" w:lineRule="auto"/>
        <w:ind w:left="567" w:hanging="567"/>
      </w:pPr>
      <w:proofErr w:type="spellStart"/>
      <w:r>
        <w:rPr>
          <w:rFonts w:hint="eastAsia"/>
        </w:rPr>
        <w:t>Haruvy</w:t>
      </w:r>
      <w:proofErr w:type="spellEnd"/>
      <w:r w:rsidR="00CB3952">
        <w:t>, E., Lahav, Y., and Noussair, C. (2007) Traders’ Expectations in Asset Markets: E</w:t>
      </w:r>
      <w:r w:rsidR="00CB3952">
        <w:t>x</w:t>
      </w:r>
      <w:r w:rsidR="00CB3952">
        <w:t xml:space="preserve">perimental Evidence, </w:t>
      </w:r>
      <w:proofErr w:type="gramStart"/>
      <w:r w:rsidR="00CB3952">
        <w:rPr>
          <w:i/>
        </w:rPr>
        <w:t>The</w:t>
      </w:r>
      <w:proofErr w:type="gramEnd"/>
      <w:r w:rsidR="00CB3952">
        <w:rPr>
          <w:i/>
        </w:rPr>
        <w:t xml:space="preserve"> American Economic Review</w:t>
      </w:r>
      <w:r w:rsidR="00CB3952">
        <w:t>, 97, 1901-1920.</w:t>
      </w:r>
    </w:p>
    <w:p w14:paraId="64D1AF2F" w14:textId="77777777" w:rsidR="00EF7E37" w:rsidRPr="00A117A6" w:rsidRDefault="00951C79">
      <w:pPr>
        <w:pStyle w:val="Textkrper"/>
        <w:spacing w:after="240" w:line="276" w:lineRule="auto"/>
        <w:ind w:left="567" w:hanging="567"/>
      </w:pPr>
      <w:r>
        <w:t>Hirota, S. and Sunder, S. (2007) Price Bubbles sans Dividend Anchors: Evidence from L</w:t>
      </w:r>
      <w:r>
        <w:t>a</w:t>
      </w:r>
      <w:r>
        <w:t xml:space="preserve">boratory Stock Markets, </w:t>
      </w:r>
      <w:r>
        <w:rPr>
          <w:i/>
        </w:rPr>
        <w:t xml:space="preserve">Journal of Economic Dynamics </w:t>
      </w:r>
      <w:r w:rsidR="00335175">
        <w:rPr>
          <w:rFonts w:hint="eastAsia"/>
          <w:i/>
        </w:rPr>
        <w:t>and</w:t>
      </w:r>
      <w:r>
        <w:rPr>
          <w:i/>
        </w:rPr>
        <w:t xml:space="preserve"> Control</w:t>
      </w:r>
      <w:r>
        <w:t>, 31, 1875-1909.</w:t>
      </w:r>
    </w:p>
    <w:p w14:paraId="5B3A9DD3" w14:textId="77777777" w:rsidR="00817529" w:rsidRDefault="00817529">
      <w:pPr>
        <w:pStyle w:val="Textkrper"/>
        <w:spacing w:after="240" w:line="276" w:lineRule="auto"/>
        <w:ind w:left="567" w:hanging="567"/>
      </w:pPr>
      <w:r>
        <w:rPr>
          <w:rFonts w:hint="eastAsia"/>
        </w:rPr>
        <w:t xml:space="preserve">Hommes, C. (2011) </w:t>
      </w:r>
      <w:proofErr w:type="gramStart"/>
      <w:r w:rsidR="00EC660C">
        <w:rPr>
          <w:rFonts w:hint="eastAsia"/>
        </w:rPr>
        <w:t>The</w:t>
      </w:r>
      <w:proofErr w:type="gramEnd"/>
      <w:r w:rsidR="00EC660C">
        <w:rPr>
          <w:rFonts w:hint="eastAsia"/>
        </w:rPr>
        <w:t xml:space="preserve"> Heterogeneous Expectations </w:t>
      </w:r>
      <w:proofErr w:type="spellStart"/>
      <w:r w:rsidR="00EC660C">
        <w:rPr>
          <w:rFonts w:hint="eastAsia"/>
        </w:rPr>
        <w:t>Hyhothesis</w:t>
      </w:r>
      <w:proofErr w:type="spellEnd"/>
      <w:r w:rsidR="00EC660C">
        <w:rPr>
          <w:rFonts w:hint="eastAsia"/>
        </w:rPr>
        <w:t xml:space="preserve">: Some Evidence from the Lab, </w:t>
      </w:r>
      <w:r w:rsidR="006A366C" w:rsidRPr="006A366C">
        <w:rPr>
          <w:i/>
        </w:rPr>
        <w:t>Journal of Economic Dynamics and Control</w:t>
      </w:r>
      <w:r w:rsidR="00EC660C">
        <w:rPr>
          <w:rFonts w:hint="eastAsia"/>
        </w:rPr>
        <w:t>, 35, 1-24.</w:t>
      </w:r>
    </w:p>
    <w:p w14:paraId="72C59C3D" w14:textId="77777777" w:rsidR="002B2EE8" w:rsidRPr="00F5634E" w:rsidRDefault="00951C79" w:rsidP="004250FA">
      <w:pPr>
        <w:pStyle w:val="Textkrper"/>
        <w:spacing w:after="120" w:line="276" w:lineRule="auto"/>
        <w:ind w:left="567" w:hanging="567"/>
      </w:pPr>
      <w:r>
        <w:t xml:space="preserve">Hommes, C., </w:t>
      </w:r>
      <w:proofErr w:type="spellStart"/>
      <w:r>
        <w:t>Sonnemans</w:t>
      </w:r>
      <w:proofErr w:type="spellEnd"/>
      <w:r>
        <w:t xml:space="preserve">, J., </w:t>
      </w:r>
      <w:proofErr w:type="spellStart"/>
      <w:r>
        <w:t>Tuinstra</w:t>
      </w:r>
      <w:proofErr w:type="spellEnd"/>
      <w:r>
        <w:t xml:space="preserve">, J., and van de </w:t>
      </w:r>
      <w:proofErr w:type="spellStart"/>
      <w:r>
        <w:t>Velden</w:t>
      </w:r>
      <w:proofErr w:type="spellEnd"/>
      <w:r>
        <w:t>, H. (2005) Coordination of E</w:t>
      </w:r>
      <w:r>
        <w:t>x</w:t>
      </w:r>
      <w:r>
        <w:t xml:space="preserve">pectations in Asset Pricing Experiments, </w:t>
      </w:r>
      <w:r w:rsidR="005B1E74" w:rsidRPr="0045253B">
        <w:rPr>
          <w:i/>
        </w:rPr>
        <w:t>The</w:t>
      </w:r>
      <w:r w:rsidR="00335175">
        <w:rPr>
          <w:rFonts w:hint="eastAsia"/>
        </w:rPr>
        <w:t xml:space="preserve"> </w:t>
      </w:r>
      <w:r w:rsidRPr="00F5634E">
        <w:rPr>
          <w:i/>
        </w:rPr>
        <w:t>Review of Financial Studies</w:t>
      </w:r>
      <w:r w:rsidRPr="00F5634E">
        <w:t>, 18, 955-980.</w:t>
      </w:r>
    </w:p>
    <w:p w14:paraId="2207C247" w14:textId="77777777" w:rsidR="003A23C5" w:rsidRDefault="003A23C5">
      <w:pPr>
        <w:pStyle w:val="Textkrper"/>
        <w:spacing w:after="240" w:line="276" w:lineRule="auto"/>
        <w:ind w:left="567" w:hanging="567"/>
      </w:pPr>
      <w:r>
        <w:rPr>
          <w:rFonts w:hint="eastAsia"/>
        </w:rPr>
        <w:t>Johnson</w:t>
      </w:r>
      <w:r w:rsidR="00CB3952">
        <w:t xml:space="preserve">, E. J., </w:t>
      </w:r>
      <w:proofErr w:type="spellStart"/>
      <w:r w:rsidR="00CB3952">
        <w:t>Camerer</w:t>
      </w:r>
      <w:proofErr w:type="spellEnd"/>
      <w:r w:rsidR="00CB3952">
        <w:t xml:space="preserve">, C., and Sen, S. </w:t>
      </w:r>
      <w:r>
        <w:rPr>
          <w:rFonts w:hint="eastAsia"/>
        </w:rPr>
        <w:t>(200</w:t>
      </w:r>
      <w:r w:rsidR="002E5B9D">
        <w:t>2</w:t>
      </w:r>
      <w:r>
        <w:rPr>
          <w:rFonts w:hint="eastAsia"/>
        </w:rPr>
        <w:t xml:space="preserve">) </w:t>
      </w:r>
      <w:r w:rsidR="00CB3952">
        <w:t xml:space="preserve">Detecting Failures of Backward Induction: Monitoring Information Search in Sequential Bargaining, </w:t>
      </w:r>
      <w:r w:rsidR="00CB3952" w:rsidRPr="004250FA">
        <w:rPr>
          <w:i/>
        </w:rPr>
        <w:t>Journal of Economic Theory</w:t>
      </w:r>
      <w:r w:rsidR="00CB3952">
        <w:t xml:space="preserve">, 104, </w:t>
      </w:r>
      <w:r w:rsidR="00EF5460">
        <w:t>16-47</w:t>
      </w:r>
      <w:r w:rsidR="00CB3952">
        <w:t>.</w:t>
      </w:r>
    </w:p>
    <w:p w14:paraId="1EB4E9D9" w14:textId="77777777" w:rsidR="00817529" w:rsidRDefault="00817529">
      <w:pPr>
        <w:pStyle w:val="Textkrper"/>
        <w:spacing w:after="240" w:line="276" w:lineRule="auto"/>
        <w:ind w:left="567" w:hanging="567"/>
      </w:pPr>
      <w:proofErr w:type="gramStart"/>
      <w:r>
        <w:rPr>
          <w:rFonts w:hint="eastAsia"/>
        </w:rPr>
        <w:t>Keynes, J. M. (1936)</w:t>
      </w:r>
      <w:r w:rsidR="00EC660C" w:rsidRPr="00EC660C">
        <w:rPr>
          <w:b/>
          <w:noProof/>
        </w:rPr>
        <w:t xml:space="preserve"> </w:t>
      </w:r>
      <w:r w:rsidR="00EC660C" w:rsidRPr="003801F7">
        <w:rPr>
          <w:i/>
          <w:noProof/>
        </w:rPr>
        <w:t>The General Theory of Employment, Interest and Money</w:t>
      </w:r>
      <w:r w:rsidR="00EC660C">
        <w:rPr>
          <w:noProof/>
        </w:rPr>
        <w:t>.</w:t>
      </w:r>
      <w:proofErr w:type="gramEnd"/>
      <w:r w:rsidR="00EC660C">
        <w:rPr>
          <w:noProof/>
        </w:rPr>
        <w:t xml:space="preserve"> London: Macmillan and Co. limited</w:t>
      </w:r>
    </w:p>
    <w:p w14:paraId="1D7BEB52" w14:textId="77777777" w:rsidR="00EF7E37" w:rsidRPr="00A117A6" w:rsidRDefault="00951C79">
      <w:pPr>
        <w:pStyle w:val="Textkrper"/>
        <w:spacing w:after="240" w:line="276" w:lineRule="auto"/>
        <w:ind w:left="567" w:hanging="567"/>
      </w:pPr>
      <w:r>
        <w:t>King, R., Smith, Williams, A.</w:t>
      </w:r>
      <w:r w:rsidR="00724786">
        <w:rPr>
          <w:rFonts w:hint="eastAsia"/>
        </w:rPr>
        <w:t xml:space="preserve"> V.</w:t>
      </w:r>
      <w:r>
        <w:t xml:space="preserve"> and van </w:t>
      </w:r>
      <w:proofErr w:type="spellStart"/>
      <w:r>
        <w:t>Boening</w:t>
      </w:r>
      <w:proofErr w:type="spellEnd"/>
      <w:r>
        <w:t xml:space="preserve">, </w:t>
      </w:r>
      <w:r w:rsidR="00576373">
        <w:rPr>
          <w:rFonts w:hint="eastAsia"/>
        </w:rPr>
        <w:t xml:space="preserve">M. </w:t>
      </w:r>
      <w:r>
        <w:t xml:space="preserve">(1993) The Robustness of Bubbles and Crashes in Experimental Stock Markets, </w:t>
      </w:r>
      <w:r>
        <w:rPr>
          <w:i/>
        </w:rPr>
        <w:t>Nonlinear Dynamics and Evolutionary Ec</w:t>
      </w:r>
      <w:r>
        <w:rPr>
          <w:i/>
        </w:rPr>
        <w:t>o</w:t>
      </w:r>
      <w:r>
        <w:rPr>
          <w:i/>
        </w:rPr>
        <w:t>nomic</w:t>
      </w:r>
      <w:r>
        <w:t>s, Oxford University Press, M., Day, R. and Chen, P. (Eds.), 183-200.</w:t>
      </w:r>
    </w:p>
    <w:p w14:paraId="35FF7930" w14:textId="77777777" w:rsidR="00EF7E37" w:rsidRDefault="00951C79">
      <w:pPr>
        <w:pStyle w:val="Textkrper"/>
        <w:spacing w:after="240" w:line="276" w:lineRule="auto"/>
        <w:ind w:left="567" w:hanging="567"/>
      </w:pPr>
      <w:r>
        <w:t xml:space="preserve">Kirchler, M.; Huber, J. and Stöckl, T. (2012) Thar </w:t>
      </w:r>
      <w:r w:rsidR="00B4180C">
        <w:t>S</w:t>
      </w:r>
      <w:r>
        <w:t xml:space="preserve">he </w:t>
      </w:r>
      <w:r w:rsidR="00B4180C">
        <w:t>B</w:t>
      </w:r>
      <w:r>
        <w:t>ursts</w:t>
      </w:r>
      <w:r w:rsidR="00B4180C">
        <w:rPr>
          <w:rFonts w:hint="eastAsia"/>
        </w:rPr>
        <w:t>:</w:t>
      </w:r>
      <w:r>
        <w:t xml:space="preserve"> Reducing </w:t>
      </w:r>
      <w:r w:rsidR="00B4180C">
        <w:t>C</w:t>
      </w:r>
      <w:r>
        <w:t xml:space="preserve">onfusion </w:t>
      </w:r>
      <w:r w:rsidR="00B4180C">
        <w:t>R</w:t>
      </w:r>
      <w:r>
        <w:t xml:space="preserve">educes </w:t>
      </w:r>
      <w:r w:rsidR="00B4180C">
        <w:t>B</w:t>
      </w:r>
      <w:r>
        <w:t xml:space="preserve">ubbles, </w:t>
      </w:r>
      <w:r>
        <w:rPr>
          <w:i/>
        </w:rPr>
        <w:t>The American Economic Review</w:t>
      </w:r>
      <w:r>
        <w:t>, 102, 865-883.</w:t>
      </w:r>
    </w:p>
    <w:p w14:paraId="22875854" w14:textId="3664D3A7" w:rsidR="008A47C6" w:rsidRPr="00A117A6" w:rsidRDefault="008A47C6">
      <w:pPr>
        <w:pStyle w:val="Textkrper"/>
        <w:spacing w:after="240" w:line="276" w:lineRule="auto"/>
        <w:ind w:left="567" w:hanging="567"/>
      </w:pPr>
      <w:r>
        <w:t xml:space="preserve">Kleinlercher, D. and Stöckl, T. (forthcoming) </w:t>
      </w:r>
      <w:proofErr w:type="gramStart"/>
      <w:r w:rsidRPr="008A47C6">
        <w:t>On</w:t>
      </w:r>
      <w:proofErr w:type="gramEnd"/>
      <w:r w:rsidRPr="008A47C6">
        <w:t xml:space="preserve"> the provision of incentives in finance expe</w:t>
      </w:r>
      <w:r w:rsidRPr="008A47C6">
        <w:t>r</w:t>
      </w:r>
      <w:r w:rsidRPr="008A47C6">
        <w:t>iments</w:t>
      </w:r>
      <w:r>
        <w:t xml:space="preserve">, </w:t>
      </w:r>
      <w:r w:rsidRPr="008A47C6">
        <w:rPr>
          <w:i/>
        </w:rPr>
        <w:t>Experimental Economics</w:t>
      </w:r>
      <w:r>
        <w:t>.</w:t>
      </w:r>
    </w:p>
    <w:p w14:paraId="24D8FC75" w14:textId="77777777" w:rsidR="000E496B" w:rsidRDefault="00951C79" w:rsidP="007B2FEF">
      <w:pPr>
        <w:spacing w:afterLines="100" w:after="240" w:line="276" w:lineRule="auto"/>
        <w:ind w:left="720" w:hanging="720"/>
        <w:jc w:val="both"/>
        <w:rPr>
          <w:sz w:val="24"/>
        </w:rPr>
      </w:pPr>
      <w:r>
        <w:rPr>
          <w:sz w:val="24"/>
        </w:rPr>
        <w:t>Lei, V</w:t>
      </w:r>
      <w:r>
        <w:rPr>
          <w:sz w:val="24"/>
          <w:lang w:eastAsia="ja-JP"/>
        </w:rPr>
        <w:t xml:space="preserve">., </w:t>
      </w:r>
      <w:r>
        <w:rPr>
          <w:sz w:val="24"/>
        </w:rPr>
        <w:t>C</w:t>
      </w:r>
      <w:r>
        <w:rPr>
          <w:sz w:val="24"/>
          <w:lang w:eastAsia="ja-JP"/>
        </w:rPr>
        <w:t xml:space="preserve">., </w:t>
      </w:r>
      <w:r>
        <w:rPr>
          <w:sz w:val="24"/>
        </w:rPr>
        <w:t>Noussair,</w:t>
      </w:r>
      <w:r>
        <w:rPr>
          <w:sz w:val="24"/>
          <w:lang w:eastAsia="ja-JP"/>
        </w:rPr>
        <w:t xml:space="preserve"> N., and </w:t>
      </w:r>
      <w:proofErr w:type="spellStart"/>
      <w:r>
        <w:rPr>
          <w:sz w:val="24"/>
        </w:rPr>
        <w:t>Plott</w:t>
      </w:r>
      <w:proofErr w:type="spellEnd"/>
      <w:r>
        <w:rPr>
          <w:sz w:val="24"/>
        </w:rPr>
        <w:t>,</w:t>
      </w:r>
      <w:r>
        <w:rPr>
          <w:sz w:val="24"/>
          <w:lang w:eastAsia="ja-JP"/>
        </w:rPr>
        <w:t xml:space="preserve"> C. R. (2001) </w:t>
      </w:r>
      <w:proofErr w:type="spellStart"/>
      <w:r>
        <w:rPr>
          <w:sz w:val="24"/>
        </w:rPr>
        <w:t>Nonspeculative</w:t>
      </w:r>
      <w:proofErr w:type="spellEnd"/>
      <w:r>
        <w:rPr>
          <w:sz w:val="24"/>
        </w:rPr>
        <w:t xml:space="preserve"> </w:t>
      </w:r>
      <w:r w:rsidR="00B4180C">
        <w:rPr>
          <w:sz w:val="24"/>
          <w:lang w:eastAsia="ja-JP"/>
        </w:rPr>
        <w:t>B</w:t>
      </w:r>
      <w:r>
        <w:rPr>
          <w:sz w:val="24"/>
        </w:rPr>
        <w:t xml:space="preserve">ubbles in </w:t>
      </w:r>
      <w:r w:rsidR="00B4180C">
        <w:rPr>
          <w:sz w:val="24"/>
          <w:lang w:eastAsia="ja-JP"/>
        </w:rPr>
        <w:t>E</w:t>
      </w:r>
      <w:r>
        <w:rPr>
          <w:sz w:val="24"/>
        </w:rPr>
        <w:t xml:space="preserve">xperimental </w:t>
      </w:r>
      <w:r w:rsidR="00B4180C">
        <w:rPr>
          <w:sz w:val="24"/>
          <w:lang w:eastAsia="ja-JP"/>
        </w:rPr>
        <w:t>Security</w:t>
      </w:r>
      <w:r w:rsidR="00B4180C">
        <w:rPr>
          <w:sz w:val="24"/>
        </w:rPr>
        <w:t xml:space="preserve"> </w:t>
      </w:r>
      <w:r w:rsidR="00B4180C">
        <w:rPr>
          <w:sz w:val="24"/>
          <w:lang w:eastAsia="ja-JP"/>
        </w:rPr>
        <w:t>M</w:t>
      </w:r>
      <w:r>
        <w:rPr>
          <w:sz w:val="24"/>
        </w:rPr>
        <w:t xml:space="preserve">arkets: </w:t>
      </w:r>
      <w:r w:rsidR="00B4180C">
        <w:rPr>
          <w:sz w:val="24"/>
          <w:lang w:eastAsia="ja-JP"/>
        </w:rPr>
        <w:t>L</w:t>
      </w:r>
      <w:r>
        <w:rPr>
          <w:sz w:val="24"/>
        </w:rPr>
        <w:t xml:space="preserve">ack of </w:t>
      </w:r>
      <w:r w:rsidR="00B4180C">
        <w:rPr>
          <w:sz w:val="24"/>
          <w:lang w:eastAsia="ja-JP"/>
        </w:rPr>
        <w:t>C</w:t>
      </w:r>
      <w:r>
        <w:rPr>
          <w:sz w:val="24"/>
        </w:rPr>
        <w:t xml:space="preserve">ommon </w:t>
      </w:r>
      <w:r w:rsidR="00B4180C">
        <w:rPr>
          <w:sz w:val="24"/>
          <w:lang w:eastAsia="ja-JP"/>
        </w:rPr>
        <w:t>K</w:t>
      </w:r>
      <w:r w:rsidR="00B4180C">
        <w:rPr>
          <w:sz w:val="24"/>
        </w:rPr>
        <w:t xml:space="preserve">nowledge </w:t>
      </w:r>
      <w:r>
        <w:rPr>
          <w:sz w:val="24"/>
        </w:rPr>
        <w:t xml:space="preserve">of </w:t>
      </w:r>
      <w:r w:rsidR="00B4180C">
        <w:rPr>
          <w:sz w:val="24"/>
          <w:lang w:eastAsia="ja-JP"/>
        </w:rPr>
        <w:t>R</w:t>
      </w:r>
      <w:r>
        <w:rPr>
          <w:sz w:val="24"/>
        </w:rPr>
        <w:t xml:space="preserve">ationality </w:t>
      </w:r>
      <w:r>
        <w:rPr>
          <w:sz w:val="24"/>
          <w:lang w:eastAsia="ja-JP"/>
        </w:rPr>
        <w:t>v</w:t>
      </w:r>
      <w:r>
        <w:rPr>
          <w:sz w:val="24"/>
        </w:rPr>
        <w:t xml:space="preserve">s. </w:t>
      </w:r>
      <w:r w:rsidR="00B4180C">
        <w:rPr>
          <w:sz w:val="24"/>
          <w:lang w:eastAsia="ja-JP"/>
        </w:rPr>
        <w:t>A</w:t>
      </w:r>
      <w:r>
        <w:rPr>
          <w:sz w:val="24"/>
        </w:rPr>
        <w:t xml:space="preserve">ctual </w:t>
      </w:r>
      <w:r w:rsidR="00B4180C">
        <w:rPr>
          <w:sz w:val="24"/>
          <w:lang w:eastAsia="ja-JP"/>
        </w:rPr>
        <w:t>I</w:t>
      </w:r>
      <w:r>
        <w:rPr>
          <w:sz w:val="24"/>
        </w:rPr>
        <w:t>rrationality</w:t>
      </w:r>
      <w:r>
        <w:rPr>
          <w:sz w:val="24"/>
          <w:lang w:eastAsia="ja-JP"/>
        </w:rPr>
        <w:t xml:space="preserve">, </w:t>
      </w:r>
      <w:proofErr w:type="spellStart"/>
      <w:r w:rsidR="005B1E74" w:rsidRPr="0045253B">
        <w:rPr>
          <w:i/>
          <w:iCs/>
          <w:sz w:val="24"/>
        </w:rPr>
        <w:t>Econometrica</w:t>
      </w:r>
      <w:proofErr w:type="spellEnd"/>
      <w:r w:rsidR="005B1E74" w:rsidRPr="0045253B">
        <w:rPr>
          <w:iCs/>
          <w:sz w:val="24"/>
          <w:lang w:eastAsia="ja-JP"/>
        </w:rPr>
        <w:t>,</w:t>
      </w:r>
      <w:r>
        <w:rPr>
          <w:iCs/>
          <w:sz w:val="24"/>
          <w:lang w:eastAsia="ja-JP"/>
        </w:rPr>
        <w:t xml:space="preserve"> 69</w:t>
      </w:r>
      <w:r>
        <w:rPr>
          <w:sz w:val="24"/>
          <w:lang w:eastAsia="ja-JP"/>
        </w:rPr>
        <w:t xml:space="preserve">, </w:t>
      </w:r>
      <w:r>
        <w:rPr>
          <w:sz w:val="24"/>
        </w:rPr>
        <w:t>831-859.</w:t>
      </w:r>
    </w:p>
    <w:p w14:paraId="3359DC10" w14:textId="71BBF7F7" w:rsidR="00332165" w:rsidRDefault="005B1E74" w:rsidP="007B2FEF">
      <w:pPr>
        <w:spacing w:afterLines="100" w:after="240" w:line="276" w:lineRule="auto"/>
        <w:ind w:left="708" w:hangingChars="295" w:hanging="708"/>
        <w:rPr>
          <w:noProof/>
          <w:sz w:val="24"/>
          <w:szCs w:val="24"/>
          <w:lang w:eastAsia="ja-JP"/>
        </w:rPr>
      </w:pPr>
      <w:bookmarkStart w:id="3" w:name="_ENREF_18"/>
      <w:r w:rsidRPr="0045253B">
        <w:rPr>
          <w:noProof/>
          <w:sz w:val="24"/>
          <w:szCs w:val="24"/>
          <w:lang w:eastAsia="ja-JP"/>
        </w:rPr>
        <w:t>LeRoy, S</w:t>
      </w:r>
      <w:r w:rsidR="00951C79">
        <w:rPr>
          <w:noProof/>
          <w:sz w:val="24"/>
          <w:szCs w:val="24"/>
          <w:lang w:eastAsia="ja-JP"/>
        </w:rPr>
        <w:t xml:space="preserve">. </w:t>
      </w:r>
      <w:r w:rsidRPr="0045253B">
        <w:rPr>
          <w:noProof/>
          <w:sz w:val="24"/>
          <w:szCs w:val="24"/>
          <w:lang w:eastAsia="ja-JP"/>
        </w:rPr>
        <w:t>F</w:t>
      </w:r>
      <w:r w:rsidR="00951C79">
        <w:rPr>
          <w:noProof/>
          <w:sz w:val="24"/>
          <w:szCs w:val="24"/>
          <w:lang w:eastAsia="ja-JP"/>
        </w:rPr>
        <w:t>.,</w:t>
      </w:r>
      <w:r w:rsidRPr="0045253B">
        <w:rPr>
          <w:noProof/>
          <w:sz w:val="24"/>
          <w:szCs w:val="24"/>
          <w:lang w:eastAsia="ja-JP"/>
        </w:rPr>
        <w:t xml:space="preserve"> and Porter</w:t>
      </w:r>
      <w:r w:rsidR="00951C79">
        <w:rPr>
          <w:noProof/>
          <w:sz w:val="24"/>
          <w:szCs w:val="24"/>
          <w:lang w:eastAsia="ja-JP"/>
        </w:rPr>
        <w:t>, R. D</w:t>
      </w:r>
      <w:r w:rsidRPr="0045253B">
        <w:rPr>
          <w:noProof/>
          <w:sz w:val="24"/>
          <w:szCs w:val="24"/>
          <w:lang w:eastAsia="ja-JP"/>
        </w:rPr>
        <w:t xml:space="preserve">. </w:t>
      </w:r>
      <w:r w:rsidR="00951C79">
        <w:rPr>
          <w:noProof/>
          <w:sz w:val="24"/>
          <w:szCs w:val="24"/>
          <w:lang w:eastAsia="ja-JP"/>
        </w:rPr>
        <w:t>(</w:t>
      </w:r>
      <w:r w:rsidRPr="0045253B">
        <w:rPr>
          <w:noProof/>
          <w:sz w:val="24"/>
          <w:szCs w:val="24"/>
          <w:lang w:eastAsia="ja-JP"/>
        </w:rPr>
        <w:t>1981</w:t>
      </w:r>
      <w:r w:rsidR="00951C79">
        <w:rPr>
          <w:noProof/>
          <w:sz w:val="24"/>
          <w:szCs w:val="24"/>
          <w:lang w:eastAsia="ja-JP"/>
        </w:rPr>
        <w:t xml:space="preserve">) </w:t>
      </w:r>
      <w:r w:rsidRPr="0045253B">
        <w:rPr>
          <w:noProof/>
          <w:sz w:val="24"/>
          <w:szCs w:val="24"/>
          <w:lang w:eastAsia="ja-JP"/>
        </w:rPr>
        <w:t>The Present-Value Relation: Tests Based on Implied Variance Bounds</w:t>
      </w:r>
      <w:r w:rsidR="00951C79">
        <w:rPr>
          <w:noProof/>
          <w:sz w:val="24"/>
          <w:szCs w:val="24"/>
          <w:lang w:eastAsia="ja-JP"/>
        </w:rPr>
        <w:t xml:space="preserve">, </w:t>
      </w:r>
      <w:r w:rsidRPr="0045253B">
        <w:rPr>
          <w:i/>
          <w:noProof/>
          <w:sz w:val="24"/>
          <w:szCs w:val="24"/>
          <w:lang w:eastAsia="ja-JP"/>
        </w:rPr>
        <w:t>Econometrica</w:t>
      </w:r>
      <w:r w:rsidRPr="0045253B">
        <w:rPr>
          <w:noProof/>
          <w:sz w:val="24"/>
          <w:szCs w:val="24"/>
          <w:lang w:eastAsia="ja-JP"/>
        </w:rPr>
        <w:t>, 49, 555-</w:t>
      </w:r>
      <w:r w:rsidR="00951C79">
        <w:rPr>
          <w:noProof/>
          <w:sz w:val="24"/>
          <w:szCs w:val="24"/>
          <w:lang w:eastAsia="ja-JP"/>
        </w:rPr>
        <w:t>5</w:t>
      </w:r>
      <w:r w:rsidRPr="0045253B">
        <w:rPr>
          <w:noProof/>
          <w:sz w:val="24"/>
          <w:szCs w:val="24"/>
          <w:lang w:eastAsia="ja-JP"/>
        </w:rPr>
        <w:t>74.</w:t>
      </w:r>
      <w:bookmarkEnd w:id="3"/>
    </w:p>
    <w:p w14:paraId="195C1733" w14:textId="77777777" w:rsidR="00EF7E37" w:rsidRPr="00A117A6" w:rsidRDefault="00951C79">
      <w:pPr>
        <w:pStyle w:val="Textkrper"/>
        <w:spacing w:after="240" w:line="276" w:lineRule="auto"/>
        <w:ind w:left="567" w:hanging="567"/>
      </w:pPr>
      <w:r>
        <w:t>Lim, S.S., Prescott</w:t>
      </w:r>
      <w:r w:rsidR="00335175">
        <w:rPr>
          <w:rFonts w:hint="eastAsia"/>
        </w:rPr>
        <w:t>,</w:t>
      </w:r>
      <w:r>
        <w:t xml:space="preserve"> E.C., and Sunder</w:t>
      </w:r>
      <w:r w:rsidR="00335175">
        <w:rPr>
          <w:rFonts w:hint="eastAsia"/>
        </w:rPr>
        <w:t>,</w:t>
      </w:r>
      <w:r>
        <w:t xml:space="preserve"> S. (1994) Stationary Solution to the Overlapping Ge</w:t>
      </w:r>
      <w:r>
        <w:t>n</w:t>
      </w:r>
      <w:r>
        <w:t xml:space="preserve">erations Model of Fiat Money: Experimental Evidence, </w:t>
      </w:r>
      <w:r>
        <w:rPr>
          <w:i/>
        </w:rPr>
        <w:t>Empirical Economics</w:t>
      </w:r>
      <w:r>
        <w:t xml:space="preserve">, 19, 255-277. </w:t>
      </w:r>
    </w:p>
    <w:p w14:paraId="7CF2BAA4" w14:textId="77777777" w:rsidR="00EF7E37" w:rsidRPr="00A117A6" w:rsidRDefault="00951C79">
      <w:pPr>
        <w:pStyle w:val="Textkrper"/>
        <w:spacing w:after="240" w:line="276" w:lineRule="auto"/>
        <w:ind w:left="567" w:hanging="567"/>
      </w:pPr>
      <w:proofErr w:type="gramStart"/>
      <w:r>
        <w:t xml:space="preserve">Marimon, R. and Sunder S. (1993) Indeterminacy of Equilibria in a Hyperinflationary World: Experimental Evidence, </w:t>
      </w:r>
      <w:proofErr w:type="spellStart"/>
      <w:r>
        <w:rPr>
          <w:i/>
        </w:rPr>
        <w:t>Econometrica</w:t>
      </w:r>
      <w:proofErr w:type="spellEnd"/>
      <w:r>
        <w:t>, 61, 1073-1107.</w:t>
      </w:r>
      <w:proofErr w:type="gramEnd"/>
    </w:p>
    <w:p w14:paraId="06EF31D9" w14:textId="77777777" w:rsidR="003A23C5" w:rsidRPr="004250FA" w:rsidRDefault="003A23C5" w:rsidP="007B2FEF">
      <w:pPr>
        <w:spacing w:afterLines="100" w:after="240" w:line="276" w:lineRule="auto"/>
        <w:ind w:left="720" w:hanging="720"/>
        <w:jc w:val="both"/>
        <w:rPr>
          <w:sz w:val="24"/>
          <w:szCs w:val="24"/>
          <w:lang w:eastAsia="ja-JP"/>
        </w:rPr>
      </w:pPr>
      <w:proofErr w:type="spellStart"/>
      <w:proofErr w:type="gramStart"/>
      <w:r>
        <w:rPr>
          <w:rFonts w:hint="eastAsia"/>
          <w:sz w:val="24"/>
          <w:lang w:eastAsia="ja-JP"/>
        </w:rPr>
        <w:lastRenderedPageBreak/>
        <w:t>McKelvey</w:t>
      </w:r>
      <w:proofErr w:type="spellEnd"/>
      <w:r w:rsidR="00E43A5C">
        <w:rPr>
          <w:sz w:val="24"/>
          <w:lang w:eastAsia="ja-JP"/>
        </w:rPr>
        <w:t>.</w:t>
      </w:r>
      <w:proofErr w:type="gramEnd"/>
      <w:r w:rsidR="00E43A5C">
        <w:rPr>
          <w:sz w:val="24"/>
          <w:lang w:eastAsia="ja-JP"/>
        </w:rPr>
        <w:t xml:space="preserve"> R. D. and Palfrey, T. R. (1992) </w:t>
      </w:r>
      <w:proofErr w:type="gramStart"/>
      <w:r w:rsidR="00E43A5C">
        <w:rPr>
          <w:sz w:val="24"/>
          <w:lang w:eastAsia="ja-JP"/>
        </w:rPr>
        <w:t>An</w:t>
      </w:r>
      <w:proofErr w:type="gramEnd"/>
      <w:r w:rsidR="00E43A5C">
        <w:rPr>
          <w:sz w:val="24"/>
          <w:lang w:eastAsia="ja-JP"/>
        </w:rPr>
        <w:t xml:space="preserve"> Experimental Study of the Centipede Game, </w:t>
      </w:r>
      <w:proofErr w:type="spellStart"/>
      <w:r w:rsidR="00E43A5C" w:rsidRPr="004250FA">
        <w:rPr>
          <w:i/>
          <w:sz w:val="24"/>
          <w:szCs w:val="24"/>
        </w:rPr>
        <w:t>Econometrica</w:t>
      </w:r>
      <w:proofErr w:type="spellEnd"/>
      <w:r w:rsidR="00E43A5C" w:rsidRPr="004250FA">
        <w:rPr>
          <w:sz w:val="24"/>
          <w:szCs w:val="24"/>
        </w:rPr>
        <w:t>, 6</w:t>
      </w:r>
      <w:r w:rsidR="00E43A5C">
        <w:rPr>
          <w:sz w:val="24"/>
          <w:szCs w:val="24"/>
        </w:rPr>
        <w:t>0</w:t>
      </w:r>
      <w:r w:rsidR="00E43A5C" w:rsidRPr="004250FA">
        <w:rPr>
          <w:sz w:val="24"/>
          <w:szCs w:val="24"/>
        </w:rPr>
        <w:t>,</w:t>
      </w:r>
      <w:r w:rsidRPr="004250FA">
        <w:rPr>
          <w:sz w:val="24"/>
          <w:szCs w:val="24"/>
          <w:lang w:eastAsia="ja-JP"/>
        </w:rPr>
        <w:t xml:space="preserve"> </w:t>
      </w:r>
      <w:r w:rsidR="00E43A5C">
        <w:rPr>
          <w:sz w:val="24"/>
          <w:szCs w:val="24"/>
          <w:lang w:eastAsia="ja-JP"/>
        </w:rPr>
        <w:t>803-806.</w:t>
      </w:r>
    </w:p>
    <w:p w14:paraId="21580682" w14:textId="77777777" w:rsidR="000E496B" w:rsidRDefault="00951C79" w:rsidP="007B2FEF">
      <w:pPr>
        <w:spacing w:afterLines="100" w:after="240" w:line="276" w:lineRule="auto"/>
        <w:ind w:left="720" w:hanging="720"/>
        <w:jc w:val="both"/>
      </w:pPr>
      <w:proofErr w:type="gramStart"/>
      <w:r>
        <w:rPr>
          <w:sz w:val="24"/>
          <w:lang w:eastAsia="ja-JP"/>
        </w:rPr>
        <w:t>Miller, M., Modigliani, F., 1961.</w:t>
      </w:r>
      <w:proofErr w:type="gramEnd"/>
      <w:r>
        <w:rPr>
          <w:sz w:val="24"/>
          <w:lang w:eastAsia="ja-JP"/>
        </w:rPr>
        <w:t xml:space="preserve"> Dividend </w:t>
      </w:r>
      <w:r w:rsidR="00B4180C">
        <w:rPr>
          <w:sz w:val="24"/>
          <w:lang w:eastAsia="ja-JP"/>
        </w:rPr>
        <w:t>P</w:t>
      </w:r>
      <w:r>
        <w:rPr>
          <w:sz w:val="24"/>
          <w:lang w:eastAsia="ja-JP"/>
        </w:rPr>
        <w:t xml:space="preserve">olicy, </w:t>
      </w:r>
      <w:r w:rsidR="00B4180C">
        <w:rPr>
          <w:sz w:val="24"/>
          <w:lang w:eastAsia="ja-JP"/>
        </w:rPr>
        <w:t>G</w:t>
      </w:r>
      <w:r>
        <w:rPr>
          <w:sz w:val="24"/>
          <w:lang w:eastAsia="ja-JP"/>
        </w:rPr>
        <w:t xml:space="preserve">rowth and the </w:t>
      </w:r>
      <w:r w:rsidR="00B4180C">
        <w:rPr>
          <w:sz w:val="24"/>
          <w:lang w:eastAsia="ja-JP"/>
        </w:rPr>
        <w:t>V</w:t>
      </w:r>
      <w:r>
        <w:rPr>
          <w:sz w:val="24"/>
          <w:lang w:eastAsia="ja-JP"/>
        </w:rPr>
        <w:t xml:space="preserve">aluation of </w:t>
      </w:r>
      <w:r w:rsidR="00B4180C">
        <w:rPr>
          <w:sz w:val="24"/>
          <w:lang w:eastAsia="ja-JP"/>
        </w:rPr>
        <w:t>S</w:t>
      </w:r>
      <w:r>
        <w:rPr>
          <w:sz w:val="24"/>
          <w:lang w:eastAsia="ja-JP"/>
        </w:rPr>
        <w:t xml:space="preserve">hares, </w:t>
      </w:r>
      <w:proofErr w:type="gramStart"/>
      <w:r w:rsidR="00335175">
        <w:rPr>
          <w:rFonts w:hint="eastAsia"/>
          <w:i/>
          <w:sz w:val="24"/>
          <w:lang w:eastAsia="ja-JP"/>
        </w:rPr>
        <w:t>The</w:t>
      </w:r>
      <w:proofErr w:type="gramEnd"/>
      <w:r w:rsidR="00335175">
        <w:rPr>
          <w:rFonts w:hint="eastAsia"/>
          <w:i/>
          <w:sz w:val="24"/>
          <w:lang w:eastAsia="ja-JP"/>
        </w:rPr>
        <w:t xml:space="preserve"> </w:t>
      </w:r>
      <w:r w:rsidR="005B1E74" w:rsidRPr="0045253B">
        <w:rPr>
          <w:i/>
          <w:iCs/>
          <w:sz w:val="24"/>
          <w:lang w:eastAsia="ja-JP"/>
        </w:rPr>
        <w:t>Journal of Business</w:t>
      </w:r>
      <w:r w:rsidR="005B1E74" w:rsidRPr="0045253B">
        <w:rPr>
          <w:iCs/>
          <w:sz w:val="24"/>
          <w:lang w:eastAsia="ja-JP"/>
        </w:rPr>
        <w:t>,</w:t>
      </w:r>
      <w:r>
        <w:rPr>
          <w:iCs/>
          <w:sz w:val="24"/>
          <w:lang w:eastAsia="ja-JP"/>
        </w:rPr>
        <w:t xml:space="preserve"> </w:t>
      </w:r>
      <w:r w:rsidR="005B1E74" w:rsidRPr="0045253B">
        <w:rPr>
          <w:iCs/>
          <w:sz w:val="24"/>
          <w:lang w:eastAsia="ja-JP"/>
        </w:rPr>
        <w:t>34</w:t>
      </w:r>
      <w:r>
        <w:rPr>
          <w:sz w:val="24"/>
          <w:lang w:eastAsia="ja-JP"/>
        </w:rPr>
        <w:t>, 411-433.</w:t>
      </w:r>
    </w:p>
    <w:p w14:paraId="48FE774D" w14:textId="77777777" w:rsidR="003A23C5" w:rsidRDefault="003A23C5">
      <w:pPr>
        <w:pStyle w:val="Textkrper"/>
        <w:spacing w:after="240" w:line="276" w:lineRule="auto"/>
        <w:ind w:left="567" w:hanging="567"/>
      </w:pPr>
      <w:proofErr w:type="spellStart"/>
      <w:r>
        <w:rPr>
          <w:rFonts w:hint="eastAsia"/>
        </w:rPr>
        <w:t>Moinas</w:t>
      </w:r>
      <w:proofErr w:type="spellEnd"/>
      <w:r w:rsidR="0004123B">
        <w:t xml:space="preserve">, S. </w:t>
      </w:r>
      <w:r>
        <w:rPr>
          <w:rFonts w:hint="eastAsia"/>
        </w:rPr>
        <w:t xml:space="preserve">and </w:t>
      </w:r>
      <w:proofErr w:type="spellStart"/>
      <w:r>
        <w:rPr>
          <w:rFonts w:hint="eastAsia"/>
        </w:rPr>
        <w:t>Pouget</w:t>
      </w:r>
      <w:proofErr w:type="spellEnd"/>
      <w:r w:rsidR="0004123B">
        <w:t>, S. (</w:t>
      </w:r>
      <w:r>
        <w:rPr>
          <w:rFonts w:hint="eastAsia"/>
        </w:rPr>
        <w:t>2013</w:t>
      </w:r>
      <w:r w:rsidR="0004123B">
        <w:t xml:space="preserve">) The </w:t>
      </w:r>
      <w:r w:rsidR="00D2751A">
        <w:t xml:space="preserve">Bubble Game: An Experimental Study of Speculation, </w:t>
      </w:r>
      <w:proofErr w:type="spellStart"/>
      <w:r w:rsidR="00D2751A" w:rsidRPr="002834FE">
        <w:rPr>
          <w:i/>
        </w:rPr>
        <w:t>Econometrica</w:t>
      </w:r>
      <w:proofErr w:type="spellEnd"/>
      <w:r w:rsidR="00D2751A" w:rsidRPr="002834FE">
        <w:t>,</w:t>
      </w:r>
      <w:r w:rsidR="00D2751A">
        <w:t xml:space="preserve"> 81, 1507-1539.</w:t>
      </w:r>
    </w:p>
    <w:p w14:paraId="6533A926" w14:textId="77777777" w:rsidR="00EF7E37" w:rsidRPr="00A117A6" w:rsidRDefault="00951C79">
      <w:pPr>
        <w:pStyle w:val="Textkrper"/>
        <w:spacing w:after="240" w:line="276" w:lineRule="auto"/>
        <w:ind w:left="567" w:hanging="567"/>
      </w:pPr>
      <w:r>
        <w:t xml:space="preserve">Morris, S. and Shin, H. S. (2004) Liquidity </w:t>
      </w:r>
      <w:r w:rsidR="00B4180C">
        <w:t>B</w:t>
      </w:r>
      <w:r>
        <w:t xml:space="preserve">lack </w:t>
      </w:r>
      <w:r w:rsidR="00B4180C">
        <w:t>H</w:t>
      </w:r>
      <w:r>
        <w:t xml:space="preserve">oles, </w:t>
      </w:r>
      <w:r>
        <w:rPr>
          <w:i/>
        </w:rPr>
        <w:t>Review of Finance</w:t>
      </w:r>
      <w:r>
        <w:t>, 8, 1-18.</w:t>
      </w:r>
    </w:p>
    <w:p w14:paraId="09ED1164" w14:textId="77777777" w:rsidR="00D2751A" w:rsidRPr="00A117A6" w:rsidRDefault="003A23C5" w:rsidP="00D2751A">
      <w:pPr>
        <w:pStyle w:val="Textkrper"/>
        <w:spacing w:after="240" w:line="276" w:lineRule="auto"/>
        <w:ind w:left="567" w:hanging="567"/>
      </w:pPr>
      <w:proofErr w:type="gramStart"/>
      <w:r>
        <w:rPr>
          <w:rFonts w:hint="eastAsia"/>
        </w:rPr>
        <w:t>Nagel</w:t>
      </w:r>
      <w:r w:rsidR="00D2751A">
        <w:t>, R. (1</w:t>
      </w:r>
      <w:r>
        <w:rPr>
          <w:rFonts w:hint="eastAsia"/>
        </w:rPr>
        <w:t>995</w:t>
      </w:r>
      <w:r w:rsidR="00D2751A">
        <w:t>) Unravelling in Guessing Games: An Experimental Study,</w:t>
      </w:r>
      <w:r>
        <w:rPr>
          <w:rFonts w:hint="eastAsia"/>
        </w:rPr>
        <w:t xml:space="preserve"> </w:t>
      </w:r>
      <w:r w:rsidR="00D2751A">
        <w:rPr>
          <w:i/>
        </w:rPr>
        <w:t>The American Economic Review</w:t>
      </w:r>
      <w:r w:rsidR="00D2751A">
        <w:t>, 85, 1313-1326.</w:t>
      </w:r>
      <w:proofErr w:type="gramEnd"/>
    </w:p>
    <w:p w14:paraId="66C0E319" w14:textId="77777777" w:rsidR="00EF7E37" w:rsidRDefault="00951C79">
      <w:pPr>
        <w:pStyle w:val="Textkrper"/>
        <w:spacing w:after="240" w:line="276" w:lineRule="auto"/>
        <w:ind w:left="567" w:hanging="567"/>
      </w:pPr>
      <w:proofErr w:type="gramStart"/>
      <w:r>
        <w:t xml:space="preserve">Noussair, C., Richter, G. and </w:t>
      </w:r>
      <w:proofErr w:type="spellStart"/>
      <w:r>
        <w:t>Tyran</w:t>
      </w:r>
      <w:proofErr w:type="spellEnd"/>
      <w:r>
        <w:t>, J.-R.</w:t>
      </w:r>
      <w:proofErr w:type="gramEnd"/>
      <w:r>
        <w:t xml:space="preserve"> (2012) Money Illusion and Nominal Inertia in E</w:t>
      </w:r>
      <w:r>
        <w:t>x</w:t>
      </w:r>
      <w:r>
        <w:t xml:space="preserve">perimental Security Markets, </w:t>
      </w:r>
      <w:r>
        <w:rPr>
          <w:i/>
        </w:rPr>
        <w:t>Journal of Behavioral Finance</w:t>
      </w:r>
      <w:r>
        <w:t>, 13, 27-37.</w:t>
      </w:r>
    </w:p>
    <w:p w14:paraId="10D511A6" w14:textId="5243ECA0" w:rsidR="002619AE" w:rsidRDefault="002619AE" w:rsidP="00627E55">
      <w:pPr>
        <w:pStyle w:val="Textkrper"/>
        <w:spacing w:after="240" w:line="276" w:lineRule="auto"/>
        <w:ind w:left="567" w:hanging="567"/>
      </w:pPr>
      <w:r>
        <w:rPr>
          <w:rFonts w:hint="eastAsia"/>
        </w:rPr>
        <w:t xml:space="preserve">Noussair, C., Robin, S, and </w:t>
      </w:r>
      <w:proofErr w:type="spellStart"/>
      <w:r>
        <w:rPr>
          <w:rFonts w:hint="eastAsia"/>
        </w:rPr>
        <w:t>Ruffieux</w:t>
      </w:r>
      <w:proofErr w:type="spellEnd"/>
      <w:r>
        <w:rPr>
          <w:rFonts w:hint="eastAsia"/>
        </w:rPr>
        <w:t xml:space="preserve">, B. (2001) </w:t>
      </w:r>
      <w:r>
        <w:t xml:space="preserve">Price Bubbles in Laboratory Asset Markets with Constant Fundamental Values, </w:t>
      </w:r>
      <w:r w:rsidRPr="004347EE">
        <w:rPr>
          <w:i/>
        </w:rPr>
        <w:t>Experimental Economics,</w:t>
      </w:r>
      <w:r>
        <w:t xml:space="preserve"> 4, 87-105</w:t>
      </w:r>
      <w:r>
        <w:rPr>
          <w:rFonts w:hint="eastAsia"/>
        </w:rPr>
        <w:t>.</w:t>
      </w:r>
    </w:p>
    <w:p w14:paraId="5912BF6E" w14:textId="77777777" w:rsidR="00627E55" w:rsidRPr="00A117A6" w:rsidRDefault="00627E55" w:rsidP="00627E55">
      <w:pPr>
        <w:pStyle w:val="Textkrper"/>
        <w:spacing w:after="240" w:line="276" w:lineRule="auto"/>
        <w:ind w:left="567" w:hanging="567"/>
      </w:pPr>
      <w:r>
        <w:t>Noussair, C., Tucker S. (2014) Cash inflows and bubbles in asset markets with constant fu</w:t>
      </w:r>
      <w:r>
        <w:t>n</w:t>
      </w:r>
      <w:r>
        <w:t xml:space="preserve">damental values. </w:t>
      </w:r>
      <w:proofErr w:type="gramStart"/>
      <w:r>
        <w:t>Working paper.</w:t>
      </w:r>
      <w:proofErr w:type="gramEnd"/>
    </w:p>
    <w:p w14:paraId="3F46CCA8" w14:textId="77777777" w:rsidR="00EF7E37" w:rsidRPr="00A117A6" w:rsidRDefault="00951C79">
      <w:pPr>
        <w:pStyle w:val="Textkrper"/>
        <w:spacing w:after="240" w:line="276" w:lineRule="auto"/>
        <w:ind w:left="567" w:hanging="567"/>
      </w:pPr>
      <w:r>
        <w:t xml:space="preserve">Palan, S. (2013) A </w:t>
      </w:r>
      <w:r w:rsidR="00B4180C">
        <w:t>R</w:t>
      </w:r>
      <w:r>
        <w:t xml:space="preserve">eview of </w:t>
      </w:r>
      <w:r w:rsidR="00B4180C">
        <w:t>B</w:t>
      </w:r>
      <w:r>
        <w:t xml:space="preserve">ubbles and </w:t>
      </w:r>
      <w:r w:rsidR="00B4180C">
        <w:t>C</w:t>
      </w:r>
      <w:r>
        <w:t xml:space="preserve">rashes in </w:t>
      </w:r>
      <w:r w:rsidR="00B4180C">
        <w:t>E</w:t>
      </w:r>
      <w:r>
        <w:t xml:space="preserve">xperimental </w:t>
      </w:r>
      <w:r w:rsidR="00B4180C">
        <w:t>S</w:t>
      </w:r>
      <w:r>
        <w:t xml:space="preserve">ecurity </w:t>
      </w:r>
      <w:r w:rsidR="00B4180C">
        <w:t>M</w:t>
      </w:r>
      <w:r>
        <w:t xml:space="preserve">arkets, </w:t>
      </w:r>
      <w:r>
        <w:rPr>
          <w:i/>
        </w:rPr>
        <w:t>Jou</w:t>
      </w:r>
      <w:r>
        <w:rPr>
          <w:i/>
        </w:rPr>
        <w:t>r</w:t>
      </w:r>
      <w:r>
        <w:rPr>
          <w:i/>
        </w:rPr>
        <w:t>nal of Economic Surveys</w:t>
      </w:r>
      <w:r>
        <w:t>, 27, 570–588.</w:t>
      </w:r>
    </w:p>
    <w:p w14:paraId="1A261FE0" w14:textId="77777777" w:rsidR="0043186A" w:rsidRDefault="00951C79">
      <w:pPr>
        <w:pStyle w:val="Textkrper"/>
        <w:spacing w:after="240" w:line="276" w:lineRule="auto"/>
        <w:ind w:left="567" w:hanging="567"/>
      </w:pPr>
      <w:proofErr w:type="spellStart"/>
      <w:r>
        <w:t>Plott</w:t>
      </w:r>
      <w:proofErr w:type="spellEnd"/>
      <w:r>
        <w:t>, C. and Sunder, S. (1982) Efficiency of Experimental Security Markets with Insider I</w:t>
      </w:r>
      <w:r>
        <w:t>n</w:t>
      </w:r>
      <w:r>
        <w:t xml:space="preserve">formation: An Application of Rational-Expectations Models, </w:t>
      </w:r>
      <w:r>
        <w:rPr>
          <w:i/>
        </w:rPr>
        <w:t>Journal of Political Eco</w:t>
      </w:r>
      <w:r>
        <w:rPr>
          <w:i/>
        </w:rPr>
        <w:t>n</w:t>
      </w:r>
      <w:r>
        <w:rPr>
          <w:i/>
        </w:rPr>
        <w:t>omy</w:t>
      </w:r>
      <w:r>
        <w:t>, 90, 663-698.</w:t>
      </w:r>
    </w:p>
    <w:p w14:paraId="43A19BDB" w14:textId="77777777" w:rsidR="00267E7B" w:rsidRDefault="00E1046F">
      <w:pPr>
        <w:pStyle w:val="Textkrper"/>
        <w:spacing w:after="240" w:line="276" w:lineRule="auto"/>
        <w:ind w:left="567" w:hanging="567"/>
      </w:pPr>
      <w:proofErr w:type="spellStart"/>
      <w:r>
        <w:t>Plott</w:t>
      </w:r>
      <w:proofErr w:type="spellEnd"/>
      <w:r>
        <w:t xml:space="preserve">, C. R. and </w:t>
      </w:r>
      <w:r w:rsidR="00267E7B" w:rsidRPr="00E1046F">
        <w:t>Sunder</w:t>
      </w:r>
      <w:r>
        <w:t xml:space="preserve"> S. (1988)</w:t>
      </w:r>
      <w:r w:rsidR="00267E7B" w:rsidRPr="00E1046F">
        <w:t xml:space="preserve"> Rational Expectations and the Aggregation of Diverse I</w:t>
      </w:r>
      <w:r w:rsidR="00267E7B" w:rsidRPr="00E1046F">
        <w:t>n</w:t>
      </w:r>
      <w:r w:rsidR="00267E7B" w:rsidRPr="00E1046F">
        <w:t>formation in Laboratory Security Markets</w:t>
      </w:r>
      <w:r>
        <w:t xml:space="preserve">, </w:t>
      </w:r>
      <w:proofErr w:type="spellStart"/>
      <w:r w:rsidR="00267E7B" w:rsidRPr="00E1046F">
        <w:rPr>
          <w:i/>
          <w:iCs/>
        </w:rPr>
        <w:t>Econometrica</w:t>
      </w:r>
      <w:proofErr w:type="spellEnd"/>
      <w:r w:rsidR="00267E7B" w:rsidRPr="00E1046F">
        <w:t> 56</w:t>
      </w:r>
      <w:r>
        <w:t>,</w:t>
      </w:r>
      <w:r w:rsidR="00267E7B" w:rsidRPr="00E1046F">
        <w:t xml:space="preserve"> 1085-1118.</w:t>
      </w:r>
    </w:p>
    <w:p w14:paraId="29E50557" w14:textId="77777777" w:rsidR="00EF7E37" w:rsidRPr="00A117A6" w:rsidRDefault="00951C79">
      <w:pPr>
        <w:pStyle w:val="Textkrper"/>
        <w:spacing w:after="240" w:line="276" w:lineRule="auto"/>
        <w:ind w:left="567" w:hanging="567"/>
      </w:pPr>
      <w:r>
        <w:t>Porter, D. P. and Smith, V. L. (1995) Futures Contracting and Dividend Uncertainty in Expe</w:t>
      </w:r>
      <w:r>
        <w:t>r</w:t>
      </w:r>
      <w:r>
        <w:t xml:space="preserve">imental Security Markets, </w:t>
      </w:r>
      <w:proofErr w:type="gramStart"/>
      <w:r>
        <w:rPr>
          <w:i/>
        </w:rPr>
        <w:t>The</w:t>
      </w:r>
      <w:proofErr w:type="gramEnd"/>
      <w:r>
        <w:rPr>
          <w:i/>
        </w:rPr>
        <w:t xml:space="preserve"> Journal of Business</w:t>
      </w:r>
      <w:r>
        <w:t>, 68, 509-541.</w:t>
      </w:r>
    </w:p>
    <w:p w14:paraId="520A99D8" w14:textId="77777777" w:rsidR="0043186A" w:rsidRDefault="00951C79" w:rsidP="007B2FEF">
      <w:pPr>
        <w:spacing w:afterLines="50" w:after="120" w:line="276" w:lineRule="auto"/>
        <w:ind w:left="564" w:hangingChars="235" w:hanging="564"/>
        <w:jc w:val="both"/>
        <w:rPr>
          <w:noProof/>
          <w:sz w:val="24"/>
          <w:szCs w:val="24"/>
          <w:lang w:eastAsia="ja-JP"/>
        </w:rPr>
      </w:pPr>
      <w:bookmarkStart w:id="4" w:name="_ENREF_21"/>
      <w:r>
        <w:rPr>
          <w:noProof/>
          <w:sz w:val="24"/>
          <w:szCs w:val="24"/>
          <w:lang w:eastAsia="ja-JP"/>
        </w:rPr>
        <w:t xml:space="preserve">Scheinkman, J. A. and Xiong, W. (2003) Overconfidence and Speculative Bubbles, </w:t>
      </w:r>
      <w:r>
        <w:rPr>
          <w:i/>
          <w:noProof/>
          <w:sz w:val="24"/>
          <w:szCs w:val="24"/>
          <w:lang w:eastAsia="ja-JP"/>
        </w:rPr>
        <w:t>Journal of Political Economy</w:t>
      </w:r>
      <w:r>
        <w:rPr>
          <w:noProof/>
          <w:sz w:val="24"/>
          <w:szCs w:val="24"/>
          <w:lang w:eastAsia="ja-JP"/>
        </w:rPr>
        <w:t>, 111, 1183-220.</w:t>
      </w:r>
      <w:bookmarkEnd w:id="4"/>
    </w:p>
    <w:p w14:paraId="7BBCD8FE" w14:textId="77777777" w:rsidR="003A23C5" w:rsidRDefault="003A23C5">
      <w:pPr>
        <w:pStyle w:val="Textkrper"/>
        <w:spacing w:after="240" w:line="276" w:lineRule="auto"/>
        <w:ind w:left="567" w:hanging="567"/>
      </w:pPr>
      <w:proofErr w:type="spellStart"/>
      <w:r>
        <w:rPr>
          <w:rFonts w:hint="eastAsia"/>
        </w:rPr>
        <w:t>Schotter</w:t>
      </w:r>
      <w:proofErr w:type="spellEnd"/>
      <w:r w:rsidR="00D2751A">
        <w:t>, A.</w:t>
      </w:r>
      <w:r>
        <w:rPr>
          <w:rFonts w:hint="eastAsia"/>
        </w:rPr>
        <w:t xml:space="preserve"> and Trevino</w:t>
      </w:r>
      <w:r w:rsidR="00D2751A">
        <w:t>, I. (</w:t>
      </w:r>
      <w:r>
        <w:rPr>
          <w:rFonts w:hint="eastAsia"/>
        </w:rPr>
        <w:t>2014</w:t>
      </w:r>
      <w:r w:rsidR="00D2751A">
        <w:t xml:space="preserve">) Belief Elicitation in the Laboratory, </w:t>
      </w:r>
      <w:r w:rsidR="00D2751A" w:rsidRPr="004250FA">
        <w:rPr>
          <w:i/>
        </w:rPr>
        <w:t>Annual Review of Economics</w:t>
      </w:r>
      <w:r w:rsidR="00D2751A">
        <w:t>, 6, 103-128.</w:t>
      </w:r>
    </w:p>
    <w:p w14:paraId="16DD8D33" w14:textId="77777777" w:rsidR="00EF7E37" w:rsidRPr="00A117A6" w:rsidRDefault="00951C79">
      <w:pPr>
        <w:pStyle w:val="Textkrper"/>
        <w:spacing w:after="240" w:line="276" w:lineRule="auto"/>
        <w:ind w:left="567" w:hanging="567"/>
      </w:pPr>
      <w:r>
        <w:t xml:space="preserve">Shiller, R. J. (1981) Do Stock Prices Move Too Much to be </w:t>
      </w:r>
      <w:proofErr w:type="gramStart"/>
      <w:r>
        <w:t>Justified</w:t>
      </w:r>
      <w:proofErr w:type="gramEnd"/>
      <w:r>
        <w:t xml:space="preserve"> by Subsequent Changes in Dividends? </w:t>
      </w:r>
      <w:r>
        <w:rPr>
          <w:i/>
        </w:rPr>
        <w:t>The American Economic Review</w:t>
      </w:r>
      <w:r>
        <w:t>, 71, 421-436.</w:t>
      </w:r>
    </w:p>
    <w:p w14:paraId="4C7E99FE" w14:textId="77777777" w:rsidR="00D95226" w:rsidRDefault="00D95226" w:rsidP="003F2B3C">
      <w:pPr>
        <w:pStyle w:val="Textkrper"/>
        <w:spacing w:after="240" w:line="276" w:lineRule="auto"/>
        <w:ind w:left="567" w:hanging="567"/>
      </w:pPr>
      <w:proofErr w:type="gramStart"/>
      <w:r>
        <w:rPr>
          <w:rFonts w:hint="eastAsia"/>
        </w:rPr>
        <w:t xml:space="preserve">Shiller, R. J. (2000) </w:t>
      </w:r>
      <w:r w:rsidR="00EC660C">
        <w:rPr>
          <w:rFonts w:hint="eastAsia"/>
        </w:rPr>
        <w:t>Irrational Exuberance, Princeton University Press, Princeton, New Jersey.</w:t>
      </w:r>
      <w:proofErr w:type="gramEnd"/>
    </w:p>
    <w:p w14:paraId="424A5B8F" w14:textId="726BC26B" w:rsidR="002C7802" w:rsidRDefault="002C7802" w:rsidP="003F2B3C">
      <w:pPr>
        <w:pStyle w:val="Textkrper"/>
        <w:spacing w:after="240" w:line="276" w:lineRule="auto"/>
        <w:ind w:left="567" w:hanging="567"/>
      </w:pPr>
      <w:r>
        <w:t xml:space="preserve">Smith, V. L. (1962) </w:t>
      </w:r>
      <w:proofErr w:type="gramStart"/>
      <w:r w:rsidRPr="002C7802">
        <w:t>An</w:t>
      </w:r>
      <w:proofErr w:type="gramEnd"/>
      <w:r w:rsidRPr="002C7802">
        <w:t xml:space="preserve"> experimental study of competitive market behavior</w:t>
      </w:r>
      <w:r>
        <w:t xml:space="preserve">, </w:t>
      </w:r>
      <w:r w:rsidRPr="002C7802">
        <w:rPr>
          <w:i/>
        </w:rPr>
        <w:t xml:space="preserve">The Journal of </w:t>
      </w:r>
      <w:r w:rsidRPr="002C7802">
        <w:rPr>
          <w:i/>
        </w:rPr>
        <w:lastRenderedPageBreak/>
        <w:t>Political Economy</w:t>
      </w:r>
      <w:r>
        <w:t xml:space="preserve">, 70, </w:t>
      </w:r>
      <w:r w:rsidRPr="002C7802">
        <w:t>111-137</w:t>
      </w:r>
      <w:r>
        <w:t>.</w:t>
      </w:r>
    </w:p>
    <w:p w14:paraId="2FE69584" w14:textId="77777777" w:rsidR="003F2B3C" w:rsidRPr="00A117A6" w:rsidRDefault="00951C79" w:rsidP="003F2B3C">
      <w:pPr>
        <w:pStyle w:val="Textkrper"/>
        <w:spacing w:after="240" w:line="276" w:lineRule="auto"/>
        <w:ind w:left="567" w:hanging="567"/>
      </w:pPr>
      <w:r>
        <w:t xml:space="preserve">Smith, V. L., </w:t>
      </w:r>
      <w:proofErr w:type="spellStart"/>
      <w:r>
        <w:t>Suchanek</w:t>
      </w:r>
      <w:proofErr w:type="spellEnd"/>
      <w:r>
        <w:t xml:space="preserve">, G. L., and Williams, A. W. (1988) Bubbles, Crashes, and Endogenous Expectations in Experimental Spot Security Markets, </w:t>
      </w:r>
      <w:proofErr w:type="spellStart"/>
      <w:r>
        <w:rPr>
          <w:i/>
        </w:rPr>
        <w:t>Econometrica</w:t>
      </w:r>
      <w:proofErr w:type="spellEnd"/>
      <w:r>
        <w:t>, 56, 1119–1151.</w:t>
      </w:r>
    </w:p>
    <w:p w14:paraId="3C02C68A" w14:textId="77777777" w:rsidR="00EF7E37" w:rsidRPr="00A117A6" w:rsidRDefault="00951C79">
      <w:pPr>
        <w:pStyle w:val="Textkrper"/>
        <w:spacing w:after="240" w:line="276" w:lineRule="auto"/>
        <w:ind w:left="567" w:hanging="567"/>
      </w:pPr>
      <w:r>
        <w:t xml:space="preserve">Smith, V., van </w:t>
      </w:r>
      <w:proofErr w:type="spellStart"/>
      <w:r>
        <w:t>Boening</w:t>
      </w:r>
      <w:proofErr w:type="spellEnd"/>
      <w:r>
        <w:t xml:space="preserve"> M. and Wellford C. (2000) Dividend </w:t>
      </w:r>
      <w:r w:rsidR="00B4180C">
        <w:t>T</w:t>
      </w:r>
      <w:r>
        <w:t xml:space="preserve">iming and </w:t>
      </w:r>
      <w:r w:rsidR="00B4180C">
        <w:t>B</w:t>
      </w:r>
      <w:r>
        <w:t xml:space="preserve">ehavior in </w:t>
      </w:r>
      <w:r w:rsidR="00B4180C">
        <w:t>L</w:t>
      </w:r>
      <w:r>
        <w:t>abor</w:t>
      </w:r>
      <w:r>
        <w:t>a</w:t>
      </w:r>
      <w:r>
        <w:t xml:space="preserve">tory </w:t>
      </w:r>
      <w:r w:rsidR="00B4180C">
        <w:t>S</w:t>
      </w:r>
      <w:r>
        <w:t xml:space="preserve">ecurity </w:t>
      </w:r>
      <w:r w:rsidR="00B4180C">
        <w:t>M</w:t>
      </w:r>
      <w:r>
        <w:t xml:space="preserve">arkets, </w:t>
      </w:r>
      <w:r>
        <w:rPr>
          <w:i/>
        </w:rPr>
        <w:t>Economic Theory</w:t>
      </w:r>
      <w:r>
        <w:t>, 16, 567–583.</w:t>
      </w:r>
    </w:p>
    <w:p w14:paraId="518770F3" w14:textId="77777777" w:rsidR="00D95226" w:rsidRDefault="00D95226">
      <w:pPr>
        <w:pStyle w:val="Textkrper"/>
        <w:spacing w:after="240" w:line="276" w:lineRule="auto"/>
        <w:ind w:left="567" w:hanging="567"/>
      </w:pPr>
      <w:r>
        <w:rPr>
          <w:rFonts w:hint="eastAsia"/>
        </w:rPr>
        <w:t>Stiglitz, J. E. (1989) Using T</w:t>
      </w:r>
      <w:r>
        <w:t>a</w:t>
      </w:r>
      <w:r>
        <w:rPr>
          <w:rFonts w:hint="eastAsia"/>
        </w:rPr>
        <w:t xml:space="preserve">x Policy to Curb Speculative Short-term Trading, </w:t>
      </w:r>
      <w:r w:rsidRPr="004250FA">
        <w:rPr>
          <w:i/>
        </w:rPr>
        <w:t>Journal of Financial Services Research</w:t>
      </w:r>
      <w:r>
        <w:rPr>
          <w:rFonts w:hint="eastAsia"/>
        </w:rPr>
        <w:t>, 3, 101-115.</w:t>
      </w:r>
    </w:p>
    <w:p w14:paraId="54050BCB" w14:textId="77777777" w:rsidR="00EF7E37" w:rsidRDefault="00951C79">
      <w:pPr>
        <w:pStyle w:val="Textkrper"/>
        <w:spacing w:after="240" w:line="276" w:lineRule="auto"/>
        <w:ind w:left="567" w:hanging="567"/>
      </w:pPr>
      <w:r>
        <w:t xml:space="preserve">Stöckl, T.; Huber, J. and Kirchler, M. (2010) Bubble </w:t>
      </w:r>
      <w:r w:rsidR="00B4180C">
        <w:t>M</w:t>
      </w:r>
      <w:r>
        <w:t xml:space="preserve">easures in </w:t>
      </w:r>
      <w:r w:rsidR="00B4180C">
        <w:t>E</w:t>
      </w:r>
      <w:r>
        <w:t xml:space="preserve">xperimental </w:t>
      </w:r>
      <w:r w:rsidR="00B4180C">
        <w:t>S</w:t>
      </w:r>
      <w:r>
        <w:t xml:space="preserve">ecurity </w:t>
      </w:r>
      <w:r w:rsidR="00B4180C">
        <w:t>M</w:t>
      </w:r>
      <w:r>
        <w:t xml:space="preserve">arkets, </w:t>
      </w:r>
      <w:r>
        <w:rPr>
          <w:i/>
        </w:rPr>
        <w:t>Experimental Economics</w:t>
      </w:r>
      <w:r>
        <w:t>, 13, 284-298.</w:t>
      </w:r>
    </w:p>
    <w:p w14:paraId="60A24BB4" w14:textId="77777777" w:rsidR="00DD0B46" w:rsidRPr="00A117A6" w:rsidRDefault="00DD0B46">
      <w:pPr>
        <w:pStyle w:val="Textkrper"/>
        <w:spacing w:after="240" w:line="276" w:lineRule="auto"/>
        <w:ind w:left="567" w:hanging="567"/>
      </w:pPr>
      <w:proofErr w:type="gramStart"/>
      <w:r w:rsidRPr="00DD0B46">
        <w:t xml:space="preserve">Stöckl, T.; Huber, J. &amp; Kirchler, M. </w:t>
      </w:r>
      <w:r>
        <w:t xml:space="preserve">(2015) </w:t>
      </w:r>
      <w:r w:rsidRPr="00DD0B46">
        <w:t xml:space="preserve">Multi-period </w:t>
      </w:r>
      <w:r w:rsidR="00D95226">
        <w:rPr>
          <w:rFonts w:hint="eastAsia"/>
        </w:rPr>
        <w:t>E</w:t>
      </w:r>
      <w:r w:rsidRPr="00DD0B46">
        <w:t xml:space="preserve">xperimental </w:t>
      </w:r>
      <w:r w:rsidR="00D95226">
        <w:rPr>
          <w:rFonts w:hint="eastAsia"/>
        </w:rPr>
        <w:t>A</w:t>
      </w:r>
      <w:r w:rsidRPr="00DD0B46">
        <w:t xml:space="preserve">sset </w:t>
      </w:r>
      <w:r w:rsidR="00D95226">
        <w:rPr>
          <w:rFonts w:hint="eastAsia"/>
        </w:rPr>
        <w:t>M</w:t>
      </w:r>
      <w:r w:rsidRPr="00DD0B46">
        <w:t>arkets with distinct fundamental value regimes</w:t>
      </w:r>
      <w:r>
        <w:t>,</w:t>
      </w:r>
      <w:r w:rsidRPr="00DD0B46">
        <w:t xml:space="preserve"> </w:t>
      </w:r>
      <w:r w:rsidRPr="00C604D4">
        <w:rPr>
          <w:i/>
        </w:rPr>
        <w:t>Experimental Economics</w:t>
      </w:r>
      <w:r w:rsidRPr="00DD0B46">
        <w:t>, 18, 314-334</w:t>
      </w:r>
      <w:r>
        <w:t>.</w:t>
      </w:r>
      <w:proofErr w:type="gramEnd"/>
    </w:p>
    <w:p w14:paraId="4D3F13E1" w14:textId="77777777" w:rsidR="003A23C5" w:rsidRDefault="003A23C5" w:rsidP="00A23CCB">
      <w:pPr>
        <w:pStyle w:val="Textkrper"/>
        <w:spacing w:after="240" w:line="276" w:lineRule="auto"/>
        <w:ind w:left="567" w:hanging="567"/>
      </w:pPr>
      <w:proofErr w:type="spellStart"/>
      <w:r>
        <w:rPr>
          <w:rFonts w:hint="eastAsia"/>
        </w:rPr>
        <w:t>Sutan</w:t>
      </w:r>
      <w:proofErr w:type="spellEnd"/>
      <w:r w:rsidR="00D2751A">
        <w:t>, A.</w:t>
      </w:r>
      <w:r>
        <w:rPr>
          <w:rFonts w:hint="eastAsia"/>
        </w:rPr>
        <w:t xml:space="preserve"> and </w:t>
      </w:r>
      <w:proofErr w:type="spellStart"/>
      <w:r>
        <w:rPr>
          <w:rFonts w:hint="eastAsia"/>
        </w:rPr>
        <w:t>Willinger</w:t>
      </w:r>
      <w:proofErr w:type="spellEnd"/>
      <w:r w:rsidR="00D2751A">
        <w:t>, M. (</w:t>
      </w:r>
      <w:r>
        <w:rPr>
          <w:rFonts w:hint="eastAsia"/>
        </w:rPr>
        <w:t>2009</w:t>
      </w:r>
      <w:r w:rsidR="00D2751A">
        <w:t xml:space="preserve">) Guessing with Negative Feedback: An Experiment, </w:t>
      </w:r>
      <w:r w:rsidR="00D2751A" w:rsidRPr="006A366C">
        <w:rPr>
          <w:i/>
        </w:rPr>
        <w:t>Jou</w:t>
      </w:r>
      <w:r w:rsidR="00D2751A" w:rsidRPr="006A366C">
        <w:rPr>
          <w:i/>
        </w:rPr>
        <w:t>r</w:t>
      </w:r>
      <w:r w:rsidR="00D2751A" w:rsidRPr="006A366C">
        <w:rPr>
          <w:i/>
        </w:rPr>
        <w:t>nal of Economic Dynamics and Control</w:t>
      </w:r>
      <w:r w:rsidR="00D2751A">
        <w:rPr>
          <w:rFonts w:hint="eastAsia"/>
        </w:rPr>
        <w:t xml:space="preserve">, </w:t>
      </w:r>
      <w:r w:rsidR="00D2751A">
        <w:t>33</w:t>
      </w:r>
      <w:r w:rsidR="00D2751A">
        <w:rPr>
          <w:rFonts w:hint="eastAsia"/>
        </w:rPr>
        <w:t xml:space="preserve">, </w:t>
      </w:r>
      <w:r w:rsidR="00D2751A">
        <w:t>1123-1133</w:t>
      </w:r>
      <w:r w:rsidR="00D2751A">
        <w:rPr>
          <w:rFonts w:hint="eastAsia"/>
        </w:rPr>
        <w:t>.</w:t>
      </w:r>
    </w:p>
    <w:p w14:paraId="07EA7044" w14:textId="77777777" w:rsidR="00A23CCB" w:rsidRDefault="00A23CCB" w:rsidP="00A23CCB">
      <w:pPr>
        <w:pStyle w:val="Textkrper"/>
        <w:spacing w:after="240" w:line="276" w:lineRule="auto"/>
        <w:ind w:left="567" w:hanging="567"/>
      </w:pPr>
      <w:r>
        <w:rPr>
          <w:rFonts w:hint="eastAsia"/>
        </w:rPr>
        <w:t>Taylor</w:t>
      </w:r>
      <w:r w:rsidR="00761E34">
        <w:rPr>
          <w:rFonts w:hint="eastAsia"/>
        </w:rPr>
        <w:t xml:space="preserve">, M. P. </w:t>
      </w:r>
      <w:r>
        <w:rPr>
          <w:rFonts w:hint="eastAsia"/>
        </w:rPr>
        <w:t xml:space="preserve">and </w:t>
      </w:r>
      <w:r w:rsidR="00761E34">
        <w:rPr>
          <w:rFonts w:hint="eastAsia"/>
        </w:rPr>
        <w:t xml:space="preserve">H. </w:t>
      </w:r>
      <w:r>
        <w:rPr>
          <w:rFonts w:hint="eastAsia"/>
        </w:rPr>
        <w:t>Allen (1992)</w:t>
      </w:r>
      <w:r w:rsidR="00761E34">
        <w:rPr>
          <w:rFonts w:hint="eastAsia"/>
        </w:rPr>
        <w:t xml:space="preserve"> </w:t>
      </w:r>
      <w:proofErr w:type="gramStart"/>
      <w:r w:rsidR="00761E34">
        <w:rPr>
          <w:rFonts w:hint="eastAsia"/>
        </w:rPr>
        <w:t>The</w:t>
      </w:r>
      <w:proofErr w:type="gramEnd"/>
      <w:r w:rsidR="00761E34">
        <w:rPr>
          <w:rFonts w:hint="eastAsia"/>
        </w:rPr>
        <w:t xml:space="preserve"> Use of Technical Analysis in the Foreign Exchange Market, </w:t>
      </w:r>
      <w:r w:rsidR="006A366C" w:rsidRPr="006A366C">
        <w:rPr>
          <w:i/>
        </w:rPr>
        <w:t>Journal of International Money and Finance</w:t>
      </w:r>
      <w:r w:rsidR="00761E34">
        <w:rPr>
          <w:rFonts w:hint="eastAsia"/>
        </w:rPr>
        <w:t>, 11, 304-314.</w:t>
      </w:r>
    </w:p>
    <w:p w14:paraId="47E185CB" w14:textId="77777777" w:rsidR="003A23C5" w:rsidRDefault="003A23C5">
      <w:pPr>
        <w:pStyle w:val="Textkrper"/>
        <w:spacing w:after="240" w:line="276" w:lineRule="auto"/>
        <w:ind w:left="567" w:hanging="567"/>
      </w:pPr>
      <w:r>
        <w:rPr>
          <w:rFonts w:hint="eastAsia"/>
        </w:rPr>
        <w:t>Tirole</w:t>
      </w:r>
      <w:r w:rsidR="00A67696">
        <w:t>, J. (1</w:t>
      </w:r>
      <w:r>
        <w:rPr>
          <w:rFonts w:hint="eastAsia"/>
        </w:rPr>
        <w:t>982</w:t>
      </w:r>
      <w:r w:rsidR="00A67696">
        <w:t xml:space="preserve">) On the Possibility of Speculation under Rational Expectations, </w:t>
      </w:r>
      <w:proofErr w:type="spellStart"/>
      <w:r w:rsidR="00A67696">
        <w:rPr>
          <w:i/>
        </w:rPr>
        <w:t>Econometr</w:t>
      </w:r>
      <w:r w:rsidR="00A67696">
        <w:rPr>
          <w:i/>
        </w:rPr>
        <w:t>i</w:t>
      </w:r>
      <w:r w:rsidR="00A67696">
        <w:rPr>
          <w:i/>
        </w:rPr>
        <w:t>ca</w:t>
      </w:r>
      <w:proofErr w:type="spellEnd"/>
      <w:r w:rsidR="00A67696">
        <w:t>, 50, 1163-1181.</w:t>
      </w:r>
    </w:p>
    <w:p w14:paraId="31D69337" w14:textId="77777777" w:rsidR="00EF7E37" w:rsidRPr="00A117A6" w:rsidRDefault="00951C79">
      <w:pPr>
        <w:pStyle w:val="Textkrper"/>
        <w:spacing w:after="240" w:line="276" w:lineRule="auto"/>
        <w:ind w:left="567" w:hanging="567"/>
      </w:pPr>
      <w:proofErr w:type="gramStart"/>
      <w:r>
        <w:t xml:space="preserve">Tirole, J. (1985) Security </w:t>
      </w:r>
      <w:r w:rsidR="00B4180C">
        <w:t>B</w:t>
      </w:r>
      <w:r>
        <w:t xml:space="preserve">ubbles and </w:t>
      </w:r>
      <w:r w:rsidR="00B4180C">
        <w:t>Overlapping G</w:t>
      </w:r>
      <w:r>
        <w:t xml:space="preserve">enerations, </w:t>
      </w:r>
      <w:proofErr w:type="spellStart"/>
      <w:r>
        <w:rPr>
          <w:i/>
        </w:rPr>
        <w:t>Econometrica</w:t>
      </w:r>
      <w:proofErr w:type="spellEnd"/>
      <w:r>
        <w:t>, 53, 1071-1100.</w:t>
      </w:r>
      <w:proofErr w:type="gramEnd"/>
    </w:p>
    <w:p w14:paraId="0FDA6FFD" w14:textId="77777777" w:rsidR="003E70F6" w:rsidRDefault="003E70F6" w:rsidP="00F35B55">
      <w:pPr>
        <w:pStyle w:val="Textkrper"/>
        <w:spacing w:after="240" w:line="276" w:lineRule="auto"/>
        <w:ind w:left="567" w:hanging="567"/>
      </w:pPr>
      <w:proofErr w:type="spellStart"/>
      <w:r>
        <w:rPr>
          <w:rFonts w:hint="eastAsia"/>
        </w:rPr>
        <w:t>Xiong</w:t>
      </w:r>
      <w:proofErr w:type="spellEnd"/>
      <w:r>
        <w:rPr>
          <w:rFonts w:hint="eastAsia"/>
        </w:rPr>
        <w:t xml:space="preserve">, W. and Yu, J. (2011), </w:t>
      </w:r>
      <w:proofErr w:type="gramStart"/>
      <w:r>
        <w:rPr>
          <w:rFonts w:hint="eastAsia"/>
        </w:rPr>
        <w:t>The</w:t>
      </w:r>
      <w:proofErr w:type="gramEnd"/>
      <w:r>
        <w:rPr>
          <w:rFonts w:hint="eastAsia"/>
        </w:rPr>
        <w:t xml:space="preserve"> Chinese Warrants Bubble, </w:t>
      </w:r>
      <w:r w:rsidR="00A67696" w:rsidRPr="004250FA">
        <w:rPr>
          <w:i/>
        </w:rPr>
        <w:t xml:space="preserve">The </w:t>
      </w:r>
      <w:r w:rsidRPr="008D1106">
        <w:rPr>
          <w:rFonts w:hint="eastAsia"/>
          <w:i/>
        </w:rPr>
        <w:t>American Economic Review</w:t>
      </w:r>
      <w:r>
        <w:rPr>
          <w:rFonts w:hint="eastAsia"/>
        </w:rPr>
        <w:t>, 101, 2723-2753.</w:t>
      </w:r>
    </w:p>
    <w:p w14:paraId="4A06E991" w14:textId="77777777" w:rsidR="003E70F6" w:rsidRPr="00A117A6" w:rsidRDefault="003E70F6" w:rsidP="003E70F6">
      <w:pPr>
        <w:pStyle w:val="Textkrper"/>
        <w:spacing w:after="240" w:line="276" w:lineRule="auto"/>
        <w:sectPr w:rsidR="003E70F6" w:rsidRPr="00A117A6" w:rsidSect="00A964ED">
          <w:footnotePr>
            <w:numRestart w:val="eachSect"/>
          </w:footnotePr>
          <w:endnotePr>
            <w:numFmt w:val="decimal"/>
          </w:endnotePr>
          <w:pgSz w:w="11907" w:h="16840" w:code="9"/>
          <w:pgMar w:top="1440" w:right="1440" w:bottom="1440" w:left="1440" w:header="850" w:footer="994" w:gutter="0"/>
          <w:cols w:space="425"/>
          <w:docGrid w:linePitch="552"/>
        </w:sectPr>
      </w:pPr>
    </w:p>
    <w:p w14:paraId="063B4369" w14:textId="77777777" w:rsidR="009F6761" w:rsidRDefault="009F6761" w:rsidP="000C50F0">
      <w:pPr>
        <w:jc w:val="center"/>
        <w:rPr>
          <w:b/>
          <w:sz w:val="24"/>
          <w:lang w:eastAsia="ja-JP"/>
        </w:rPr>
      </w:pPr>
    </w:p>
    <w:p w14:paraId="2A95BD8E" w14:textId="77777777" w:rsidR="000C50F0" w:rsidRDefault="000C50F0" w:rsidP="000C50F0">
      <w:pPr>
        <w:jc w:val="center"/>
        <w:rPr>
          <w:b/>
          <w:sz w:val="24"/>
          <w:lang w:eastAsia="ja-JP"/>
        </w:rPr>
      </w:pPr>
      <w:r w:rsidRPr="00446FAA">
        <w:rPr>
          <w:b/>
          <w:sz w:val="24"/>
          <w:lang w:eastAsia="ja-JP"/>
        </w:rPr>
        <w:t xml:space="preserve">Table </w:t>
      </w:r>
      <w:r>
        <w:rPr>
          <w:b/>
          <w:sz w:val="24"/>
          <w:lang w:eastAsia="ja-JP"/>
        </w:rPr>
        <w:t>1</w:t>
      </w:r>
      <w:r w:rsidRPr="00446FAA">
        <w:rPr>
          <w:b/>
          <w:sz w:val="24"/>
          <w:lang w:eastAsia="ja-JP"/>
        </w:rPr>
        <w:t xml:space="preserve">: </w:t>
      </w:r>
      <w:r w:rsidR="00CB3B53">
        <w:rPr>
          <w:b/>
          <w:sz w:val="24"/>
          <w:lang w:eastAsia="ja-JP"/>
        </w:rPr>
        <w:t>Treatment o</w:t>
      </w:r>
      <w:r>
        <w:rPr>
          <w:b/>
          <w:sz w:val="24"/>
          <w:lang w:eastAsia="ja-JP"/>
        </w:rPr>
        <w:t>verview</w:t>
      </w:r>
    </w:p>
    <w:p w14:paraId="4D95C315" w14:textId="77777777" w:rsidR="009F6761" w:rsidRPr="00446FAA" w:rsidRDefault="009F6761" w:rsidP="000C50F0">
      <w:pPr>
        <w:jc w:val="center"/>
        <w:rPr>
          <w:b/>
          <w:sz w:val="24"/>
          <w:lang w:eastAsia="ja-JP"/>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484"/>
        <w:gridCol w:w="1776"/>
        <w:gridCol w:w="1843"/>
      </w:tblGrid>
      <w:tr w:rsidR="000C50F0" w:rsidRPr="009D1CD4" w14:paraId="6E9DFA86" w14:textId="77777777" w:rsidTr="00F43DFC">
        <w:trPr>
          <w:trHeight w:val="397"/>
          <w:jc w:val="center"/>
        </w:trPr>
        <w:tc>
          <w:tcPr>
            <w:tcW w:w="1526" w:type="dxa"/>
            <w:tcBorders>
              <w:top w:val="nil"/>
              <w:left w:val="nil"/>
              <w:bottom w:val="nil"/>
              <w:right w:val="nil"/>
            </w:tcBorders>
            <w:shd w:val="clear" w:color="auto" w:fill="auto"/>
          </w:tcPr>
          <w:p w14:paraId="0569D5F3" w14:textId="77777777" w:rsidR="000C50F0" w:rsidRPr="009D1CD4" w:rsidRDefault="000C50F0" w:rsidP="00F43DFC">
            <w:pPr>
              <w:spacing w:line="480" w:lineRule="auto"/>
              <w:jc w:val="both"/>
              <w:rPr>
                <w:sz w:val="24"/>
                <w:lang w:eastAsia="ja-JP"/>
              </w:rPr>
            </w:pPr>
          </w:p>
        </w:tc>
        <w:tc>
          <w:tcPr>
            <w:tcW w:w="1484" w:type="dxa"/>
            <w:tcBorders>
              <w:top w:val="nil"/>
              <w:left w:val="nil"/>
              <w:bottom w:val="nil"/>
              <w:right w:val="single" w:sz="4" w:space="0" w:color="auto"/>
            </w:tcBorders>
            <w:shd w:val="clear" w:color="auto" w:fill="auto"/>
          </w:tcPr>
          <w:p w14:paraId="48416C2C" w14:textId="77777777" w:rsidR="000C50F0" w:rsidRPr="009D1CD4" w:rsidRDefault="000C50F0" w:rsidP="00F43DFC">
            <w:pPr>
              <w:spacing w:line="480" w:lineRule="auto"/>
              <w:jc w:val="both"/>
              <w:rPr>
                <w:sz w:val="24"/>
                <w:lang w:eastAsia="ja-JP"/>
              </w:rPr>
            </w:pPr>
          </w:p>
        </w:tc>
        <w:tc>
          <w:tcPr>
            <w:tcW w:w="3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FA3DC" w14:textId="77777777" w:rsidR="000C50F0" w:rsidRPr="009D1CD4" w:rsidRDefault="00CB3B53" w:rsidP="00CB3B53">
            <w:pPr>
              <w:jc w:val="center"/>
              <w:rPr>
                <w:b/>
                <w:sz w:val="24"/>
                <w:lang w:eastAsia="ja-JP"/>
              </w:rPr>
            </w:pPr>
            <w:r>
              <w:rPr>
                <w:b/>
                <w:sz w:val="24"/>
                <w:lang w:eastAsia="ja-JP"/>
              </w:rPr>
              <w:t>L</w:t>
            </w:r>
            <w:r w:rsidR="000C50F0">
              <w:rPr>
                <w:b/>
                <w:sz w:val="24"/>
                <w:lang w:eastAsia="ja-JP"/>
              </w:rPr>
              <w:t>iquidity</w:t>
            </w:r>
          </w:p>
        </w:tc>
      </w:tr>
      <w:tr w:rsidR="000C50F0" w:rsidRPr="009D1CD4" w14:paraId="0FBD9D50" w14:textId="77777777" w:rsidTr="00F43DFC">
        <w:trPr>
          <w:trHeight w:val="397"/>
          <w:jc w:val="center"/>
        </w:trPr>
        <w:tc>
          <w:tcPr>
            <w:tcW w:w="1526" w:type="dxa"/>
            <w:tcBorders>
              <w:top w:val="nil"/>
              <w:left w:val="nil"/>
              <w:bottom w:val="single" w:sz="4" w:space="0" w:color="auto"/>
              <w:right w:val="nil"/>
            </w:tcBorders>
            <w:shd w:val="clear" w:color="auto" w:fill="auto"/>
          </w:tcPr>
          <w:p w14:paraId="3DA0CB16" w14:textId="77777777" w:rsidR="000C50F0" w:rsidRPr="009D1CD4" w:rsidRDefault="000C50F0" w:rsidP="00F43DFC">
            <w:pPr>
              <w:spacing w:line="480" w:lineRule="auto"/>
              <w:jc w:val="both"/>
              <w:rPr>
                <w:b/>
                <w:sz w:val="24"/>
                <w:lang w:eastAsia="ja-JP"/>
              </w:rPr>
            </w:pPr>
          </w:p>
        </w:tc>
        <w:tc>
          <w:tcPr>
            <w:tcW w:w="1484" w:type="dxa"/>
            <w:tcBorders>
              <w:top w:val="nil"/>
              <w:left w:val="nil"/>
              <w:bottom w:val="single" w:sz="4" w:space="0" w:color="auto"/>
              <w:right w:val="single" w:sz="4" w:space="0" w:color="auto"/>
            </w:tcBorders>
            <w:shd w:val="clear" w:color="auto" w:fill="auto"/>
          </w:tcPr>
          <w:p w14:paraId="5C9BCDC0" w14:textId="77777777" w:rsidR="000C50F0" w:rsidRPr="009D1CD4" w:rsidRDefault="000C50F0" w:rsidP="00F43DFC">
            <w:pPr>
              <w:spacing w:line="480" w:lineRule="auto"/>
              <w:jc w:val="both"/>
              <w:rPr>
                <w:sz w:val="24"/>
                <w:lang w:eastAsia="ja-JP"/>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03138E2" w14:textId="77777777" w:rsidR="000C50F0" w:rsidRPr="009D1CD4" w:rsidRDefault="000C50F0" w:rsidP="00F43DFC">
            <w:pPr>
              <w:jc w:val="center"/>
              <w:rPr>
                <w:sz w:val="24"/>
                <w:lang w:eastAsia="ja-JP"/>
              </w:rPr>
            </w:pPr>
            <w:r>
              <w:rPr>
                <w:sz w:val="24"/>
                <w:lang w:eastAsia="ja-JP"/>
              </w:rPr>
              <w:t>HIGH</w:t>
            </w:r>
            <w:r>
              <w:rPr>
                <w:sz w:val="24"/>
                <w:lang w:eastAsia="ja-JP"/>
              </w:rPr>
              <w:br/>
              <w:t>(C/A-ratio=10)</w:t>
            </w:r>
          </w:p>
        </w:tc>
        <w:tc>
          <w:tcPr>
            <w:tcW w:w="1843" w:type="dxa"/>
            <w:tcBorders>
              <w:top w:val="single" w:sz="4" w:space="0" w:color="auto"/>
              <w:left w:val="single" w:sz="4" w:space="0" w:color="auto"/>
            </w:tcBorders>
            <w:shd w:val="clear" w:color="auto" w:fill="auto"/>
            <w:vAlign w:val="center"/>
          </w:tcPr>
          <w:p w14:paraId="5B6012C9" w14:textId="77777777" w:rsidR="000C50F0" w:rsidRPr="009D1CD4" w:rsidRDefault="000C50F0" w:rsidP="00F43DFC">
            <w:pPr>
              <w:jc w:val="center"/>
              <w:rPr>
                <w:sz w:val="24"/>
                <w:lang w:eastAsia="ja-JP"/>
              </w:rPr>
            </w:pPr>
            <w:r>
              <w:rPr>
                <w:sz w:val="24"/>
                <w:lang w:eastAsia="ja-JP"/>
              </w:rPr>
              <w:t xml:space="preserve">LOW </w:t>
            </w:r>
            <w:r>
              <w:rPr>
                <w:sz w:val="24"/>
                <w:lang w:eastAsia="ja-JP"/>
              </w:rPr>
              <w:br/>
              <w:t>(C/A-ratio=2)</w:t>
            </w:r>
          </w:p>
        </w:tc>
      </w:tr>
      <w:tr w:rsidR="000C50F0" w:rsidRPr="009D1CD4" w14:paraId="3A2926A9" w14:textId="77777777" w:rsidTr="00F43DFC">
        <w:trPr>
          <w:trHeight w:val="397"/>
          <w:jc w:val="center"/>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48B5F0" w14:textId="77777777" w:rsidR="00BE40AD" w:rsidRDefault="00BE40AD" w:rsidP="00F43DFC">
            <w:pPr>
              <w:spacing w:line="360" w:lineRule="auto"/>
              <w:rPr>
                <w:b/>
                <w:sz w:val="24"/>
                <w:lang w:eastAsia="ja-JP"/>
              </w:rPr>
            </w:pPr>
            <w:r>
              <w:rPr>
                <w:b/>
                <w:sz w:val="24"/>
                <w:lang w:eastAsia="ja-JP"/>
              </w:rPr>
              <w:t>No.</w:t>
            </w:r>
            <w:r w:rsidR="000C50F0">
              <w:rPr>
                <w:b/>
                <w:sz w:val="24"/>
                <w:lang w:eastAsia="ja-JP"/>
              </w:rPr>
              <w:t xml:space="preserve"> of </w:t>
            </w:r>
          </w:p>
          <w:p w14:paraId="1878BB04" w14:textId="77777777" w:rsidR="000C50F0" w:rsidRPr="009D1CD4" w:rsidRDefault="000C50F0" w:rsidP="00F43DFC">
            <w:pPr>
              <w:spacing w:line="360" w:lineRule="auto"/>
              <w:rPr>
                <w:sz w:val="24"/>
                <w:lang w:eastAsia="ja-JP"/>
              </w:rPr>
            </w:pPr>
            <w:r>
              <w:rPr>
                <w:b/>
                <w:sz w:val="24"/>
                <w:lang w:eastAsia="ja-JP"/>
              </w:rPr>
              <w:t>e</w:t>
            </w:r>
            <w:r>
              <w:rPr>
                <w:rFonts w:hint="eastAsia"/>
                <w:b/>
                <w:sz w:val="24"/>
                <w:lang w:eastAsia="ja-JP"/>
              </w:rPr>
              <w:t xml:space="preserve">ntering </w:t>
            </w:r>
            <w:r>
              <w:rPr>
                <w:b/>
                <w:sz w:val="24"/>
                <w:lang w:eastAsia="ja-JP"/>
              </w:rPr>
              <w:t>generation</w:t>
            </w:r>
            <w:r>
              <w:rPr>
                <w:rFonts w:hint="eastAsia"/>
                <w:b/>
                <w:sz w:val="24"/>
                <w:lang w:eastAsia="ja-JP"/>
              </w:rPr>
              <w:t>s</w:t>
            </w:r>
            <w:r>
              <w:rPr>
                <w:b/>
                <w:sz w:val="24"/>
                <w:lang w:eastAsia="ja-JP"/>
              </w:rPr>
              <w:t xml:space="preserve"> </w:t>
            </w:r>
          </w:p>
        </w:tc>
        <w:tc>
          <w:tcPr>
            <w:tcW w:w="1484" w:type="dxa"/>
            <w:tcBorders>
              <w:top w:val="single" w:sz="4" w:space="0" w:color="auto"/>
              <w:left w:val="single" w:sz="4" w:space="0" w:color="auto"/>
            </w:tcBorders>
            <w:shd w:val="clear" w:color="auto" w:fill="auto"/>
            <w:vAlign w:val="center"/>
          </w:tcPr>
          <w:p w14:paraId="6AAB419F" w14:textId="77777777" w:rsidR="000C50F0" w:rsidRDefault="000C50F0" w:rsidP="00F43DFC">
            <w:pPr>
              <w:jc w:val="center"/>
              <w:rPr>
                <w:sz w:val="24"/>
                <w:lang w:eastAsia="ja-JP"/>
              </w:rPr>
            </w:pPr>
            <w:r>
              <w:rPr>
                <w:sz w:val="24"/>
                <w:lang w:eastAsia="ja-JP"/>
              </w:rPr>
              <w:t>1</w:t>
            </w:r>
          </w:p>
        </w:tc>
        <w:tc>
          <w:tcPr>
            <w:tcW w:w="1776" w:type="dxa"/>
            <w:shd w:val="clear" w:color="auto" w:fill="D9D9D9" w:themeFill="background1" w:themeFillShade="D9"/>
            <w:vAlign w:val="center"/>
          </w:tcPr>
          <w:p w14:paraId="4701614E" w14:textId="77777777" w:rsidR="000C50F0" w:rsidRDefault="000C50F0" w:rsidP="00F43DFC">
            <w:pPr>
              <w:jc w:val="center"/>
              <w:rPr>
                <w:sz w:val="24"/>
                <w:lang w:eastAsia="ja-JP"/>
              </w:rPr>
            </w:pPr>
            <w:r>
              <w:rPr>
                <w:sz w:val="24"/>
                <w:lang w:eastAsia="ja-JP"/>
              </w:rPr>
              <w:t>T1H</w:t>
            </w:r>
          </w:p>
        </w:tc>
        <w:tc>
          <w:tcPr>
            <w:tcW w:w="1843" w:type="dxa"/>
            <w:shd w:val="clear" w:color="auto" w:fill="D9D9D9" w:themeFill="background1" w:themeFillShade="D9"/>
            <w:vAlign w:val="center"/>
          </w:tcPr>
          <w:p w14:paraId="1AFEC06F" w14:textId="77777777" w:rsidR="000C50F0" w:rsidRDefault="000C50F0" w:rsidP="00F43DFC">
            <w:pPr>
              <w:jc w:val="center"/>
              <w:rPr>
                <w:sz w:val="24"/>
                <w:lang w:eastAsia="ja-JP"/>
              </w:rPr>
            </w:pPr>
            <w:r>
              <w:rPr>
                <w:sz w:val="24"/>
                <w:lang w:eastAsia="ja-JP"/>
              </w:rPr>
              <w:t>T1L</w:t>
            </w:r>
          </w:p>
        </w:tc>
      </w:tr>
      <w:tr w:rsidR="000C50F0" w:rsidRPr="009D1CD4" w14:paraId="619E7DBD" w14:textId="77777777" w:rsidTr="00F43DFC">
        <w:trPr>
          <w:trHeight w:val="397"/>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BCEE0C" w14:textId="77777777" w:rsidR="000C50F0" w:rsidRPr="009D1CD4" w:rsidRDefault="000C50F0" w:rsidP="00F43DFC">
            <w:pPr>
              <w:spacing w:line="480" w:lineRule="auto"/>
              <w:jc w:val="both"/>
              <w:rPr>
                <w:sz w:val="24"/>
                <w:lang w:eastAsia="ja-JP"/>
              </w:rPr>
            </w:pPr>
          </w:p>
        </w:tc>
        <w:tc>
          <w:tcPr>
            <w:tcW w:w="1484" w:type="dxa"/>
            <w:tcBorders>
              <w:top w:val="single" w:sz="4" w:space="0" w:color="auto"/>
              <w:left w:val="single" w:sz="4" w:space="0" w:color="auto"/>
            </w:tcBorders>
            <w:shd w:val="clear" w:color="auto" w:fill="auto"/>
            <w:vAlign w:val="center"/>
          </w:tcPr>
          <w:p w14:paraId="0605153C" w14:textId="77777777" w:rsidR="000C50F0" w:rsidRPr="009D1CD4" w:rsidRDefault="000C50F0" w:rsidP="00F43DFC">
            <w:pPr>
              <w:jc w:val="center"/>
              <w:rPr>
                <w:sz w:val="24"/>
                <w:lang w:eastAsia="ja-JP"/>
              </w:rPr>
            </w:pPr>
            <w:r>
              <w:rPr>
                <w:sz w:val="24"/>
                <w:lang w:eastAsia="ja-JP"/>
              </w:rPr>
              <w:t>2</w:t>
            </w:r>
          </w:p>
        </w:tc>
        <w:tc>
          <w:tcPr>
            <w:tcW w:w="1776" w:type="dxa"/>
            <w:shd w:val="clear" w:color="auto" w:fill="D9D9D9" w:themeFill="background1" w:themeFillShade="D9"/>
            <w:vAlign w:val="center"/>
          </w:tcPr>
          <w:p w14:paraId="0C0C4E3B" w14:textId="77777777" w:rsidR="000C50F0" w:rsidRPr="009D1CD4" w:rsidRDefault="000C50F0" w:rsidP="00F43DFC">
            <w:pPr>
              <w:jc w:val="center"/>
              <w:rPr>
                <w:sz w:val="24"/>
                <w:lang w:eastAsia="ja-JP"/>
              </w:rPr>
            </w:pPr>
            <w:r>
              <w:rPr>
                <w:sz w:val="24"/>
                <w:lang w:eastAsia="ja-JP"/>
              </w:rPr>
              <w:t>T2H</w:t>
            </w:r>
          </w:p>
        </w:tc>
        <w:tc>
          <w:tcPr>
            <w:tcW w:w="1843" w:type="dxa"/>
            <w:shd w:val="clear" w:color="auto" w:fill="D9D9D9" w:themeFill="background1" w:themeFillShade="D9"/>
            <w:vAlign w:val="center"/>
          </w:tcPr>
          <w:p w14:paraId="4F21E016" w14:textId="77777777" w:rsidR="000C50F0" w:rsidRPr="009D1CD4" w:rsidRDefault="000C50F0" w:rsidP="00F43DFC">
            <w:pPr>
              <w:jc w:val="center"/>
              <w:rPr>
                <w:sz w:val="24"/>
                <w:lang w:eastAsia="ja-JP"/>
              </w:rPr>
            </w:pPr>
            <w:r>
              <w:rPr>
                <w:sz w:val="24"/>
                <w:lang w:eastAsia="ja-JP"/>
              </w:rPr>
              <w:t>T2L</w:t>
            </w:r>
          </w:p>
        </w:tc>
      </w:tr>
      <w:tr w:rsidR="000C50F0" w:rsidRPr="009D1CD4" w14:paraId="280818EB" w14:textId="77777777" w:rsidTr="00F43DFC">
        <w:trPr>
          <w:trHeight w:val="397"/>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A9C05" w14:textId="77777777" w:rsidR="000C50F0" w:rsidRPr="009D1CD4" w:rsidRDefault="000C50F0" w:rsidP="00F43DFC">
            <w:pPr>
              <w:spacing w:line="480" w:lineRule="auto"/>
              <w:jc w:val="both"/>
              <w:rPr>
                <w:sz w:val="24"/>
                <w:lang w:eastAsia="ja-JP"/>
              </w:rPr>
            </w:pPr>
          </w:p>
        </w:tc>
        <w:tc>
          <w:tcPr>
            <w:tcW w:w="1484" w:type="dxa"/>
            <w:tcBorders>
              <w:left w:val="single" w:sz="4" w:space="0" w:color="auto"/>
            </w:tcBorders>
            <w:shd w:val="clear" w:color="auto" w:fill="auto"/>
            <w:vAlign w:val="center"/>
          </w:tcPr>
          <w:p w14:paraId="015035ED" w14:textId="77777777" w:rsidR="000C50F0" w:rsidRPr="009D1CD4" w:rsidRDefault="000C50F0" w:rsidP="00F43DFC">
            <w:pPr>
              <w:jc w:val="center"/>
              <w:rPr>
                <w:sz w:val="24"/>
                <w:lang w:eastAsia="ja-JP"/>
              </w:rPr>
            </w:pPr>
            <w:r w:rsidRPr="009D1CD4">
              <w:rPr>
                <w:sz w:val="24"/>
                <w:lang w:eastAsia="ja-JP"/>
              </w:rPr>
              <w:t>4</w:t>
            </w:r>
          </w:p>
        </w:tc>
        <w:tc>
          <w:tcPr>
            <w:tcW w:w="1776" w:type="dxa"/>
            <w:shd w:val="clear" w:color="auto" w:fill="D9D9D9" w:themeFill="background1" w:themeFillShade="D9"/>
            <w:vAlign w:val="center"/>
          </w:tcPr>
          <w:p w14:paraId="7D316ADC" w14:textId="77777777" w:rsidR="000C50F0" w:rsidRPr="009D1CD4" w:rsidRDefault="000C50F0" w:rsidP="00F43DFC">
            <w:pPr>
              <w:jc w:val="center"/>
              <w:rPr>
                <w:sz w:val="24"/>
                <w:lang w:eastAsia="ja-JP"/>
              </w:rPr>
            </w:pPr>
            <w:r>
              <w:rPr>
                <w:sz w:val="24"/>
                <w:lang w:eastAsia="ja-JP"/>
              </w:rPr>
              <w:t>T4H</w:t>
            </w:r>
          </w:p>
        </w:tc>
        <w:tc>
          <w:tcPr>
            <w:tcW w:w="1843" w:type="dxa"/>
            <w:shd w:val="clear" w:color="auto" w:fill="D9D9D9" w:themeFill="background1" w:themeFillShade="D9"/>
            <w:vAlign w:val="center"/>
          </w:tcPr>
          <w:p w14:paraId="6BDD68BD" w14:textId="77777777" w:rsidR="000C50F0" w:rsidRPr="009D1CD4" w:rsidRDefault="000C50F0" w:rsidP="00F43DFC">
            <w:pPr>
              <w:jc w:val="center"/>
              <w:rPr>
                <w:sz w:val="24"/>
                <w:lang w:eastAsia="ja-JP"/>
              </w:rPr>
            </w:pPr>
            <w:r>
              <w:rPr>
                <w:sz w:val="24"/>
                <w:lang w:eastAsia="ja-JP"/>
              </w:rPr>
              <w:t>T4L</w:t>
            </w:r>
          </w:p>
        </w:tc>
      </w:tr>
      <w:tr w:rsidR="000C50F0" w:rsidRPr="009D1CD4" w14:paraId="6C0B2B67" w14:textId="77777777" w:rsidTr="00F43DFC">
        <w:trPr>
          <w:trHeight w:val="397"/>
          <w:jc w:val="center"/>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0A565" w14:textId="77777777" w:rsidR="000C50F0" w:rsidRPr="009D1CD4" w:rsidRDefault="000C50F0" w:rsidP="00F43DFC">
            <w:pPr>
              <w:spacing w:line="480" w:lineRule="auto"/>
              <w:jc w:val="both"/>
              <w:rPr>
                <w:sz w:val="24"/>
                <w:lang w:eastAsia="ja-JP"/>
              </w:rPr>
            </w:pPr>
          </w:p>
        </w:tc>
        <w:tc>
          <w:tcPr>
            <w:tcW w:w="1484" w:type="dxa"/>
            <w:tcBorders>
              <w:left w:val="single" w:sz="4" w:space="0" w:color="auto"/>
            </w:tcBorders>
            <w:shd w:val="clear" w:color="auto" w:fill="auto"/>
            <w:vAlign w:val="center"/>
          </w:tcPr>
          <w:p w14:paraId="68C5EC1B" w14:textId="77777777" w:rsidR="000C50F0" w:rsidRPr="009D1CD4" w:rsidRDefault="000C50F0" w:rsidP="00F43DFC">
            <w:pPr>
              <w:jc w:val="center"/>
              <w:rPr>
                <w:sz w:val="24"/>
                <w:lang w:eastAsia="ja-JP"/>
              </w:rPr>
            </w:pPr>
            <w:r>
              <w:rPr>
                <w:sz w:val="24"/>
                <w:lang w:eastAsia="ja-JP"/>
              </w:rPr>
              <w:t>8</w:t>
            </w:r>
          </w:p>
        </w:tc>
        <w:tc>
          <w:tcPr>
            <w:tcW w:w="1776" w:type="dxa"/>
            <w:shd w:val="clear" w:color="auto" w:fill="D9D9D9" w:themeFill="background1" w:themeFillShade="D9"/>
            <w:vAlign w:val="center"/>
          </w:tcPr>
          <w:p w14:paraId="0BFFAE8A" w14:textId="77777777" w:rsidR="000C50F0" w:rsidRPr="009D1CD4" w:rsidRDefault="000C50F0" w:rsidP="00F43DFC">
            <w:pPr>
              <w:jc w:val="center"/>
              <w:rPr>
                <w:sz w:val="24"/>
                <w:lang w:eastAsia="ja-JP"/>
              </w:rPr>
            </w:pPr>
            <w:r>
              <w:rPr>
                <w:sz w:val="24"/>
                <w:lang w:eastAsia="ja-JP"/>
              </w:rPr>
              <w:t>T8H</w:t>
            </w:r>
          </w:p>
        </w:tc>
        <w:tc>
          <w:tcPr>
            <w:tcW w:w="1843" w:type="dxa"/>
            <w:shd w:val="clear" w:color="auto" w:fill="D9D9D9" w:themeFill="background1" w:themeFillShade="D9"/>
            <w:vAlign w:val="center"/>
          </w:tcPr>
          <w:p w14:paraId="6AD798BB" w14:textId="77777777" w:rsidR="000C50F0" w:rsidRPr="009D1CD4" w:rsidRDefault="000C50F0" w:rsidP="00F43DFC">
            <w:pPr>
              <w:jc w:val="center"/>
              <w:rPr>
                <w:sz w:val="24"/>
                <w:lang w:eastAsia="ja-JP"/>
              </w:rPr>
            </w:pPr>
            <w:r>
              <w:rPr>
                <w:sz w:val="24"/>
                <w:lang w:eastAsia="ja-JP"/>
              </w:rPr>
              <w:t>T8L</w:t>
            </w:r>
          </w:p>
        </w:tc>
      </w:tr>
    </w:tbl>
    <w:p w14:paraId="038CF6CC" w14:textId="77777777" w:rsidR="000C50F0" w:rsidRDefault="000C50F0" w:rsidP="000C50F0">
      <w:pPr>
        <w:spacing w:line="480" w:lineRule="auto"/>
        <w:ind w:firstLine="709"/>
        <w:jc w:val="both"/>
        <w:rPr>
          <w:sz w:val="24"/>
          <w:lang w:eastAsia="ja-JP"/>
        </w:rPr>
      </w:pPr>
    </w:p>
    <w:p w14:paraId="51E4A4A2" w14:textId="77777777" w:rsidR="009F6761" w:rsidRDefault="009F6761" w:rsidP="000C50F0">
      <w:pPr>
        <w:spacing w:line="480" w:lineRule="auto"/>
        <w:ind w:firstLine="709"/>
        <w:jc w:val="both"/>
        <w:rPr>
          <w:sz w:val="24"/>
          <w:lang w:eastAsia="ja-JP"/>
        </w:rPr>
      </w:pPr>
    </w:p>
    <w:p w14:paraId="4B8CC15A" w14:textId="77777777" w:rsidR="000C50F0" w:rsidRDefault="000C50F0" w:rsidP="000C50F0">
      <w:pPr>
        <w:jc w:val="center"/>
        <w:rPr>
          <w:b/>
          <w:sz w:val="24"/>
          <w:lang w:eastAsia="ja-JP"/>
        </w:rPr>
      </w:pPr>
      <w:r w:rsidRPr="00C83731">
        <w:rPr>
          <w:b/>
          <w:sz w:val="24"/>
          <w:lang w:eastAsia="ja-JP"/>
        </w:rPr>
        <w:t xml:space="preserve">Table </w:t>
      </w:r>
      <w:r>
        <w:rPr>
          <w:b/>
          <w:sz w:val="24"/>
          <w:lang w:eastAsia="ja-JP"/>
        </w:rPr>
        <w:t>2:</w:t>
      </w:r>
      <w:r w:rsidRPr="00C83731">
        <w:rPr>
          <w:b/>
          <w:sz w:val="24"/>
          <w:lang w:eastAsia="ja-JP"/>
        </w:rPr>
        <w:t xml:space="preserve"> </w:t>
      </w:r>
      <w:r>
        <w:rPr>
          <w:b/>
          <w:sz w:val="24"/>
          <w:lang w:eastAsia="ja-JP"/>
        </w:rPr>
        <w:t>Treatment parameterization</w:t>
      </w:r>
    </w:p>
    <w:p w14:paraId="71E2861D" w14:textId="77777777" w:rsidR="009F6761" w:rsidRPr="00C83731" w:rsidRDefault="009F6761" w:rsidP="000C50F0">
      <w:pPr>
        <w:jc w:val="center"/>
        <w:rPr>
          <w:b/>
          <w:sz w:val="24"/>
          <w:lang w:eastAsia="ja-JP"/>
        </w:rPr>
      </w:pPr>
    </w:p>
    <w:tbl>
      <w:tblPr>
        <w:tblW w:w="9514" w:type="dxa"/>
        <w:tblInd w:w="-72" w:type="dxa"/>
        <w:tblLook w:val="04A0" w:firstRow="1" w:lastRow="0" w:firstColumn="1" w:lastColumn="0" w:noHBand="0" w:noVBand="1"/>
      </w:tblPr>
      <w:tblGrid>
        <w:gridCol w:w="72"/>
        <w:gridCol w:w="93"/>
        <w:gridCol w:w="2709"/>
        <w:gridCol w:w="821"/>
        <w:gridCol w:w="821"/>
        <w:gridCol w:w="821"/>
        <w:gridCol w:w="821"/>
        <w:gridCol w:w="889"/>
        <w:gridCol w:w="821"/>
        <w:gridCol w:w="882"/>
        <w:gridCol w:w="826"/>
      </w:tblGrid>
      <w:tr w:rsidR="000C50F0" w:rsidRPr="008515AF" w14:paraId="38FFBE26" w14:textId="77777777" w:rsidTr="008A47C6">
        <w:trPr>
          <w:gridBefore w:val="2"/>
          <w:wBefore w:w="165" w:type="dxa"/>
          <w:trHeight w:val="375"/>
        </w:trPr>
        <w:tc>
          <w:tcPr>
            <w:tcW w:w="2709" w:type="dxa"/>
            <w:tcBorders>
              <w:top w:val="double" w:sz="4" w:space="0" w:color="auto"/>
              <w:left w:val="nil"/>
              <w:bottom w:val="single" w:sz="4" w:space="0" w:color="auto"/>
              <w:right w:val="single" w:sz="4" w:space="0" w:color="auto"/>
            </w:tcBorders>
            <w:shd w:val="clear" w:color="auto" w:fill="auto"/>
            <w:noWrap/>
            <w:vAlign w:val="bottom"/>
            <w:hideMark/>
          </w:tcPr>
          <w:p w14:paraId="1A40005F" w14:textId="77777777" w:rsidR="000C50F0" w:rsidRPr="00A76A8C" w:rsidRDefault="000C50F0" w:rsidP="008A47C6">
            <w:pPr>
              <w:ind w:left="-93"/>
              <w:rPr>
                <w:rFonts w:eastAsia="Times New Roman"/>
                <w:color w:val="000000"/>
                <w:sz w:val="22"/>
                <w:szCs w:val="22"/>
              </w:rPr>
            </w:pPr>
            <w:r w:rsidRPr="00A76A8C">
              <w:rPr>
                <w:rFonts w:eastAsia="Times New Roman"/>
                <w:color w:val="000000"/>
                <w:sz w:val="22"/>
                <w:szCs w:val="22"/>
              </w:rPr>
              <w:t>Treatment</w:t>
            </w:r>
          </w:p>
        </w:tc>
        <w:tc>
          <w:tcPr>
            <w:tcW w:w="759" w:type="dxa"/>
            <w:tcBorders>
              <w:top w:val="double" w:sz="4" w:space="0" w:color="auto"/>
              <w:left w:val="nil"/>
              <w:bottom w:val="single" w:sz="4" w:space="0" w:color="auto"/>
              <w:right w:val="nil"/>
            </w:tcBorders>
            <w:shd w:val="clear" w:color="auto" w:fill="auto"/>
            <w:noWrap/>
            <w:vAlign w:val="bottom"/>
            <w:hideMark/>
          </w:tcPr>
          <w:p w14:paraId="245AFD7A" w14:textId="77777777" w:rsidR="000C50F0" w:rsidRPr="00A76A8C" w:rsidRDefault="000C50F0" w:rsidP="00F43DFC">
            <w:pPr>
              <w:jc w:val="center"/>
              <w:rPr>
                <w:rFonts w:eastAsia="Times New Roman"/>
                <w:sz w:val="22"/>
                <w:szCs w:val="22"/>
              </w:rPr>
            </w:pPr>
            <w:r w:rsidRPr="00A76A8C">
              <w:rPr>
                <w:rFonts w:eastAsia="Times New Roman"/>
                <w:sz w:val="22"/>
                <w:szCs w:val="22"/>
              </w:rPr>
              <w:t>T1H</w:t>
            </w:r>
          </w:p>
        </w:tc>
        <w:tc>
          <w:tcPr>
            <w:tcW w:w="821" w:type="dxa"/>
            <w:tcBorders>
              <w:top w:val="double" w:sz="4" w:space="0" w:color="auto"/>
              <w:left w:val="nil"/>
              <w:bottom w:val="single" w:sz="4" w:space="0" w:color="auto"/>
              <w:right w:val="single" w:sz="4" w:space="0" w:color="auto"/>
            </w:tcBorders>
            <w:shd w:val="clear" w:color="auto" w:fill="D9D9D9" w:themeFill="background1" w:themeFillShade="D9"/>
            <w:noWrap/>
            <w:vAlign w:val="bottom"/>
            <w:hideMark/>
          </w:tcPr>
          <w:p w14:paraId="51BAF74D" w14:textId="77777777" w:rsidR="000C50F0" w:rsidRPr="00A76A8C" w:rsidRDefault="000C50F0" w:rsidP="00F43DFC">
            <w:pPr>
              <w:jc w:val="center"/>
              <w:rPr>
                <w:rFonts w:eastAsia="Times New Roman"/>
                <w:sz w:val="22"/>
                <w:szCs w:val="22"/>
              </w:rPr>
            </w:pPr>
            <w:r w:rsidRPr="00A76A8C">
              <w:rPr>
                <w:rFonts w:eastAsia="Times New Roman"/>
                <w:sz w:val="22"/>
                <w:szCs w:val="22"/>
              </w:rPr>
              <w:t>T1L</w:t>
            </w:r>
          </w:p>
        </w:tc>
        <w:tc>
          <w:tcPr>
            <w:tcW w:w="821" w:type="dxa"/>
            <w:tcBorders>
              <w:top w:val="double" w:sz="4" w:space="0" w:color="auto"/>
              <w:left w:val="nil"/>
              <w:bottom w:val="single" w:sz="4" w:space="0" w:color="auto"/>
              <w:right w:val="nil"/>
            </w:tcBorders>
            <w:shd w:val="clear" w:color="auto" w:fill="auto"/>
            <w:noWrap/>
            <w:vAlign w:val="bottom"/>
            <w:hideMark/>
          </w:tcPr>
          <w:p w14:paraId="0CAE37D7"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T2H</w:t>
            </w:r>
          </w:p>
        </w:tc>
        <w:tc>
          <w:tcPr>
            <w:tcW w:w="821" w:type="dxa"/>
            <w:tcBorders>
              <w:top w:val="double" w:sz="4" w:space="0" w:color="auto"/>
              <w:left w:val="nil"/>
              <w:bottom w:val="single" w:sz="4" w:space="0" w:color="auto"/>
              <w:right w:val="single" w:sz="4" w:space="0" w:color="auto"/>
            </w:tcBorders>
            <w:shd w:val="clear" w:color="auto" w:fill="D9D9D9" w:themeFill="background1" w:themeFillShade="D9"/>
            <w:noWrap/>
            <w:vAlign w:val="bottom"/>
            <w:hideMark/>
          </w:tcPr>
          <w:p w14:paraId="12A0F80B"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T2L</w:t>
            </w:r>
          </w:p>
        </w:tc>
        <w:tc>
          <w:tcPr>
            <w:tcW w:w="889" w:type="dxa"/>
            <w:tcBorders>
              <w:top w:val="double" w:sz="4" w:space="0" w:color="auto"/>
              <w:left w:val="nil"/>
              <w:bottom w:val="single" w:sz="4" w:space="0" w:color="auto"/>
              <w:right w:val="nil"/>
            </w:tcBorders>
            <w:shd w:val="clear" w:color="auto" w:fill="auto"/>
            <w:noWrap/>
            <w:vAlign w:val="bottom"/>
            <w:hideMark/>
          </w:tcPr>
          <w:p w14:paraId="445875AB"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T4H</w:t>
            </w:r>
          </w:p>
        </w:tc>
        <w:tc>
          <w:tcPr>
            <w:tcW w:w="821" w:type="dxa"/>
            <w:tcBorders>
              <w:top w:val="double" w:sz="4" w:space="0" w:color="auto"/>
              <w:left w:val="nil"/>
              <w:bottom w:val="single" w:sz="4" w:space="0" w:color="auto"/>
              <w:right w:val="single" w:sz="4" w:space="0" w:color="auto"/>
            </w:tcBorders>
            <w:shd w:val="clear" w:color="auto" w:fill="D9D9D9" w:themeFill="background1" w:themeFillShade="D9"/>
            <w:noWrap/>
            <w:vAlign w:val="bottom"/>
            <w:hideMark/>
          </w:tcPr>
          <w:p w14:paraId="10A6F964"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T4L</w:t>
            </w:r>
          </w:p>
        </w:tc>
        <w:tc>
          <w:tcPr>
            <w:tcW w:w="882" w:type="dxa"/>
            <w:tcBorders>
              <w:top w:val="double" w:sz="4" w:space="0" w:color="auto"/>
              <w:left w:val="nil"/>
              <w:bottom w:val="single" w:sz="4" w:space="0" w:color="auto"/>
              <w:right w:val="nil"/>
            </w:tcBorders>
            <w:shd w:val="clear" w:color="auto" w:fill="auto"/>
            <w:noWrap/>
            <w:vAlign w:val="bottom"/>
            <w:hideMark/>
          </w:tcPr>
          <w:p w14:paraId="70BA23C1"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T8H</w:t>
            </w:r>
          </w:p>
        </w:tc>
        <w:tc>
          <w:tcPr>
            <w:tcW w:w="826" w:type="dxa"/>
            <w:tcBorders>
              <w:top w:val="double" w:sz="4" w:space="0" w:color="auto"/>
              <w:left w:val="nil"/>
              <w:bottom w:val="single" w:sz="4" w:space="0" w:color="auto"/>
              <w:right w:val="nil"/>
            </w:tcBorders>
            <w:shd w:val="clear" w:color="auto" w:fill="D9D9D9" w:themeFill="background1" w:themeFillShade="D9"/>
            <w:noWrap/>
            <w:vAlign w:val="bottom"/>
            <w:hideMark/>
          </w:tcPr>
          <w:p w14:paraId="2FFA8652"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T8L</w:t>
            </w:r>
          </w:p>
        </w:tc>
      </w:tr>
      <w:tr w:rsidR="000C50F0" w:rsidRPr="00FF0BBF" w14:paraId="1BBC8755" w14:textId="77777777" w:rsidTr="008A47C6">
        <w:trPr>
          <w:gridBefore w:val="2"/>
          <w:wBefore w:w="165" w:type="dxa"/>
          <w:trHeight w:val="57"/>
        </w:trPr>
        <w:tc>
          <w:tcPr>
            <w:tcW w:w="2709" w:type="dxa"/>
            <w:tcBorders>
              <w:top w:val="nil"/>
              <w:left w:val="nil"/>
              <w:bottom w:val="nil"/>
              <w:right w:val="single" w:sz="4" w:space="0" w:color="auto"/>
            </w:tcBorders>
            <w:shd w:val="clear" w:color="auto" w:fill="auto"/>
            <w:noWrap/>
            <w:vAlign w:val="bottom"/>
            <w:hideMark/>
          </w:tcPr>
          <w:p w14:paraId="462E80C9" w14:textId="77777777" w:rsidR="000C50F0" w:rsidRPr="00FF0BBF" w:rsidRDefault="000C50F0" w:rsidP="00E11657">
            <w:pPr>
              <w:rPr>
                <w:rFonts w:eastAsia="Times New Roman"/>
                <w:color w:val="000000"/>
                <w:sz w:val="10"/>
                <w:szCs w:val="10"/>
              </w:rPr>
            </w:pPr>
          </w:p>
        </w:tc>
        <w:tc>
          <w:tcPr>
            <w:tcW w:w="759" w:type="dxa"/>
            <w:tcBorders>
              <w:top w:val="nil"/>
              <w:left w:val="nil"/>
              <w:bottom w:val="nil"/>
              <w:right w:val="nil"/>
            </w:tcBorders>
            <w:shd w:val="clear" w:color="auto" w:fill="auto"/>
            <w:noWrap/>
            <w:vAlign w:val="bottom"/>
            <w:hideMark/>
          </w:tcPr>
          <w:p w14:paraId="010F75B7" w14:textId="77777777" w:rsidR="000C50F0" w:rsidRPr="00FF0BBF" w:rsidRDefault="000C50F0" w:rsidP="00F43DFC">
            <w:pPr>
              <w:jc w:val="center"/>
              <w:rPr>
                <w:rFonts w:eastAsia="Times New Roman"/>
                <w:sz w:val="10"/>
                <w:szCs w:val="10"/>
              </w:rPr>
            </w:pPr>
          </w:p>
        </w:tc>
        <w:tc>
          <w:tcPr>
            <w:tcW w:w="821" w:type="dxa"/>
            <w:tcBorders>
              <w:top w:val="nil"/>
              <w:left w:val="nil"/>
              <w:bottom w:val="nil"/>
              <w:right w:val="single" w:sz="4" w:space="0" w:color="auto"/>
            </w:tcBorders>
            <w:shd w:val="clear" w:color="auto" w:fill="D9D9D9" w:themeFill="background1" w:themeFillShade="D9"/>
            <w:noWrap/>
            <w:vAlign w:val="bottom"/>
          </w:tcPr>
          <w:p w14:paraId="4923A706" w14:textId="77777777" w:rsidR="000C50F0" w:rsidRPr="00FF0BBF" w:rsidRDefault="000C50F0" w:rsidP="00F43DFC">
            <w:pPr>
              <w:jc w:val="center"/>
              <w:rPr>
                <w:rFonts w:eastAsia="Times New Roman"/>
                <w:sz w:val="10"/>
                <w:szCs w:val="10"/>
              </w:rPr>
            </w:pPr>
          </w:p>
        </w:tc>
        <w:tc>
          <w:tcPr>
            <w:tcW w:w="821" w:type="dxa"/>
            <w:tcBorders>
              <w:top w:val="nil"/>
              <w:left w:val="nil"/>
              <w:bottom w:val="nil"/>
              <w:right w:val="nil"/>
            </w:tcBorders>
            <w:shd w:val="clear" w:color="auto" w:fill="auto"/>
            <w:noWrap/>
            <w:vAlign w:val="bottom"/>
          </w:tcPr>
          <w:p w14:paraId="77CB7E33" w14:textId="77777777" w:rsidR="000C50F0" w:rsidRPr="00FF0BBF" w:rsidRDefault="000C50F0" w:rsidP="00F43DFC">
            <w:pPr>
              <w:jc w:val="center"/>
              <w:rPr>
                <w:rFonts w:eastAsia="Times New Roman"/>
                <w:color w:val="000000"/>
                <w:sz w:val="10"/>
                <w:szCs w:val="10"/>
              </w:rPr>
            </w:pPr>
          </w:p>
        </w:tc>
        <w:tc>
          <w:tcPr>
            <w:tcW w:w="821" w:type="dxa"/>
            <w:tcBorders>
              <w:top w:val="nil"/>
              <w:left w:val="nil"/>
              <w:bottom w:val="nil"/>
              <w:right w:val="single" w:sz="4" w:space="0" w:color="auto"/>
            </w:tcBorders>
            <w:shd w:val="clear" w:color="auto" w:fill="D9D9D9" w:themeFill="background1" w:themeFillShade="D9"/>
            <w:noWrap/>
            <w:vAlign w:val="bottom"/>
          </w:tcPr>
          <w:p w14:paraId="54B55AD8" w14:textId="77777777" w:rsidR="000C50F0" w:rsidRPr="00FF0BBF" w:rsidRDefault="000C50F0" w:rsidP="00F43DFC">
            <w:pPr>
              <w:jc w:val="center"/>
              <w:rPr>
                <w:rFonts w:eastAsia="Times New Roman"/>
                <w:color w:val="000000"/>
                <w:sz w:val="10"/>
                <w:szCs w:val="10"/>
              </w:rPr>
            </w:pPr>
          </w:p>
        </w:tc>
        <w:tc>
          <w:tcPr>
            <w:tcW w:w="889" w:type="dxa"/>
            <w:tcBorders>
              <w:top w:val="nil"/>
              <w:left w:val="nil"/>
              <w:bottom w:val="nil"/>
              <w:right w:val="nil"/>
            </w:tcBorders>
            <w:shd w:val="clear" w:color="auto" w:fill="auto"/>
            <w:noWrap/>
            <w:vAlign w:val="bottom"/>
          </w:tcPr>
          <w:p w14:paraId="4C6AF519" w14:textId="77777777" w:rsidR="000C50F0" w:rsidRPr="00FF0BBF" w:rsidRDefault="000C50F0" w:rsidP="00F43DFC">
            <w:pPr>
              <w:jc w:val="center"/>
              <w:rPr>
                <w:rFonts w:eastAsia="Times New Roman"/>
                <w:color w:val="000000"/>
                <w:sz w:val="10"/>
                <w:szCs w:val="10"/>
              </w:rPr>
            </w:pPr>
          </w:p>
        </w:tc>
        <w:tc>
          <w:tcPr>
            <w:tcW w:w="821" w:type="dxa"/>
            <w:tcBorders>
              <w:top w:val="nil"/>
              <w:left w:val="nil"/>
              <w:bottom w:val="nil"/>
              <w:right w:val="single" w:sz="4" w:space="0" w:color="auto"/>
            </w:tcBorders>
            <w:shd w:val="clear" w:color="auto" w:fill="D9D9D9" w:themeFill="background1" w:themeFillShade="D9"/>
            <w:noWrap/>
            <w:vAlign w:val="bottom"/>
          </w:tcPr>
          <w:p w14:paraId="3E4997C0" w14:textId="77777777" w:rsidR="000C50F0" w:rsidRPr="00FF0BBF" w:rsidRDefault="000C50F0" w:rsidP="00F43DFC">
            <w:pPr>
              <w:jc w:val="center"/>
              <w:rPr>
                <w:rFonts w:eastAsia="Times New Roman"/>
                <w:color w:val="000000"/>
                <w:sz w:val="10"/>
                <w:szCs w:val="10"/>
              </w:rPr>
            </w:pPr>
          </w:p>
        </w:tc>
        <w:tc>
          <w:tcPr>
            <w:tcW w:w="882" w:type="dxa"/>
            <w:tcBorders>
              <w:top w:val="nil"/>
              <w:left w:val="nil"/>
              <w:bottom w:val="nil"/>
              <w:right w:val="nil"/>
            </w:tcBorders>
            <w:shd w:val="clear" w:color="auto" w:fill="auto"/>
            <w:noWrap/>
            <w:vAlign w:val="bottom"/>
          </w:tcPr>
          <w:p w14:paraId="284F6829" w14:textId="77777777" w:rsidR="000C50F0" w:rsidRPr="00FF0BBF" w:rsidRDefault="000C50F0" w:rsidP="00F43DFC">
            <w:pPr>
              <w:jc w:val="center"/>
              <w:rPr>
                <w:rFonts w:eastAsia="Times New Roman"/>
                <w:color w:val="000000"/>
                <w:sz w:val="10"/>
                <w:szCs w:val="10"/>
              </w:rPr>
            </w:pPr>
          </w:p>
        </w:tc>
        <w:tc>
          <w:tcPr>
            <w:tcW w:w="826" w:type="dxa"/>
            <w:tcBorders>
              <w:top w:val="nil"/>
              <w:left w:val="nil"/>
              <w:bottom w:val="nil"/>
              <w:right w:val="nil"/>
            </w:tcBorders>
            <w:shd w:val="clear" w:color="auto" w:fill="D9D9D9" w:themeFill="background1" w:themeFillShade="D9"/>
            <w:noWrap/>
            <w:vAlign w:val="bottom"/>
          </w:tcPr>
          <w:p w14:paraId="095BA458" w14:textId="77777777" w:rsidR="000C50F0" w:rsidRPr="00FF0BBF" w:rsidRDefault="000C50F0" w:rsidP="00F43DFC">
            <w:pPr>
              <w:jc w:val="center"/>
              <w:rPr>
                <w:rFonts w:eastAsia="Times New Roman"/>
                <w:color w:val="000000"/>
                <w:sz w:val="10"/>
                <w:szCs w:val="10"/>
              </w:rPr>
            </w:pPr>
          </w:p>
        </w:tc>
      </w:tr>
      <w:tr w:rsidR="000C50F0" w:rsidRPr="00FF0BBF" w14:paraId="0FCBC282" w14:textId="77777777" w:rsidTr="008A47C6">
        <w:trPr>
          <w:gridBefore w:val="2"/>
          <w:wBefore w:w="165" w:type="dxa"/>
          <w:trHeight w:val="300"/>
        </w:trPr>
        <w:tc>
          <w:tcPr>
            <w:tcW w:w="2709" w:type="dxa"/>
            <w:tcBorders>
              <w:top w:val="nil"/>
              <w:left w:val="nil"/>
              <w:bottom w:val="nil"/>
              <w:right w:val="single" w:sz="4" w:space="0" w:color="auto"/>
            </w:tcBorders>
            <w:shd w:val="clear" w:color="auto" w:fill="auto"/>
            <w:noWrap/>
            <w:vAlign w:val="bottom"/>
          </w:tcPr>
          <w:p w14:paraId="2AA086AC" w14:textId="77777777" w:rsidR="000C50F0" w:rsidRPr="00FF0BBF" w:rsidRDefault="000C50F0" w:rsidP="008A47C6">
            <w:pPr>
              <w:ind w:left="-93"/>
              <w:rPr>
                <w:rFonts w:eastAsia="Times New Roman"/>
                <w:b/>
                <w:color w:val="000000"/>
                <w:sz w:val="22"/>
                <w:szCs w:val="22"/>
              </w:rPr>
            </w:pPr>
            <w:r w:rsidRPr="00FF0BBF">
              <w:rPr>
                <w:rFonts w:eastAsia="Times New Roman"/>
                <w:b/>
                <w:color w:val="000000"/>
                <w:sz w:val="22"/>
                <w:szCs w:val="22"/>
              </w:rPr>
              <w:t>Market setup</w:t>
            </w:r>
          </w:p>
        </w:tc>
        <w:tc>
          <w:tcPr>
            <w:tcW w:w="759" w:type="dxa"/>
            <w:tcBorders>
              <w:top w:val="nil"/>
              <w:left w:val="nil"/>
              <w:bottom w:val="nil"/>
              <w:right w:val="nil"/>
            </w:tcBorders>
            <w:shd w:val="clear" w:color="auto" w:fill="auto"/>
            <w:noWrap/>
            <w:vAlign w:val="bottom"/>
          </w:tcPr>
          <w:p w14:paraId="6B5B3033" w14:textId="77777777" w:rsidR="000C50F0" w:rsidRPr="00FF0BBF" w:rsidRDefault="000C50F0" w:rsidP="00F43DFC">
            <w:pPr>
              <w:jc w:val="center"/>
              <w:rPr>
                <w:rFonts w:eastAsia="Times New Roman"/>
                <w:b/>
                <w:sz w:val="22"/>
                <w:szCs w:val="22"/>
              </w:rPr>
            </w:pPr>
          </w:p>
        </w:tc>
        <w:tc>
          <w:tcPr>
            <w:tcW w:w="821" w:type="dxa"/>
            <w:tcBorders>
              <w:top w:val="nil"/>
              <w:left w:val="nil"/>
              <w:bottom w:val="nil"/>
              <w:right w:val="single" w:sz="4" w:space="0" w:color="auto"/>
            </w:tcBorders>
            <w:shd w:val="clear" w:color="auto" w:fill="D9D9D9" w:themeFill="background1" w:themeFillShade="D9"/>
            <w:noWrap/>
            <w:vAlign w:val="bottom"/>
          </w:tcPr>
          <w:p w14:paraId="24550BD1" w14:textId="77777777" w:rsidR="000C50F0" w:rsidRPr="00FF0BBF" w:rsidRDefault="000C50F0" w:rsidP="00F43DFC">
            <w:pPr>
              <w:jc w:val="center"/>
              <w:rPr>
                <w:rFonts w:eastAsia="Times New Roman"/>
                <w:b/>
                <w:sz w:val="22"/>
                <w:szCs w:val="22"/>
              </w:rPr>
            </w:pPr>
          </w:p>
        </w:tc>
        <w:tc>
          <w:tcPr>
            <w:tcW w:w="821" w:type="dxa"/>
            <w:tcBorders>
              <w:top w:val="nil"/>
              <w:left w:val="nil"/>
              <w:bottom w:val="nil"/>
              <w:right w:val="nil"/>
            </w:tcBorders>
            <w:shd w:val="clear" w:color="auto" w:fill="auto"/>
            <w:noWrap/>
            <w:vAlign w:val="bottom"/>
          </w:tcPr>
          <w:p w14:paraId="6DB30AFE" w14:textId="77777777" w:rsidR="000C50F0" w:rsidRPr="00FF0BBF" w:rsidRDefault="000C50F0" w:rsidP="00F43DFC">
            <w:pPr>
              <w:jc w:val="center"/>
              <w:rPr>
                <w:rFonts w:eastAsia="Times New Roman"/>
                <w:b/>
                <w:color w:val="000000"/>
                <w:sz w:val="22"/>
                <w:szCs w:val="22"/>
              </w:rPr>
            </w:pPr>
          </w:p>
        </w:tc>
        <w:tc>
          <w:tcPr>
            <w:tcW w:w="821" w:type="dxa"/>
            <w:tcBorders>
              <w:top w:val="nil"/>
              <w:left w:val="nil"/>
              <w:bottom w:val="nil"/>
              <w:right w:val="single" w:sz="4" w:space="0" w:color="auto"/>
            </w:tcBorders>
            <w:shd w:val="clear" w:color="auto" w:fill="D9D9D9" w:themeFill="background1" w:themeFillShade="D9"/>
            <w:noWrap/>
            <w:vAlign w:val="bottom"/>
          </w:tcPr>
          <w:p w14:paraId="08B9A9B6" w14:textId="77777777" w:rsidR="000C50F0" w:rsidRPr="00FF0BBF" w:rsidRDefault="000C50F0" w:rsidP="00F43DFC">
            <w:pPr>
              <w:jc w:val="center"/>
              <w:rPr>
                <w:rFonts w:eastAsia="Times New Roman"/>
                <w:b/>
                <w:color w:val="000000"/>
                <w:sz w:val="22"/>
                <w:szCs w:val="22"/>
              </w:rPr>
            </w:pPr>
          </w:p>
        </w:tc>
        <w:tc>
          <w:tcPr>
            <w:tcW w:w="889" w:type="dxa"/>
            <w:tcBorders>
              <w:top w:val="nil"/>
              <w:left w:val="nil"/>
              <w:bottom w:val="nil"/>
              <w:right w:val="nil"/>
            </w:tcBorders>
            <w:shd w:val="clear" w:color="auto" w:fill="auto"/>
            <w:noWrap/>
            <w:vAlign w:val="bottom"/>
          </w:tcPr>
          <w:p w14:paraId="55B07346" w14:textId="77777777" w:rsidR="000C50F0" w:rsidRPr="00FF0BBF" w:rsidRDefault="000C50F0" w:rsidP="00F43DFC">
            <w:pPr>
              <w:jc w:val="center"/>
              <w:rPr>
                <w:rFonts w:eastAsia="Times New Roman"/>
                <w:b/>
                <w:color w:val="000000"/>
                <w:sz w:val="22"/>
                <w:szCs w:val="22"/>
              </w:rPr>
            </w:pPr>
          </w:p>
        </w:tc>
        <w:tc>
          <w:tcPr>
            <w:tcW w:w="821" w:type="dxa"/>
            <w:tcBorders>
              <w:top w:val="nil"/>
              <w:left w:val="nil"/>
              <w:bottom w:val="nil"/>
              <w:right w:val="single" w:sz="4" w:space="0" w:color="auto"/>
            </w:tcBorders>
            <w:shd w:val="clear" w:color="auto" w:fill="D9D9D9" w:themeFill="background1" w:themeFillShade="D9"/>
            <w:noWrap/>
            <w:vAlign w:val="bottom"/>
          </w:tcPr>
          <w:p w14:paraId="6D431B32" w14:textId="77777777" w:rsidR="000C50F0" w:rsidRPr="00FF0BBF" w:rsidRDefault="000C50F0" w:rsidP="00F43DFC">
            <w:pPr>
              <w:jc w:val="center"/>
              <w:rPr>
                <w:rFonts w:eastAsia="Times New Roman"/>
                <w:b/>
                <w:color w:val="000000"/>
                <w:sz w:val="22"/>
                <w:szCs w:val="22"/>
              </w:rPr>
            </w:pPr>
          </w:p>
        </w:tc>
        <w:tc>
          <w:tcPr>
            <w:tcW w:w="882" w:type="dxa"/>
            <w:tcBorders>
              <w:top w:val="nil"/>
              <w:left w:val="nil"/>
              <w:bottom w:val="nil"/>
              <w:right w:val="nil"/>
            </w:tcBorders>
            <w:shd w:val="clear" w:color="auto" w:fill="auto"/>
            <w:noWrap/>
            <w:vAlign w:val="bottom"/>
          </w:tcPr>
          <w:p w14:paraId="4277340A" w14:textId="77777777" w:rsidR="000C50F0" w:rsidRPr="00FF0BBF" w:rsidRDefault="000C50F0" w:rsidP="00F43DFC">
            <w:pPr>
              <w:jc w:val="center"/>
              <w:rPr>
                <w:rFonts w:eastAsia="Times New Roman"/>
                <w:b/>
                <w:color w:val="000000"/>
                <w:sz w:val="22"/>
                <w:szCs w:val="22"/>
              </w:rPr>
            </w:pPr>
          </w:p>
        </w:tc>
        <w:tc>
          <w:tcPr>
            <w:tcW w:w="826" w:type="dxa"/>
            <w:tcBorders>
              <w:top w:val="nil"/>
              <w:left w:val="nil"/>
              <w:bottom w:val="nil"/>
              <w:right w:val="nil"/>
            </w:tcBorders>
            <w:shd w:val="clear" w:color="auto" w:fill="D9D9D9" w:themeFill="background1" w:themeFillShade="D9"/>
            <w:noWrap/>
            <w:vAlign w:val="bottom"/>
          </w:tcPr>
          <w:p w14:paraId="72144C9B" w14:textId="77777777" w:rsidR="000C50F0" w:rsidRPr="00FF0BBF" w:rsidRDefault="000C50F0" w:rsidP="00F43DFC">
            <w:pPr>
              <w:jc w:val="center"/>
              <w:rPr>
                <w:rFonts w:eastAsia="Times New Roman"/>
                <w:b/>
                <w:color w:val="000000"/>
                <w:sz w:val="22"/>
                <w:szCs w:val="22"/>
              </w:rPr>
            </w:pPr>
          </w:p>
        </w:tc>
      </w:tr>
      <w:tr w:rsidR="000C50F0" w:rsidRPr="008515AF" w14:paraId="7AB7B028" w14:textId="77777777" w:rsidTr="008A47C6">
        <w:trPr>
          <w:gridBefore w:val="2"/>
          <w:wBefore w:w="165" w:type="dxa"/>
          <w:trHeight w:val="300"/>
        </w:trPr>
        <w:tc>
          <w:tcPr>
            <w:tcW w:w="2709" w:type="dxa"/>
            <w:tcBorders>
              <w:top w:val="nil"/>
              <w:left w:val="nil"/>
              <w:bottom w:val="nil"/>
              <w:right w:val="single" w:sz="4" w:space="0" w:color="auto"/>
            </w:tcBorders>
            <w:shd w:val="clear" w:color="auto" w:fill="auto"/>
            <w:noWrap/>
            <w:vAlign w:val="bottom"/>
          </w:tcPr>
          <w:p w14:paraId="16F1B3CB" w14:textId="77777777" w:rsidR="000C50F0" w:rsidRPr="00A76A8C" w:rsidRDefault="000C50F0" w:rsidP="008A47C6">
            <w:pPr>
              <w:ind w:left="-93"/>
              <w:rPr>
                <w:rFonts w:eastAsia="Times New Roman"/>
                <w:color w:val="000000"/>
                <w:sz w:val="22"/>
                <w:szCs w:val="22"/>
              </w:rPr>
            </w:pPr>
            <w:r>
              <w:rPr>
                <w:rFonts w:eastAsia="Times New Roman"/>
                <w:color w:val="000000"/>
                <w:sz w:val="22"/>
                <w:szCs w:val="22"/>
              </w:rPr>
              <w:t>Number</w:t>
            </w:r>
            <w:r w:rsidRPr="00A76A8C">
              <w:rPr>
                <w:rFonts w:eastAsia="Times New Roman"/>
                <w:color w:val="000000"/>
                <w:sz w:val="22"/>
                <w:szCs w:val="22"/>
              </w:rPr>
              <w:t xml:space="preserve"> of generations</w:t>
            </w:r>
          </w:p>
        </w:tc>
        <w:tc>
          <w:tcPr>
            <w:tcW w:w="759" w:type="dxa"/>
            <w:tcBorders>
              <w:top w:val="nil"/>
              <w:left w:val="nil"/>
              <w:bottom w:val="nil"/>
              <w:right w:val="nil"/>
            </w:tcBorders>
            <w:shd w:val="clear" w:color="auto" w:fill="auto"/>
            <w:noWrap/>
            <w:vAlign w:val="bottom"/>
          </w:tcPr>
          <w:p w14:paraId="518B3FEC" w14:textId="77777777" w:rsidR="000C50F0" w:rsidRPr="00A76A8C" w:rsidRDefault="000C50F0" w:rsidP="00F43DFC">
            <w:pPr>
              <w:jc w:val="center"/>
              <w:rPr>
                <w:rFonts w:eastAsia="Times New Roman"/>
                <w:sz w:val="22"/>
                <w:szCs w:val="22"/>
              </w:rPr>
            </w:pPr>
            <w:r w:rsidRPr="00A76A8C">
              <w:rPr>
                <w:rFonts w:eastAsia="Times New Roman"/>
                <w:sz w:val="22"/>
                <w:szCs w:val="22"/>
              </w:rPr>
              <w:t>2</w:t>
            </w:r>
          </w:p>
        </w:tc>
        <w:tc>
          <w:tcPr>
            <w:tcW w:w="821" w:type="dxa"/>
            <w:tcBorders>
              <w:top w:val="nil"/>
              <w:left w:val="nil"/>
              <w:bottom w:val="nil"/>
              <w:right w:val="single" w:sz="4" w:space="0" w:color="auto"/>
            </w:tcBorders>
            <w:shd w:val="clear" w:color="auto" w:fill="D9D9D9" w:themeFill="background1" w:themeFillShade="D9"/>
            <w:noWrap/>
            <w:vAlign w:val="bottom"/>
          </w:tcPr>
          <w:p w14:paraId="66201E05" w14:textId="77777777" w:rsidR="000C50F0" w:rsidRPr="00A76A8C" w:rsidRDefault="000C50F0" w:rsidP="00F43DFC">
            <w:pPr>
              <w:jc w:val="center"/>
              <w:rPr>
                <w:rFonts w:eastAsia="Times New Roman"/>
                <w:sz w:val="22"/>
                <w:szCs w:val="22"/>
              </w:rPr>
            </w:pPr>
            <w:r w:rsidRPr="00A76A8C">
              <w:rPr>
                <w:rFonts w:eastAsia="Times New Roman"/>
                <w:sz w:val="22"/>
                <w:szCs w:val="22"/>
              </w:rPr>
              <w:t>2</w:t>
            </w:r>
          </w:p>
        </w:tc>
        <w:tc>
          <w:tcPr>
            <w:tcW w:w="821" w:type="dxa"/>
            <w:tcBorders>
              <w:top w:val="nil"/>
              <w:left w:val="nil"/>
              <w:bottom w:val="nil"/>
              <w:right w:val="nil"/>
            </w:tcBorders>
            <w:shd w:val="clear" w:color="auto" w:fill="auto"/>
            <w:noWrap/>
            <w:vAlign w:val="bottom"/>
          </w:tcPr>
          <w:p w14:paraId="792C851F"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3</w:t>
            </w:r>
          </w:p>
        </w:tc>
        <w:tc>
          <w:tcPr>
            <w:tcW w:w="821" w:type="dxa"/>
            <w:tcBorders>
              <w:top w:val="nil"/>
              <w:left w:val="nil"/>
              <w:bottom w:val="nil"/>
              <w:right w:val="single" w:sz="4" w:space="0" w:color="auto"/>
            </w:tcBorders>
            <w:shd w:val="clear" w:color="auto" w:fill="D9D9D9" w:themeFill="background1" w:themeFillShade="D9"/>
            <w:noWrap/>
            <w:vAlign w:val="bottom"/>
          </w:tcPr>
          <w:p w14:paraId="3BFBF843"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3</w:t>
            </w:r>
          </w:p>
        </w:tc>
        <w:tc>
          <w:tcPr>
            <w:tcW w:w="889" w:type="dxa"/>
            <w:tcBorders>
              <w:top w:val="nil"/>
              <w:left w:val="nil"/>
              <w:bottom w:val="nil"/>
              <w:right w:val="nil"/>
            </w:tcBorders>
            <w:shd w:val="clear" w:color="auto" w:fill="auto"/>
            <w:noWrap/>
            <w:vAlign w:val="bottom"/>
          </w:tcPr>
          <w:p w14:paraId="4C7001DF"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w:t>
            </w:r>
          </w:p>
        </w:tc>
        <w:tc>
          <w:tcPr>
            <w:tcW w:w="821" w:type="dxa"/>
            <w:tcBorders>
              <w:top w:val="nil"/>
              <w:left w:val="nil"/>
              <w:bottom w:val="nil"/>
              <w:right w:val="single" w:sz="4" w:space="0" w:color="auto"/>
            </w:tcBorders>
            <w:shd w:val="clear" w:color="auto" w:fill="D9D9D9" w:themeFill="background1" w:themeFillShade="D9"/>
            <w:noWrap/>
            <w:vAlign w:val="bottom"/>
          </w:tcPr>
          <w:p w14:paraId="0004B88F"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w:t>
            </w:r>
          </w:p>
        </w:tc>
        <w:tc>
          <w:tcPr>
            <w:tcW w:w="882" w:type="dxa"/>
            <w:tcBorders>
              <w:top w:val="nil"/>
              <w:left w:val="nil"/>
              <w:bottom w:val="nil"/>
              <w:right w:val="nil"/>
            </w:tcBorders>
            <w:shd w:val="clear" w:color="auto" w:fill="auto"/>
            <w:noWrap/>
            <w:vAlign w:val="bottom"/>
          </w:tcPr>
          <w:p w14:paraId="5028F2AE"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9</w:t>
            </w:r>
          </w:p>
        </w:tc>
        <w:tc>
          <w:tcPr>
            <w:tcW w:w="826" w:type="dxa"/>
            <w:tcBorders>
              <w:top w:val="nil"/>
              <w:left w:val="nil"/>
              <w:bottom w:val="nil"/>
              <w:right w:val="nil"/>
            </w:tcBorders>
            <w:shd w:val="clear" w:color="auto" w:fill="D9D9D9" w:themeFill="background1" w:themeFillShade="D9"/>
            <w:noWrap/>
            <w:vAlign w:val="bottom"/>
          </w:tcPr>
          <w:p w14:paraId="4DF2E7E9"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9</w:t>
            </w:r>
          </w:p>
        </w:tc>
      </w:tr>
      <w:tr w:rsidR="000C50F0" w:rsidRPr="008515AF" w14:paraId="2767AC79" w14:textId="77777777" w:rsidTr="008A47C6">
        <w:trPr>
          <w:gridBefore w:val="2"/>
          <w:wBefore w:w="165" w:type="dxa"/>
          <w:trHeight w:val="300"/>
        </w:trPr>
        <w:tc>
          <w:tcPr>
            <w:tcW w:w="2709" w:type="dxa"/>
            <w:tcBorders>
              <w:top w:val="nil"/>
              <w:left w:val="nil"/>
              <w:bottom w:val="nil"/>
              <w:right w:val="single" w:sz="4" w:space="0" w:color="auto"/>
            </w:tcBorders>
            <w:shd w:val="clear" w:color="auto" w:fill="auto"/>
            <w:noWrap/>
            <w:vAlign w:val="bottom"/>
            <w:hideMark/>
          </w:tcPr>
          <w:p w14:paraId="73EDD88D" w14:textId="77777777" w:rsidR="000C50F0" w:rsidRPr="00875C65" w:rsidRDefault="000C50F0" w:rsidP="008A47C6">
            <w:pPr>
              <w:ind w:left="-93"/>
              <w:rPr>
                <w:rFonts w:eastAsia="Times New Roman"/>
                <w:i/>
                <w:color w:val="000000"/>
                <w:sz w:val="22"/>
                <w:szCs w:val="22"/>
              </w:rPr>
            </w:pPr>
            <w:r w:rsidRPr="00A76A8C">
              <w:rPr>
                <w:rFonts w:eastAsia="Times New Roman"/>
                <w:color w:val="000000"/>
                <w:sz w:val="22"/>
                <w:szCs w:val="22"/>
              </w:rPr>
              <w:t>Terminal dividend</w:t>
            </w:r>
            <w:r>
              <w:rPr>
                <w:rFonts w:eastAsia="Times New Roman"/>
                <w:color w:val="000000"/>
                <w:sz w:val="22"/>
                <w:szCs w:val="22"/>
              </w:rPr>
              <w:t xml:space="preserve"> </w:t>
            </w:r>
            <w:r>
              <w:rPr>
                <w:rFonts w:eastAsia="Times New Roman"/>
                <w:i/>
                <w:color w:val="000000"/>
                <w:sz w:val="22"/>
                <w:szCs w:val="22"/>
              </w:rPr>
              <w:t>D</w:t>
            </w:r>
          </w:p>
        </w:tc>
        <w:tc>
          <w:tcPr>
            <w:tcW w:w="759" w:type="dxa"/>
            <w:tcBorders>
              <w:top w:val="nil"/>
              <w:left w:val="nil"/>
              <w:bottom w:val="nil"/>
              <w:right w:val="nil"/>
            </w:tcBorders>
            <w:shd w:val="clear" w:color="auto" w:fill="auto"/>
            <w:noWrap/>
            <w:vAlign w:val="bottom"/>
            <w:hideMark/>
          </w:tcPr>
          <w:p w14:paraId="06999A54" w14:textId="77777777" w:rsidR="000C50F0" w:rsidRPr="00A76A8C" w:rsidRDefault="000C50F0" w:rsidP="00F43DFC">
            <w:pPr>
              <w:jc w:val="center"/>
              <w:rPr>
                <w:rFonts w:eastAsia="Times New Roman"/>
                <w:sz w:val="22"/>
                <w:szCs w:val="22"/>
              </w:rPr>
            </w:pPr>
            <w:r w:rsidRPr="00A76A8C">
              <w:rPr>
                <w:rFonts w:eastAsia="Times New Roman"/>
                <w:sz w:val="22"/>
                <w:szCs w:val="22"/>
              </w:rPr>
              <w:t>50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4DC23ACB" w14:textId="77777777" w:rsidR="000C50F0" w:rsidRPr="00A76A8C" w:rsidRDefault="000C50F0" w:rsidP="00F43DFC">
            <w:pPr>
              <w:jc w:val="center"/>
              <w:rPr>
                <w:rFonts w:eastAsia="Times New Roman"/>
                <w:sz w:val="22"/>
                <w:szCs w:val="22"/>
              </w:rPr>
            </w:pPr>
            <w:r w:rsidRPr="00A76A8C">
              <w:rPr>
                <w:rFonts w:eastAsia="Times New Roman"/>
                <w:sz w:val="22"/>
                <w:szCs w:val="22"/>
              </w:rPr>
              <w:t>50</w:t>
            </w:r>
          </w:p>
        </w:tc>
        <w:tc>
          <w:tcPr>
            <w:tcW w:w="821" w:type="dxa"/>
            <w:tcBorders>
              <w:top w:val="nil"/>
              <w:left w:val="nil"/>
              <w:bottom w:val="nil"/>
              <w:right w:val="nil"/>
            </w:tcBorders>
            <w:shd w:val="clear" w:color="auto" w:fill="auto"/>
            <w:noWrap/>
            <w:vAlign w:val="bottom"/>
            <w:hideMark/>
          </w:tcPr>
          <w:p w14:paraId="2F565304"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1DBB8F0E"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50</w:t>
            </w:r>
          </w:p>
        </w:tc>
        <w:tc>
          <w:tcPr>
            <w:tcW w:w="889" w:type="dxa"/>
            <w:tcBorders>
              <w:top w:val="nil"/>
              <w:left w:val="nil"/>
              <w:bottom w:val="nil"/>
              <w:right w:val="nil"/>
            </w:tcBorders>
            <w:shd w:val="clear" w:color="auto" w:fill="auto"/>
            <w:noWrap/>
            <w:vAlign w:val="bottom"/>
            <w:hideMark/>
          </w:tcPr>
          <w:p w14:paraId="3F6BD451"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26BD052A"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50</w:t>
            </w:r>
          </w:p>
        </w:tc>
        <w:tc>
          <w:tcPr>
            <w:tcW w:w="882" w:type="dxa"/>
            <w:tcBorders>
              <w:top w:val="nil"/>
              <w:left w:val="nil"/>
              <w:bottom w:val="nil"/>
              <w:right w:val="nil"/>
            </w:tcBorders>
            <w:shd w:val="clear" w:color="auto" w:fill="auto"/>
            <w:noWrap/>
            <w:vAlign w:val="bottom"/>
            <w:hideMark/>
          </w:tcPr>
          <w:p w14:paraId="3C7BD8A7"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50</w:t>
            </w:r>
          </w:p>
        </w:tc>
        <w:tc>
          <w:tcPr>
            <w:tcW w:w="826" w:type="dxa"/>
            <w:tcBorders>
              <w:top w:val="nil"/>
              <w:left w:val="nil"/>
              <w:bottom w:val="nil"/>
              <w:right w:val="nil"/>
            </w:tcBorders>
            <w:shd w:val="clear" w:color="auto" w:fill="D9D9D9" w:themeFill="background1" w:themeFillShade="D9"/>
            <w:noWrap/>
            <w:vAlign w:val="bottom"/>
            <w:hideMark/>
          </w:tcPr>
          <w:p w14:paraId="76334193"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50</w:t>
            </w:r>
          </w:p>
        </w:tc>
      </w:tr>
      <w:tr w:rsidR="000C50F0" w:rsidRPr="00875C65" w14:paraId="047C710F" w14:textId="77777777" w:rsidTr="008A47C6">
        <w:trPr>
          <w:trHeight w:val="300"/>
        </w:trPr>
        <w:tc>
          <w:tcPr>
            <w:tcW w:w="2874" w:type="dxa"/>
            <w:gridSpan w:val="3"/>
            <w:tcBorders>
              <w:top w:val="nil"/>
              <w:left w:val="nil"/>
              <w:bottom w:val="nil"/>
              <w:right w:val="single" w:sz="4" w:space="0" w:color="auto"/>
            </w:tcBorders>
            <w:shd w:val="clear" w:color="auto" w:fill="auto"/>
            <w:noWrap/>
            <w:vAlign w:val="bottom"/>
            <w:hideMark/>
          </w:tcPr>
          <w:p w14:paraId="4F507267" w14:textId="77777777" w:rsidR="000C50F0" w:rsidRDefault="000C50F0" w:rsidP="00576373">
            <w:pPr>
              <w:jc w:val="center"/>
              <w:rPr>
                <w:rFonts w:eastAsia="Times New Roman"/>
                <w:color w:val="000000"/>
              </w:rPr>
            </w:pPr>
            <w:r w:rsidRPr="00377B05">
              <w:rPr>
                <w:rFonts w:eastAsia="Times New Roman"/>
                <w:color w:val="000000"/>
              </w:rPr>
              <w:t xml:space="preserve">Initial no. </w:t>
            </w:r>
            <w:r w:rsidRPr="00377B05">
              <w:rPr>
                <w:color w:val="000000"/>
                <w:lang w:eastAsia="ja-JP"/>
              </w:rPr>
              <w:t>securities</w:t>
            </w:r>
            <w:r w:rsidRPr="00377B05">
              <w:rPr>
                <w:rFonts w:eastAsia="Times New Roman"/>
                <w:color w:val="000000"/>
              </w:rPr>
              <w:t>/</w:t>
            </w:r>
            <w:r w:rsidR="00440147">
              <w:rPr>
                <w:rFonts w:eastAsia="Times New Roman"/>
                <w:color w:val="000000"/>
              </w:rPr>
              <w:t>investor</w:t>
            </w:r>
            <w:r w:rsidRPr="00377B05">
              <w:rPr>
                <w:rFonts w:eastAsia="Times New Roman"/>
                <w:color w:val="000000"/>
              </w:rPr>
              <w:t xml:space="preserve"> G0</w:t>
            </w:r>
          </w:p>
        </w:tc>
        <w:tc>
          <w:tcPr>
            <w:tcW w:w="759" w:type="dxa"/>
            <w:tcBorders>
              <w:top w:val="nil"/>
              <w:left w:val="nil"/>
              <w:bottom w:val="nil"/>
              <w:right w:val="nil"/>
            </w:tcBorders>
            <w:shd w:val="clear" w:color="auto" w:fill="auto"/>
            <w:noWrap/>
            <w:vAlign w:val="bottom"/>
            <w:hideMark/>
          </w:tcPr>
          <w:p w14:paraId="5C41A817" w14:textId="77777777" w:rsidR="000C50F0" w:rsidRPr="00875C65" w:rsidRDefault="000C50F0" w:rsidP="00F43DFC">
            <w:pPr>
              <w:jc w:val="center"/>
              <w:rPr>
                <w:rFonts w:eastAsia="Times New Roman"/>
                <w:color w:val="000000"/>
                <w:sz w:val="22"/>
                <w:szCs w:val="22"/>
              </w:rPr>
            </w:pPr>
            <w:r w:rsidRPr="00875C65">
              <w:rPr>
                <w:rFonts w:eastAsia="Times New Roman"/>
                <w:color w:val="000000"/>
                <w:sz w:val="22"/>
                <w:szCs w:val="22"/>
              </w:rPr>
              <w:t>32</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5DDA6FEB" w14:textId="77777777" w:rsidR="000C50F0" w:rsidRPr="00875C65" w:rsidRDefault="000C50F0" w:rsidP="00F43DFC">
            <w:pPr>
              <w:jc w:val="center"/>
              <w:rPr>
                <w:rFonts w:eastAsia="Times New Roman"/>
                <w:color w:val="000000"/>
                <w:sz w:val="22"/>
                <w:szCs w:val="22"/>
              </w:rPr>
            </w:pPr>
            <w:r w:rsidRPr="00875C65">
              <w:rPr>
                <w:rFonts w:eastAsia="Times New Roman"/>
                <w:color w:val="000000"/>
                <w:sz w:val="22"/>
                <w:szCs w:val="22"/>
              </w:rPr>
              <w:t>32</w:t>
            </w:r>
          </w:p>
        </w:tc>
        <w:tc>
          <w:tcPr>
            <w:tcW w:w="821" w:type="dxa"/>
            <w:tcBorders>
              <w:top w:val="nil"/>
              <w:left w:val="nil"/>
              <w:bottom w:val="nil"/>
              <w:right w:val="nil"/>
            </w:tcBorders>
            <w:shd w:val="clear" w:color="auto" w:fill="auto"/>
            <w:noWrap/>
            <w:vAlign w:val="bottom"/>
            <w:hideMark/>
          </w:tcPr>
          <w:p w14:paraId="200463FD"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16</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637C9DAD"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16</w:t>
            </w:r>
          </w:p>
        </w:tc>
        <w:tc>
          <w:tcPr>
            <w:tcW w:w="889" w:type="dxa"/>
            <w:tcBorders>
              <w:top w:val="nil"/>
              <w:left w:val="nil"/>
              <w:bottom w:val="nil"/>
              <w:right w:val="nil"/>
            </w:tcBorders>
            <w:shd w:val="clear" w:color="auto" w:fill="auto"/>
            <w:noWrap/>
            <w:vAlign w:val="bottom"/>
            <w:hideMark/>
          </w:tcPr>
          <w:p w14:paraId="3EB9DB9A"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8</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7B2A700B"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8</w:t>
            </w:r>
          </w:p>
        </w:tc>
        <w:tc>
          <w:tcPr>
            <w:tcW w:w="882" w:type="dxa"/>
            <w:tcBorders>
              <w:top w:val="nil"/>
              <w:left w:val="nil"/>
              <w:bottom w:val="nil"/>
              <w:right w:val="nil"/>
            </w:tcBorders>
            <w:shd w:val="clear" w:color="auto" w:fill="auto"/>
            <w:noWrap/>
            <w:vAlign w:val="bottom"/>
            <w:hideMark/>
          </w:tcPr>
          <w:p w14:paraId="261952AE"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4</w:t>
            </w:r>
          </w:p>
        </w:tc>
        <w:tc>
          <w:tcPr>
            <w:tcW w:w="826" w:type="dxa"/>
            <w:tcBorders>
              <w:top w:val="nil"/>
              <w:left w:val="nil"/>
              <w:bottom w:val="nil"/>
              <w:right w:val="nil"/>
            </w:tcBorders>
            <w:shd w:val="clear" w:color="auto" w:fill="D9D9D9" w:themeFill="background1" w:themeFillShade="D9"/>
            <w:noWrap/>
            <w:vAlign w:val="bottom"/>
            <w:hideMark/>
          </w:tcPr>
          <w:p w14:paraId="34859A47"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4</w:t>
            </w:r>
          </w:p>
        </w:tc>
      </w:tr>
      <w:tr w:rsidR="000C50F0" w:rsidRPr="008515AF" w14:paraId="4FB6651A"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350A0911" w14:textId="77777777" w:rsidR="000C50F0" w:rsidRPr="004347EE" w:rsidRDefault="000C50F0" w:rsidP="00576373">
            <w:pPr>
              <w:rPr>
                <w:rFonts w:eastAsia="Times New Roman"/>
                <w:color w:val="000000"/>
                <w:sz w:val="19"/>
                <w:szCs w:val="19"/>
              </w:rPr>
            </w:pPr>
            <w:r w:rsidRPr="004347EE">
              <w:rPr>
                <w:rFonts w:eastAsia="Times New Roman"/>
                <w:color w:val="000000"/>
                <w:sz w:val="19"/>
                <w:szCs w:val="19"/>
              </w:rPr>
              <w:t xml:space="preserve">Initial no. of </w:t>
            </w:r>
            <w:r w:rsidR="006D14DF" w:rsidRPr="004347EE">
              <w:rPr>
                <w:rFonts w:eastAsia="Times New Roman"/>
                <w:color w:val="000000"/>
                <w:sz w:val="19"/>
                <w:szCs w:val="19"/>
              </w:rPr>
              <w:t>securities</w:t>
            </w:r>
            <w:r w:rsidR="00576373" w:rsidRPr="004347EE">
              <w:rPr>
                <w:color w:val="000000"/>
                <w:sz w:val="19"/>
                <w:szCs w:val="19"/>
                <w:lang w:eastAsia="ja-JP"/>
              </w:rPr>
              <w:t>/</w:t>
            </w:r>
            <w:r w:rsidRPr="004347EE">
              <w:rPr>
                <w:rFonts w:eastAsia="Times New Roman"/>
                <w:color w:val="000000"/>
                <w:sz w:val="19"/>
                <w:szCs w:val="19"/>
              </w:rPr>
              <w:t>G</w:t>
            </w:r>
            <w:r w:rsidR="00D86B63" w:rsidRPr="004347EE">
              <w:rPr>
                <w:rFonts w:eastAsia="Times New Roman"/>
                <w:color w:val="000000"/>
                <w:sz w:val="19"/>
                <w:szCs w:val="19"/>
              </w:rPr>
              <w:t>1-</w:t>
            </w:r>
            <w:r w:rsidR="00922C92" w:rsidRPr="004347EE">
              <w:rPr>
                <w:rFonts w:eastAsia="Times New Roman"/>
                <w:color w:val="000000"/>
                <w:sz w:val="19"/>
                <w:szCs w:val="19"/>
              </w:rPr>
              <w:t>G</w:t>
            </w:r>
            <w:r w:rsidR="00D86B63" w:rsidRPr="004347EE">
              <w:rPr>
                <w:rFonts w:eastAsia="Times New Roman"/>
                <w:color w:val="000000"/>
                <w:sz w:val="19"/>
                <w:szCs w:val="19"/>
              </w:rPr>
              <w:t>8</w:t>
            </w:r>
          </w:p>
        </w:tc>
        <w:tc>
          <w:tcPr>
            <w:tcW w:w="759" w:type="dxa"/>
            <w:tcBorders>
              <w:top w:val="nil"/>
              <w:left w:val="nil"/>
              <w:bottom w:val="nil"/>
              <w:right w:val="nil"/>
            </w:tcBorders>
            <w:shd w:val="clear" w:color="auto" w:fill="auto"/>
            <w:noWrap/>
            <w:vAlign w:val="bottom"/>
            <w:hideMark/>
          </w:tcPr>
          <w:p w14:paraId="5D0AA8FE" w14:textId="77777777" w:rsidR="000C50F0" w:rsidRPr="00A76A8C" w:rsidRDefault="000C50F0" w:rsidP="00F43DFC">
            <w:pPr>
              <w:jc w:val="center"/>
              <w:rPr>
                <w:rFonts w:eastAsia="Times New Roman"/>
                <w:sz w:val="22"/>
                <w:szCs w:val="22"/>
              </w:rPr>
            </w:pPr>
            <w:r w:rsidRPr="00A76A8C">
              <w:rPr>
                <w:rFonts w:eastAsia="Times New Roman"/>
                <w:sz w:val="22"/>
                <w:szCs w:val="22"/>
              </w:rPr>
              <w:t>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7D01ED9D" w14:textId="77777777" w:rsidR="000C50F0" w:rsidRPr="00A76A8C" w:rsidRDefault="000C50F0" w:rsidP="00F43DFC">
            <w:pPr>
              <w:jc w:val="center"/>
              <w:rPr>
                <w:rFonts w:eastAsia="Times New Roman"/>
                <w:sz w:val="22"/>
                <w:szCs w:val="22"/>
              </w:rPr>
            </w:pPr>
            <w:r w:rsidRPr="00A76A8C">
              <w:rPr>
                <w:rFonts w:eastAsia="Times New Roman"/>
                <w:sz w:val="22"/>
                <w:szCs w:val="22"/>
              </w:rPr>
              <w:t>0</w:t>
            </w:r>
          </w:p>
        </w:tc>
        <w:tc>
          <w:tcPr>
            <w:tcW w:w="821" w:type="dxa"/>
            <w:tcBorders>
              <w:top w:val="nil"/>
              <w:left w:val="nil"/>
              <w:bottom w:val="nil"/>
              <w:right w:val="nil"/>
            </w:tcBorders>
            <w:shd w:val="clear" w:color="auto" w:fill="auto"/>
            <w:noWrap/>
            <w:vAlign w:val="bottom"/>
            <w:hideMark/>
          </w:tcPr>
          <w:p w14:paraId="4E059BF7"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483D3D5A"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c>
          <w:tcPr>
            <w:tcW w:w="889" w:type="dxa"/>
            <w:tcBorders>
              <w:top w:val="nil"/>
              <w:left w:val="nil"/>
              <w:bottom w:val="nil"/>
              <w:right w:val="nil"/>
            </w:tcBorders>
            <w:shd w:val="clear" w:color="auto" w:fill="auto"/>
            <w:noWrap/>
            <w:vAlign w:val="bottom"/>
            <w:hideMark/>
          </w:tcPr>
          <w:p w14:paraId="706791BD"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504EFD04"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c>
          <w:tcPr>
            <w:tcW w:w="882" w:type="dxa"/>
            <w:tcBorders>
              <w:top w:val="nil"/>
              <w:left w:val="nil"/>
              <w:bottom w:val="nil"/>
              <w:right w:val="nil"/>
            </w:tcBorders>
            <w:shd w:val="clear" w:color="auto" w:fill="auto"/>
            <w:noWrap/>
            <w:vAlign w:val="bottom"/>
            <w:hideMark/>
          </w:tcPr>
          <w:p w14:paraId="014D57F3"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c>
          <w:tcPr>
            <w:tcW w:w="826" w:type="dxa"/>
            <w:tcBorders>
              <w:top w:val="nil"/>
              <w:left w:val="nil"/>
              <w:bottom w:val="nil"/>
              <w:right w:val="nil"/>
            </w:tcBorders>
            <w:shd w:val="clear" w:color="auto" w:fill="D9D9D9" w:themeFill="background1" w:themeFillShade="D9"/>
            <w:noWrap/>
            <w:vAlign w:val="bottom"/>
            <w:hideMark/>
          </w:tcPr>
          <w:p w14:paraId="0F33C26C"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r>
      <w:tr w:rsidR="000C50F0" w:rsidRPr="008515AF" w14:paraId="2FB4839F"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235180CF" w14:textId="77777777" w:rsidR="000C50F0" w:rsidRDefault="000C50F0" w:rsidP="00E11657">
            <w:pPr>
              <w:rPr>
                <w:rFonts w:eastAsia="Times New Roman"/>
                <w:color w:val="000000"/>
                <w:sz w:val="22"/>
                <w:szCs w:val="22"/>
              </w:rPr>
            </w:pPr>
            <w:r w:rsidRPr="00A76A8C">
              <w:rPr>
                <w:rFonts w:eastAsia="Times New Roman"/>
                <w:color w:val="000000"/>
                <w:sz w:val="22"/>
                <w:szCs w:val="22"/>
              </w:rPr>
              <w:t xml:space="preserve">Total </w:t>
            </w:r>
            <w:r>
              <w:rPr>
                <w:rFonts w:hint="eastAsia"/>
                <w:color w:val="000000"/>
                <w:sz w:val="22"/>
                <w:szCs w:val="22"/>
                <w:lang w:eastAsia="ja-JP"/>
              </w:rPr>
              <w:t>securities</w:t>
            </w:r>
            <w:r w:rsidRPr="00A76A8C">
              <w:rPr>
                <w:rFonts w:eastAsia="Times New Roman"/>
                <w:color w:val="000000"/>
                <w:sz w:val="22"/>
                <w:szCs w:val="22"/>
              </w:rPr>
              <w:t xml:space="preserve"> outstanding</w:t>
            </w:r>
          </w:p>
        </w:tc>
        <w:tc>
          <w:tcPr>
            <w:tcW w:w="759" w:type="dxa"/>
            <w:tcBorders>
              <w:top w:val="nil"/>
              <w:left w:val="nil"/>
              <w:bottom w:val="nil"/>
              <w:right w:val="nil"/>
            </w:tcBorders>
            <w:shd w:val="clear" w:color="auto" w:fill="auto"/>
            <w:noWrap/>
            <w:vAlign w:val="bottom"/>
            <w:hideMark/>
          </w:tcPr>
          <w:p w14:paraId="08C745A4" w14:textId="77777777" w:rsidR="000C50F0" w:rsidRPr="00A76A8C" w:rsidRDefault="000C50F0" w:rsidP="00F43DFC">
            <w:pPr>
              <w:jc w:val="center"/>
              <w:rPr>
                <w:rFonts w:eastAsia="Times New Roman"/>
                <w:sz w:val="22"/>
                <w:szCs w:val="22"/>
              </w:rPr>
            </w:pPr>
            <w:r w:rsidRPr="00A76A8C">
              <w:rPr>
                <w:rFonts w:eastAsia="Times New Roman"/>
                <w:sz w:val="22"/>
                <w:szCs w:val="22"/>
              </w:rPr>
              <w:t>160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5FC76025" w14:textId="77777777" w:rsidR="000C50F0" w:rsidRPr="00A76A8C" w:rsidRDefault="000C50F0" w:rsidP="00F43DFC">
            <w:pPr>
              <w:jc w:val="center"/>
              <w:rPr>
                <w:rFonts w:eastAsia="Times New Roman"/>
                <w:sz w:val="22"/>
                <w:szCs w:val="22"/>
              </w:rPr>
            </w:pPr>
            <w:r w:rsidRPr="00A76A8C">
              <w:rPr>
                <w:rFonts w:eastAsia="Times New Roman"/>
                <w:sz w:val="22"/>
                <w:szCs w:val="22"/>
              </w:rPr>
              <w:t>160</w:t>
            </w:r>
          </w:p>
        </w:tc>
        <w:tc>
          <w:tcPr>
            <w:tcW w:w="821" w:type="dxa"/>
            <w:tcBorders>
              <w:top w:val="nil"/>
              <w:left w:val="nil"/>
              <w:bottom w:val="nil"/>
              <w:right w:val="nil"/>
            </w:tcBorders>
            <w:shd w:val="clear" w:color="auto" w:fill="auto"/>
            <w:noWrap/>
            <w:vAlign w:val="bottom"/>
            <w:hideMark/>
          </w:tcPr>
          <w:p w14:paraId="7EC054C9"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80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3381B20F"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80</w:t>
            </w:r>
          </w:p>
        </w:tc>
        <w:tc>
          <w:tcPr>
            <w:tcW w:w="889" w:type="dxa"/>
            <w:tcBorders>
              <w:top w:val="nil"/>
              <w:left w:val="nil"/>
              <w:bottom w:val="nil"/>
              <w:right w:val="nil"/>
            </w:tcBorders>
            <w:shd w:val="clear" w:color="auto" w:fill="auto"/>
            <w:noWrap/>
            <w:vAlign w:val="bottom"/>
            <w:hideMark/>
          </w:tcPr>
          <w:p w14:paraId="1198B9DA"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40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2B1E8FDA"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40</w:t>
            </w:r>
          </w:p>
        </w:tc>
        <w:tc>
          <w:tcPr>
            <w:tcW w:w="882" w:type="dxa"/>
            <w:tcBorders>
              <w:top w:val="nil"/>
              <w:left w:val="nil"/>
              <w:bottom w:val="nil"/>
              <w:right w:val="nil"/>
            </w:tcBorders>
            <w:shd w:val="clear" w:color="auto" w:fill="auto"/>
            <w:noWrap/>
            <w:vAlign w:val="bottom"/>
            <w:hideMark/>
          </w:tcPr>
          <w:p w14:paraId="4E8165C0"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20</w:t>
            </w:r>
          </w:p>
        </w:tc>
        <w:tc>
          <w:tcPr>
            <w:tcW w:w="826" w:type="dxa"/>
            <w:tcBorders>
              <w:top w:val="nil"/>
              <w:left w:val="nil"/>
              <w:bottom w:val="nil"/>
              <w:right w:val="nil"/>
            </w:tcBorders>
            <w:shd w:val="clear" w:color="auto" w:fill="D9D9D9" w:themeFill="background1" w:themeFillShade="D9"/>
            <w:noWrap/>
            <w:vAlign w:val="bottom"/>
            <w:hideMark/>
          </w:tcPr>
          <w:p w14:paraId="5529627F"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20</w:t>
            </w:r>
          </w:p>
        </w:tc>
      </w:tr>
      <w:tr w:rsidR="000C50F0" w:rsidRPr="008515AF" w14:paraId="78A42BE8"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3B2A2A4D" w14:textId="77777777" w:rsidR="000C50F0" w:rsidRDefault="000C50F0" w:rsidP="00E11657">
            <w:pPr>
              <w:rPr>
                <w:rFonts w:eastAsia="Times New Roman"/>
                <w:color w:val="000000"/>
                <w:sz w:val="22"/>
                <w:szCs w:val="22"/>
              </w:rPr>
            </w:pPr>
            <w:r w:rsidRPr="00A76A8C">
              <w:rPr>
                <w:rFonts w:eastAsia="Times New Roman"/>
                <w:color w:val="000000"/>
                <w:sz w:val="22"/>
                <w:szCs w:val="22"/>
              </w:rPr>
              <w:t xml:space="preserve">Total value of </w:t>
            </w:r>
            <w:r>
              <w:rPr>
                <w:rFonts w:hint="eastAsia"/>
                <w:color w:val="000000"/>
                <w:sz w:val="22"/>
                <w:szCs w:val="22"/>
                <w:lang w:eastAsia="ja-JP"/>
              </w:rPr>
              <w:t>securities</w:t>
            </w:r>
          </w:p>
        </w:tc>
        <w:tc>
          <w:tcPr>
            <w:tcW w:w="759" w:type="dxa"/>
            <w:tcBorders>
              <w:top w:val="nil"/>
              <w:left w:val="nil"/>
              <w:bottom w:val="nil"/>
              <w:right w:val="nil"/>
            </w:tcBorders>
            <w:shd w:val="clear" w:color="auto" w:fill="auto"/>
            <w:noWrap/>
            <w:vAlign w:val="bottom"/>
            <w:hideMark/>
          </w:tcPr>
          <w:p w14:paraId="5BA5A702" w14:textId="77777777" w:rsidR="000C50F0" w:rsidRPr="00A76A8C" w:rsidRDefault="000C50F0" w:rsidP="00F43DFC">
            <w:pPr>
              <w:jc w:val="center"/>
              <w:rPr>
                <w:rFonts w:eastAsia="Times New Roman"/>
                <w:sz w:val="22"/>
                <w:szCs w:val="22"/>
              </w:rPr>
            </w:pPr>
            <w:r w:rsidRPr="00A76A8C">
              <w:rPr>
                <w:rFonts w:eastAsia="Times New Roman"/>
                <w:sz w:val="22"/>
                <w:szCs w:val="22"/>
              </w:rPr>
              <w:t>8,000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7D04EC29" w14:textId="77777777" w:rsidR="000C50F0" w:rsidRPr="00A76A8C" w:rsidRDefault="000C50F0" w:rsidP="00F43DFC">
            <w:pPr>
              <w:jc w:val="center"/>
              <w:rPr>
                <w:rFonts w:eastAsia="Times New Roman"/>
                <w:sz w:val="22"/>
                <w:szCs w:val="22"/>
              </w:rPr>
            </w:pPr>
            <w:r w:rsidRPr="00A76A8C">
              <w:rPr>
                <w:rFonts w:eastAsia="Times New Roman"/>
                <w:sz w:val="22"/>
                <w:szCs w:val="22"/>
              </w:rPr>
              <w:t>8,000</w:t>
            </w:r>
          </w:p>
        </w:tc>
        <w:tc>
          <w:tcPr>
            <w:tcW w:w="821" w:type="dxa"/>
            <w:tcBorders>
              <w:top w:val="nil"/>
              <w:left w:val="nil"/>
              <w:bottom w:val="nil"/>
              <w:right w:val="nil"/>
            </w:tcBorders>
            <w:shd w:val="clear" w:color="auto" w:fill="auto"/>
            <w:noWrap/>
            <w:vAlign w:val="bottom"/>
            <w:hideMark/>
          </w:tcPr>
          <w:p w14:paraId="40E4EB70" w14:textId="77777777" w:rsidR="000C50F0" w:rsidRPr="00A76A8C" w:rsidRDefault="000C50F0" w:rsidP="00F43DFC">
            <w:pPr>
              <w:jc w:val="center"/>
              <w:rPr>
                <w:rFonts w:eastAsia="Times New Roman"/>
                <w:sz w:val="22"/>
                <w:szCs w:val="22"/>
              </w:rPr>
            </w:pPr>
            <w:r w:rsidRPr="00A76A8C">
              <w:rPr>
                <w:rFonts w:eastAsia="Times New Roman"/>
                <w:sz w:val="22"/>
                <w:szCs w:val="22"/>
              </w:rPr>
              <w:t>4,000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2928FBFC" w14:textId="77777777" w:rsidR="000C50F0" w:rsidRPr="00A76A8C" w:rsidRDefault="000C50F0" w:rsidP="00F43DFC">
            <w:pPr>
              <w:jc w:val="center"/>
              <w:rPr>
                <w:rFonts w:eastAsia="Times New Roman"/>
                <w:sz w:val="22"/>
                <w:szCs w:val="22"/>
              </w:rPr>
            </w:pPr>
            <w:r w:rsidRPr="00A76A8C">
              <w:rPr>
                <w:rFonts w:eastAsia="Times New Roman"/>
                <w:sz w:val="22"/>
                <w:szCs w:val="22"/>
              </w:rPr>
              <w:t>4,000</w:t>
            </w:r>
          </w:p>
        </w:tc>
        <w:tc>
          <w:tcPr>
            <w:tcW w:w="889" w:type="dxa"/>
            <w:tcBorders>
              <w:top w:val="nil"/>
              <w:left w:val="nil"/>
              <w:bottom w:val="nil"/>
              <w:right w:val="nil"/>
            </w:tcBorders>
            <w:shd w:val="clear" w:color="auto" w:fill="auto"/>
            <w:noWrap/>
            <w:vAlign w:val="bottom"/>
            <w:hideMark/>
          </w:tcPr>
          <w:p w14:paraId="2457B349" w14:textId="77777777" w:rsidR="000C50F0" w:rsidRPr="00A76A8C" w:rsidRDefault="000C50F0" w:rsidP="00F43DFC">
            <w:pPr>
              <w:jc w:val="center"/>
              <w:rPr>
                <w:rFonts w:eastAsia="Times New Roman"/>
                <w:sz w:val="22"/>
                <w:szCs w:val="22"/>
              </w:rPr>
            </w:pPr>
            <w:r w:rsidRPr="00A76A8C">
              <w:rPr>
                <w:rFonts w:eastAsia="Times New Roman"/>
                <w:sz w:val="22"/>
                <w:szCs w:val="22"/>
              </w:rPr>
              <w:t>2,000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5385CEF6" w14:textId="77777777" w:rsidR="000C50F0" w:rsidRPr="00A76A8C" w:rsidRDefault="000C50F0" w:rsidP="00F43DFC">
            <w:pPr>
              <w:jc w:val="center"/>
              <w:rPr>
                <w:rFonts w:eastAsia="Times New Roman"/>
                <w:sz w:val="22"/>
                <w:szCs w:val="22"/>
              </w:rPr>
            </w:pPr>
            <w:r w:rsidRPr="00A76A8C">
              <w:rPr>
                <w:rFonts w:eastAsia="Times New Roman"/>
                <w:sz w:val="22"/>
                <w:szCs w:val="22"/>
              </w:rPr>
              <w:t>2,000</w:t>
            </w:r>
          </w:p>
        </w:tc>
        <w:tc>
          <w:tcPr>
            <w:tcW w:w="882" w:type="dxa"/>
            <w:tcBorders>
              <w:top w:val="nil"/>
              <w:left w:val="nil"/>
              <w:bottom w:val="nil"/>
              <w:right w:val="nil"/>
            </w:tcBorders>
            <w:shd w:val="clear" w:color="auto" w:fill="auto"/>
            <w:noWrap/>
            <w:vAlign w:val="bottom"/>
            <w:hideMark/>
          </w:tcPr>
          <w:p w14:paraId="4F618C3B" w14:textId="77777777" w:rsidR="000C50F0" w:rsidRPr="00A76A8C" w:rsidRDefault="000C50F0" w:rsidP="00F43DFC">
            <w:pPr>
              <w:jc w:val="center"/>
              <w:rPr>
                <w:rFonts w:eastAsia="Times New Roman"/>
                <w:sz w:val="22"/>
                <w:szCs w:val="22"/>
              </w:rPr>
            </w:pPr>
            <w:r w:rsidRPr="00A76A8C">
              <w:rPr>
                <w:rFonts w:eastAsia="Times New Roman"/>
                <w:sz w:val="22"/>
                <w:szCs w:val="22"/>
              </w:rPr>
              <w:t>1,000</w:t>
            </w:r>
          </w:p>
        </w:tc>
        <w:tc>
          <w:tcPr>
            <w:tcW w:w="826" w:type="dxa"/>
            <w:tcBorders>
              <w:top w:val="nil"/>
              <w:left w:val="nil"/>
              <w:bottom w:val="nil"/>
              <w:right w:val="nil"/>
            </w:tcBorders>
            <w:shd w:val="clear" w:color="auto" w:fill="D9D9D9" w:themeFill="background1" w:themeFillShade="D9"/>
            <w:noWrap/>
            <w:vAlign w:val="bottom"/>
            <w:hideMark/>
          </w:tcPr>
          <w:p w14:paraId="6C4D9D9B" w14:textId="77777777" w:rsidR="000C50F0" w:rsidRPr="00A76A8C" w:rsidRDefault="000C50F0" w:rsidP="00F43DFC">
            <w:pPr>
              <w:jc w:val="center"/>
              <w:rPr>
                <w:rFonts w:eastAsia="Times New Roman"/>
                <w:sz w:val="22"/>
                <w:szCs w:val="22"/>
              </w:rPr>
            </w:pPr>
            <w:r w:rsidRPr="00A76A8C">
              <w:rPr>
                <w:rFonts w:eastAsia="Times New Roman"/>
                <w:sz w:val="22"/>
                <w:szCs w:val="22"/>
              </w:rPr>
              <w:t>1,000</w:t>
            </w:r>
          </w:p>
        </w:tc>
      </w:tr>
      <w:tr w:rsidR="000C50F0" w:rsidRPr="008515AF" w14:paraId="379B8936"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4D355300" w14:textId="77777777" w:rsidR="000C50F0" w:rsidRPr="00A76A8C" w:rsidRDefault="000C50F0" w:rsidP="00E11657">
            <w:pPr>
              <w:rPr>
                <w:rFonts w:eastAsia="Times New Roman"/>
                <w:color w:val="000000"/>
                <w:sz w:val="22"/>
                <w:szCs w:val="22"/>
              </w:rPr>
            </w:pPr>
            <w:r w:rsidRPr="00A76A8C">
              <w:rPr>
                <w:rFonts w:eastAsia="Times New Roman"/>
                <w:color w:val="000000"/>
                <w:sz w:val="22"/>
                <w:szCs w:val="22"/>
              </w:rPr>
              <w:t>Initial cash</w:t>
            </w:r>
            <w:r>
              <w:rPr>
                <w:rFonts w:eastAsia="Times New Roman"/>
                <w:color w:val="000000"/>
                <w:sz w:val="22"/>
                <w:szCs w:val="22"/>
              </w:rPr>
              <w:t>/</w:t>
            </w:r>
            <w:r w:rsidR="00440147">
              <w:rPr>
                <w:rFonts w:eastAsia="Times New Roman"/>
                <w:color w:val="000000"/>
                <w:sz w:val="22"/>
                <w:szCs w:val="22"/>
              </w:rPr>
              <w:t>investor</w:t>
            </w:r>
            <w:r w:rsidRPr="00A76A8C">
              <w:rPr>
                <w:rFonts w:eastAsia="Times New Roman"/>
                <w:color w:val="000000"/>
                <w:sz w:val="22"/>
                <w:szCs w:val="22"/>
              </w:rPr>
              <w:t xml:space="preserve"> G</w:t>
            </w:r>
            <w:r>
              <w:rPr>
                <w:rFonts w:hint="eastAsia"/>
                <w:color w:val="000000"/>
                <w:sz w:val="22"/>
                <w:szCs w:val="22"/>
                <w:lang w:eastAsia="ja-JP"/>
              </w:rPr>
              <w:t>0</w:t>
            </w:r>
          </w:p>
        </w:tc>
        <w:tc>
          <w:tcPr>
            <w:tcW w:w="759" w:type="dxa"/>
            <w:tcBorders>
              <w:top w:val="nil"/>
              <w:left w:val="nil"/>
              <w:bottom w:val="nil"/>
              <w:right w:val="nil"/>
            </w:tcBorders>
            <w:shd w:val="clear" w:color="auto" w:fill="auto"/>
            <w:noWrap/>
            <w:vAlign w:val="bottom"/>
            <w:hideMark/>
          </w:tcPr>
          <w:p w14:paraId="11BDFA40" w14:textId="77777777" w:rsidR="000C50F0" w:rsidRPr="00A76A8C" w:rsidRDefault="000C50F0" w:rsidP="00F43DFC">
            <w:pPr>
              <w:jc w:val="center"/>
              <w:rPr>
                <w:rFonts w:eastAsia="Times New Roman"/>
                <w:sz w:val="22"/>
                <w:szCs w:val="22"/>
              </w:rPr>
            </w:pPr>
            <w:r w:rsidRPr="00A76A8C">
              <w:rPr>
                <w:rFonts w:eastAsia="Times New Roman"/>
                <w:sz w:val="22"/>
                <w:szCs w:val="22"/>
              </w:rPr>
              <w:t>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40361529" w14:textId="77777777" w:rsidR="000C50F0" w:rsidRPr="00A76A8C" w:rsidRDefault="000C50F0" w:rsidP="00F43DFC">
            <w:pPr>
              <w:jc w:val="center"/>
              <w:rPr>
                <w:rFonts w:eastAsia="Times New Roman"/>
                <w:sz w:val="22"/>
                <w:szCs w:val="22"/>
              </w:rPr>
            </w:pPr>
            <w:r w:rsidRPr="00A76A8C">
              <w:rPr>
                <w:rFonts w:eastAsia="Times New Roman"/>
                <w:sz w:val="22"/>
                <w:szCs w:val="22"/>
              </w:rPr>
              <w:t>0</w:t>
            </w:r>
          </w:p>
        </w:tc>
        <w:tc>
          <w:tcPr>
            <w:tcW w:w="821" w:type="dxa"/>
            <w:tcBorders>
              <w:top w:val="nil"/>
              <w:left w:val="nil"/>
              <w:bottom w:val="nil"/>
              <w:right w:val="nil"/>
            </w:tcBorders>
            <w:shd w:val="clear" w:color="auto" w:fill="auto"/>
            <w:noWrap/>
            <w:vAlign w:val="bottom"/>
            <w:hideMark/>
          </w:tcPr>
          <w:p w14:paraId="75D68A4D"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4284A5F5"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c>
          <w:tcPr>
            <w:tcW w:w="889" w:type="dxa"/>
            <w:tcBorders>
              <w:top w:val="nil"/>
              <w:left w:val="nil"/>
              <w:bottom w:val="nil"/>
              <w:right w:val="nil"/>
            </w:tcBorders>
            <w:shd w:val="clear" w:color="auto" w:fill="auto"/>
            <w:noWrap/>
            <w:vAlign w:val="bottom"/>
            <w:hideMark/>
          </w:tcPr>
          <w:p w14:paraId="75DF76C0"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18DBA049"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c>
          <w:tcPr>
            <w:tcW w:w="882" w:type="dxa"/>
            <w:tcBorders>
              <w:top w:val="nil"/>
              <w:left w:val="nil"/>
              <w:bottom w:val="nil"/>
              <w:right w:val="nil"/>
            </w:tcBorders>
            <w:shd w:val="clear" w:color="auto" w:fill="auto"/>
            <w:noWrap/>
            <w:vAlign w:val="bottom"/>
            <w:hideMark/>
          </w:tcPr>
          <w:p w14:paraId="3CA0BFCD"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c>
          <w:tcPr>
            <w:tcW w:w="826" w:type="dxa"/>
            <w:tcBorders>
              <w:top w:val="nil"/>
              <w:left w:val="nil"/>
              <w:bottom w:val="nil"/>
              <w:right w:val="nil"/>
            </w:tcBorders>
            <w:shd w:val="clear" w:color="auto" w:fill="D9D9D9" w:themeFill="background1" w:themeFillShade="D9"/>
            <w:noWrap/>
            <w:vAlign w:val="bottom"/>
            <w:hideMark/>
          </w:tcPr>
          <w:p w14:paraId="7DEAE68C"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0</w:t>
            </w:r>
          </w:p>
        </w:tc>
      </w:tr>
      <w:tr w:rsidR="000C50F0" w:rsidRPr="008515AF" w14:paraId="124B30E4"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64EBBC4C" w14:textId="77777777" w:rsidR="000C50F0" w:rsidRPr="00A76A8C" w:rsidRDefault="000C50F0" w:rsidP="00922C92">
            <w:pPr>
              <w:rPr>
                <w:rFonts w:eastAsia="Times New Roman"/>
                <w:color w:val="000000"/>
                <w:sz w:val="22"/>
                <w:szCs w:val="22"/>
              </w:rPr>
            </w:pPr>
            <w:r w:rsidRPr="00A76A8C">
              <w:rPr>
                <w:rFonts w:eastAsia="Times New Roman"/>
                <w:color w:val="000000"/>
                <w:sz w:val="22"/>
                <w:szCs w:val="22"/>
              </w:rPr>
              <w:t>Initial cash</w:t>
            </w:r>
            <w:r>
              <w:rPr>
                <w:rFonts w:eastAsia="Times New Roman"/>
                <w:color w:val="000000"/>
                <w:sz w:val="22"/>
                <w:szCs w:val="22"/>
              </w:rPr>
              <w:t>/</w:t>
            </w:r>
            <w:r w:rsidR="00440147">
              <w:rPr>
                <w:rFonts w:eastAsia="Times New Roman"/>
                <w:color w:val="000000"/>
                <w:sz w:val="22"/>
                <w:szCs w:val="22"/>
              </w:rPr>
              <w:t>investor</w:t>
            </w:r>
            <w:r w:rsidRPr="00A76A8C">
              <w:rPr>
                <w:rFonts w:eastAsia="Times New Roman"/>
                <w:color w:val="000000"/>
                <w:sz w:val="22"/>
                <w:szCs w:val="22"/>
              </w:rPr>
              <w:t xml:space="preserve"> G</w:t>
            </w:r>
            <w:r w:rsidR="00922C92">
              <w:rPr>
                <w:rFonts w:eastAsia="Times New Roman"/>
                <w:color w:val="000000"/>
                <w:sz w:val="22"/>
                <w:szCs w:val="22"/>
              </w:rPr>
              <w:t>1-G8</w:t>
            </w:r>
          </w:p>
        </w:tc>
        <w:tc>
          <w:tcPr>
            <w:tcW w:w="759" w:type="dxa"/>
            <w:tcBorders>
              <w:top w:val="nil"/>
              <w:left w:val="nil"/>
              <w:bottom w:val="nil"/>
              <w:right w:val="nil"/>
            </w:tcBorders>
            <w:shd w:val="clear" w:color="auto" w:fill="auto"/>
            <w:noWrap/>
            <w:vAlign w:val="bottom"/>
            <w:hideMark/>
          </w:tcPr>
          <w:p w14:paraId="42A3AE17" w14:textId="77777777" w:rsidR="000C50F0" w:rsidRPr="00A76A8C" w:rsidRDefault="000C50F0" w:rsidP="00F43DFC">
            <w:pPr>
              <w:jc w:val="center"/>
              <w:rPr>
                <w:rFonts w:eastAsia="Times New Roman"/>
                <w:sz w:val="22"/>
                <w:szCs w:val="22"/>
              </w:rPr>
            </w:pPr>
            <w:r w:rsidRPr="00A76A8C">
              <w:rPr>
                <w:rFonts w:eastAsia="Times New Roman"/>
                <w:sz w:val="22"/>
                <w:szCs w:val="22"/>
              </w:rPr>
              <w:t>16,000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1C5A7336" w14:textId="77777777" w:rsidR="000C50F0" w:rsidRPr="00A76A8C" w:rsidRDefault="000C50F0" w:rsidP="00F43DFC">
            <w:pPr>
              <w:jc w:val="center"/>
              <w:rPr>
                <w:rFonts w:eastAsia="Times New Roman"/>
                <w:sz w:val="22"/>
                <w:szCs w:val="22"/>
              </w:rPr>
            </w:pPr>
            <w:r w:rsidRPr="00A76A8C">
              <w:rPr>
                <w:rFonts w:eastAsia="Times New Roman"/>
                <w:sz w:val="22"/>
                <w:szCs w:val="22"/>
              </w:rPr>
              <w:t>3,200</w:t>
            </w:r>
          </w:p>
        </w:tc>
        <w:tc>
          <w:tcPr>
            <w:tcW w:w="821" w:type="dxa"/>
            <w:tcBorders>
              <w:top w:val="nil"/>
              <w:left w:val="nil"/>
              <w:bottom w:val="nil"/>
              <w:right w:val="nil"/>
            </w:tcBorders>
            <w:shd w:val="clear" w:color="auto" w:fill="auto"/>
            <w:noWrap/>
            <w:vAlign w:val="bottom"/>
            <w:hideMark/>
          </w:tcPr>
          <w:p w14:paraId="5502A3B3"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8,000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614EF5FF"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1,600</w:t>
            </w:r>
          </w:p>
        </w:tc>
        <w:tc>
          <w:tcPr>
            <w:tcW w:w="889" w:type="dxa"/>
            <w:tcBorders>
              <w:top w:val="nil"/>
              <w:left w:val="nil"/>
              <w:bottom w:val="nil"/>
              <w:right w:val="nil"/>
            </w:tcBorders>
            <w:shd w:val="clear" w:color="auto" w:fill="auto"/>
            <w:noWrap/>
            <w:vAlign w:val="bottom"/>
            <w:hideMark/>
          </w:tcPr>
          <w:p w14:paraId="2D402E06"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4,000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123275B9"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800</w:t>
            </w:r>
          </w:p>
        </w:tc>
        <w:tc>
          <w:tcPr>
            <w:tcW w:w="882" w:type="dxa"/>
            <w:tcBorders>
              <w:top w:val="nil"/>
              <w:left w:val="nil"/>
              <w:bottom w:val="nil"/>
              <w:right w:val="nil"/>
            </w:tcBorders>
            <w:shd w:val="clear" w:color="auto" w:fill="auto"/>
            <w:noWrap/>
            <w:vAlign w:val="bottom"/>
            <w:hideMark/>
          </w:tcPr>
          <w:p w14:paraId="34DAF002"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2,000</w:t>
            </w:r>
          </w:p>
        </w:tc>
        <w:tc>
          <w:tcPr>
            <w:tcW w:w="826" w:type="dxa"/>
            <w:tcBorders>
              <w:top w:val="nil"/>
              <w:left w:val="nil"/>
              <w:bottom w:val="nil"/>
              <w:right w:val="nil"/>
            </w:tcBorders>
            <w:shd w:val="clear" w:color="auto" w:fill="D9D9D9" w:themeFill="background1" w:themeFillShade="D9"/>
            <w:noWrap/>
            <w:vAlign w:val="bottom"/>
            <w:hideMark/>
          </w:tcPr>
          <w:p w14:paraId="4E36403D"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400</w:t>
            </w:r>
          </w:p>
        </w:tc>
      </w:tr>
      <w:tr w:rsidR="000C50F0" w:rsidRPr="008515AF" w14:paraId="4D3FE0C3"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699F4E4D" w14:textId="77777777" w:rsidR="000C50F0" w:rsidRPr="00A76A8C" w:rsidRDefault="000C50F0" w:rsidP="00E11657">
            <w:pPr>
              <w:rPr>
                <w:rFonts w:eastAsia="Times New Roman"/>
                <w:color w:val="000000"/>
                <w:sz w:val="22"/>
                <w:szCs w:val="22"/>
              </w:rPr>
            </w:pPr>
            <w:r w:rsidRPr="00A76A8C">
              <w:rPr>
                <w:rFonts w:eastAsia="Times New Roman"/>
                <w:color w:val="000000"/>
                <w:sz w:val="22"/>
                <w:szCs w:val="22"/>
              </w:rPr>
              <w:t>Total cash</w:t>
            </w:r>
          </w:p>
        </w:tc>
        <w:tc>
          <w:tcPr>
            <w:tcW w:w="759" w:type="dxa"/>
            <w:tcBorders>
              <w:top w:val="nil"/>
              <w:left w:val="nil"/>
              <w:bottom w:val="nil"/>
              <w:right w:val="nil"/>
            </w:tcBorders>
            <w:shd w:val="clear" w:color="auto" w:fill="auto"/>
            <w:noWrap/>
            <w:vAlign w:val="bottom"/>
            <w:hideMark/>
          </w:tcPr>
          <w:p w14:paraId="1F8BD803" w14:textId="77777777" w:rsidR="000C50F0" w:rsidRPr="00A76A8C" w:rsidRDefault="000C50F0" w:rsidP="00F43DFC">
            <w:pPr>
              <w:jc w:val="center"/>
              <w:rPr>
                <w:rFonts w:eastAsia="Times New Roman"/>
                <w:sz w:val="22"/>
                <w:szCs w:val="22"/>
              </w:rPr>
            </w:pPr>
            <w:r w:rsidRPr="00A76A8C">
              <w:rPr>
                <w:rFonts w:eastAsia="Times New Roman"/>
                <w:sz w:val="22"/>
                <w:szCs w:val="22"/>
              </w:rPr>
              <w:t>80,000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52EA9E1D" w14:textId="77777777" w:rsidR="000C50F0" w:rsidRPr="00A76A8C" w:rsidRDefault="000C50F0" w:rsidP="00F43DFC">
            <w:pPr>
              <w:jc w:val="center"/>
              <w:rPr>
                <w:rFonts w:eastAsia="Times New Roman"/>
                <w:sz w:val="22"/>
                <w:szCs w:val="22"/>
              </w:rPr>
            </w:pPr>
            <w:r w:rsidRPr="00A76A8C">
              <w:rPr>
                <w:rFonts w:eastAsia="Times New Roman"/>
                <w:sz w:val="22"/>
                <w:szCs w:val="22"/>
              </w:rPr>
              <w:t>16,000</w:t>
            </w:r>
          </w:p>
        </w:tc>
        <w:tc>
          <w:tcPr>
            <w:tcW w:w="821" w:type="dxa"/>
            <w:tcBorders>
              <w:top w:val="nil"/>
              <w:left w:val="nil"/>
              <w:bottom w:val="nil"/>
              <w:right w:val="nil"/>
            </w:tcBorders>
            <w:shd w:val="clear" w:color="auto" w:fill="auto"/>
            <w:noWrap/>
            <w:vAlign w:val="bottom"/>
            <w:hideMark/>
          </w:tcPr>
          <w:p w14:paraId="0DC0B321"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40,000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34A49E61"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8,000</w:t>
            </w:r>
          </w:p>
        </w:tc>
        <w:tc>
          <w:tcPr>
            <w:tcW w:w="889" w:type="dxa"/>
            <w:tcBorders>
              <w:top w:val="nil"/>
              <w:left w:val="nil"/>
              <w:bottom w:val="nil"/>
              <w:right w:val="nil"/>
            </w:tcBorders>
            <w:shd w:val="clear" w:color="auto" w:fill="auto"/>
            <w:noWrap/>
            <w:vAlign w:val="bottom"/>
            <w:hideMark/>
          </w:tcPr>
          <w:p w14:paraId="2A5CBB38"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20,000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42870DDD"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4,000</w:t>
            </w:r>
          </w:p>
        </w:tc>
        <w:tc>
          <w:tcPr>
            <w:tcW w:w="882" w:type="dxa"/>
            <w:tcBorders>
              <w:top w:val="nil"/>
              <w:left w:val="nil"/>
              <w:bottom w:val="nil"/>
              <w:right w:val="nil"/>
            </w:tcBorders>
            <w:shd w:val="clear" w:color="auto" w:fill="auto"/>
            <w:noWrap/>
            <w:vAlign w:val="bottom"/>
            <w:hideMark/>
          </w:tcPr>
          <w:p w14:paraId="522BABCE"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10,000</w:t>
            </w:r>
          </w:p>
        </w:tc>
        <w:tc>
          <w:tcPr>
            <w:tcW w:w="826" w:type="dxa"/>
            <w:tcBorders>
              <w:top w:val="nil"/>
              <w:left w:val="nil"/>
              <w:bottom w:val="nil"/>
              <w:right w:val="nil"/>
            </w:tcBorders>
            <w:shd w:val="clear" w:color="auto" w:fill="D9D9D9" w:themeFill="background1" w:themeFillShade="D9"/>
            <w:noWrap/>
            <w:vAlign w:val="bottom"/>
            <w:hideMark/>
          </w:tcPr>
          <w:p w14:paraId="706AD37A"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2,000</w:t>
            </w:r>
          </w:p>
        </w:tc>
      </w:tr>
      <w:tr w:rsidR="000C50F0" w:rsidRPr="008515AF" w14:paraId="619575F1"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269E72FB" w14:textId="77777777" w:rsidR="000C50F0" w:rsidRDefault="000C50F0" w:rsidP="00576373">
            <w:pPr>
              <w:rPr>
                <w:rFonts w:eastAsia="Times New Roman"/>
                <w:color w:val="000000"/>
                <w:sz w:val="21"/>
                <w:szCs w:val="21"/>
              </w:rPr>
            </w:pPr>
            <w:r w:rsidRPr="00377B05">
              <w:rPr>
                <w:rFonts w:eastAsia="Times New Roman"/>
                <w:color w:val="000000"/>
                <w:sz w:val="21"/>
                <w:szCs w:val="21"/>
              </w:rPr>
              <w:t>Cash-</w:t>
            </w:r>
            <w:r w:rsidR="00576373">
              <w:rPr>
                <w:rFonts w:hint="eastAsia"/>
                <w:color w:val="000000"/>
                <w:sz w:val="21"/>
                <w:szCs w:val="21"/>
                <w:lang w:eastAsia="ja-JP"/>
              </w:rPr>
              <w:t xml:space="preserve">to-asset value </w:t>
            </w:r>
            <w:r w:rsidRPr="00377B05">
              <w:rPr>
                <w:rFonts w:eastAsia="Times New Roman"/>
                <w:color w:val="000000"/>
                <w:sz w:val="21"/>
                <w:szCs w:val="21"/>
              </w:rPr>
              <w:t>ratio (C/A-ratio)</w:t>
            </w:r>
          </w:p>
        </w:tc>
        <w:tc>
          <w:tcPr>
            <w:tcW w:w="759" w:type="dxa"/>
            <w:tcBorders>
              <w:top w:val="nil"/>
              <w:left w:val="nil"/>
              <w:bottom w:val="nil"/>
              <w:right w:val="nil"/>
            </w:tcBorders>
            <w:shd w:val="clear" w:color="auto" w:fill="auto"/>
            <w:noWrap/>
            <w:vAlign w:val="bottom"/>
            <w:hideMark/>
          </w:tcPr>
          <w:p w14:paraId="27ADCE5E" w14:textId="77777777" w:rsidR="000C50F0" w:rsidRPr="00A76A8C" w:rsidRDefault="000C50F0" w:rsidP="00F43DFC">
            <w:pPr>
              <w:jc w:val="center"/>
              <w:rPr>
                <w:rFonts w:eastAsia="Times New Roman"/>
                <w:sz w:val="22"/>
                <w:szCs w:val="22"/>
              </w:rPr>
            </w:pPr>
            <w:r w:rsidRPr="00A76A8C">
              <w:rPr>
                <w:rFonts w:eastAsia="Times New Roman"/>
                <w:sz w:val="22"/>
                <w:szCs w:val="22"/>
              </w:rPr>
              <w:t>10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51D2B50E" w14:textId="77777777" w:rsidR="000C50F0" w:rsidRPr="00A76A8C" w:rsidRDefault="000C50F0" w:rsidP="00F43DFC">
            <w:pPr>
              <w:jc w:val="center"/>
              <w:rPr>
                <w:rFonts w:eastAsia="Times New Roman"/>
                <w:sz w:val="22"/>
                <w:szCs w:val="22"/>
              </w:rPr>
            </w:pPr>
            <w:r w:rsidRPr="00A76A8C">
              <w:rPr>
                <w:rFonts w:eastAsia="Times New Roman"/>
                <w:sz w:val="22"/>
                <w:szCs w:val="22"/>
              </w:rPr>
              <w:t>2</w:t>
            </w:r>
          </w:p>
        </w:tc>
        <w:tc>
          <w:tcPr>
            <w:tcW w:w="821" w:type="dxa"/>
            <w:tcBorders>
              <w:top w:val="nil"/>
              <w:left w:val="nil"/>
              <w:bottom w:val="nil"/>
              <w:right w:val="nil"/>
            </w:tcBorders>
            <w:shd w:val="clear" w:color="auto" w:fill="auto"/>
            <w:noWrap/>
            <w:vAlign w:val="bottom"/>
            <w:hideMark/>
          </w:tcPr>
          <w:p w14:paraId="1B78A9D0"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7F174E3A"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w:t>
            </w:r>
          </w:p>
        </w:tc>
        <w:tc>
          <w:tcPr>
            <w:tcW w:w="889" w:type="dxa"/>
            <w:tcBorders>
              <w:top w:val="nil"/>
              <w:left w:val="nil"/>
              <w:bottom w:val="nil"/>
              <w:right w:val="nil"/>
            </w:tcBorders>
            <w:shd w:val="clear" w:color="auto" w:fill="auto"/>
            <w:noWrap/>
            <w:vAlign w:val="bottom"/>
            <w:hideMark/>
          </w:tcPr>
          <w:p w14:paraId="3C20F3B8"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57329C01"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w:t>
            </w:r>
          </w:p>
        </w:tc>
        <w:tc>
          <w:tcPr>
            <w:tcW w:w="882" w:type="dxa"/>
            <w:tcBorders>
              <w:top w:val="nil"/>
              <w:left w:val="nil"/>
              <w:bottom w:val="nil"/>
              <w:right w:val="nil"/>
            </w:tcBorders>
            <w:shd w:val="clear" w:color="auto" w:fill="auto"/>
            <w:noWrap/>
            <w:vAlign w:val="bottom"/>
            <w:hideMark/>
          </w:tcPr>
          <w:p w14:paraId="4B97BB1D"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w:t>
            </w:r>
          </w:p>
        </w:tc>
        <w:tc>
          <w:tcPr>
            <w:tcW w:w="826" w:type="dxa"/>
            <w:tcBorders>
              <w:top w:val="nil"/>
              <w:left w:val="nil"/>
              <w:bottom w:val="nil"/>
              <w:right w:val="nil"/>
            </w:tcBorders>
            <w:shd w:val="clear" w:color="auto" w:fill="D9D9D9" w:themeFill="background1" w:themeFillShade="D9"/>
            <w:noWrap/>
            <w:vAlign w:val="bottom"/>
            <w:hideMark/>
          </w:tcPr>
          <w:p w14:paraId="16F21ED4"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w:t>
            </w:r>
          </w:p>
        </w:tc>
      </w:tr>
      <w:tr w:rsidR="000C50F0" w:rsidRPr="008515AF" w14:paraId="46307970"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3DDA90F7" w14:textId="77777777" w:rsidR="000C50F0" w:rsidRPr="00A76A8C" w:rsidRDefault="000C50F0" w:rsidP="00E11657">
            <w:pPr>
              <w:rPr>
                <w:rFonts w:eastAsia="Times New Roman"/>
                <w:color w:val="000000"/>
                <w:sz w:val="22"/>
                <w:szCs w:val="22"/>
              </w:rPr>
            </w:pPr>
            <w:r w:rsidRPr="00A76A8C">
              <w:rPr>
                <w:rFonts w:eastAsia="Times New Roman"/>
                <w:color w:val="000000"/>
                <w:sz w:val="22"/>
                <w:szCs w:val="22"/>
              </w:rPr>
              <w:t>Invited subj</w:t>
            </w:r>
            <w:r>
              <w:rPr>
                <w:rFonts w:eastAsia="Times New Roman"/>
                <w:color w:val="000000"/>
                <w:sz w:val="22"/>
                <w:szCs w:val="22"/>
              </w:rPr>
              <w:t>ects</w:t>
            </w:r>
            <w:r w:rsidRPr="00A76A8C">
              <w:rPr>
                <w:rFonts w:eastAsia="Times New Roman"/>
                <w:color w:val="000000"/>
                <w:sz w:val="22"/>
                <w:szCs w:val="22"/>
              </w:rPr>
              <w:t xml:space="preserve"> (3n+3)</w:t>
            </w:r>
          </w:p>
        </w:tc>
        <w:tc>
          <w:tcPr>
            <w:tcW w:w="759" w:type="dxa"/>
            <w:tcBorders>
              <w:top w:val="nil"/>
              <w:left w:val="nil"/>
              <w:bottom w:val="nil"/>
              <w:right w:val="nil"/>
            </w:tcBorders>
            <w:shd w:val="clear" w:color="auto" w:fill="auto"/>
            <w:noWrap/>
            <w:vAlign w:val="bottom"/>
            <w:hideMark/>
          </w:tcPr>
          <w:p w14:paraId="04F83B96" w14:textId="77777777" w:rsidR="000C50F0" w:rsidRPr="00A76A8C" w:rsidRDefault="000C50F0" w:rsidP="00F43DFC">
            <w:pPr>
              <w:jc w:val="center"/>
              <w:rPr>
                <w:rFonts w:eastAsia="Times New Roman"/>
                <w:sz w:val="22"/>
                <w:szCs w:val="22"/>
              </w:rPr>
            </w:pPr>
            <w:r w:rsidRPr="00A76A8C">
              <w:rPr>
                <w:rFonts w:eastAsia="Times New Roman"/>
                <w:sz w:val="22"/>
                <w:szCs w:val="22"/>
              </w:rPr>
              <w:t>15</w:t>
            </w:r>
            <w:r w:rsidRPr="007B0F81">
              <w:rPr>
                <w:rFonts w:eastAsia="Times New Roman"/>
                <w:sz w:val="22"/>
                <w:szCs w:val="22"/>
                <w:vertAlign w:val="superscript"/>
              </w:rPr>
              <w:t>a</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42129387" w14:textId="77777777" w:rsidR="000C50F0" w:rsidRPr="00A76A8C" w:rsidRDefault="000C50F0" w:rsidP="00F43DFC">
            <w:pPr>
              <w:jc w:val="center"/>
              <w:rPr>
                <w:rFonts w:eastAsia="Times New Roman"/>
                <w:sz w:val="22"/>
                <w:szCs w:val="22"/>
              </w:rPr>
            </w:pPr>
            <w:r w:rsidRPr="00A76A8C">
              <w:rPr>
                <w:rFonts w:eastAsia="Times New Roman"/>
                <w:sz w:val="22"/>
                <w:szCs w:val="22"/>
              </w:rPr>
              <w:t>15</w:t>
            </w:r>
            <w:r w:rsidRPr="007B0F81">
              <w:rPr>
                <w:rFonts w:eastAsia="Times New Roman"/>
                <w:sz w:val="22"/>
                <w:szCs w:val="22"/>
                <w:vertAlign w:val="superscript"/>
              </w:rPr>
              <w:t>a</w:t>
            </w:r>
          </w:p>
        </w:tc>
        <w:tc>
          <w:tcPr>
            <w:tcW w:w="821" w:type="dxa"/>
            <w:tcBorders>
              <w:top w:val="nil"/>
              <w:left w:val="nil"/>
              <w:bottom w:val="nil"/>
              <w:right w:val="nil"/>
            </w:tcBorders>
            <w:shd w:val="clear" w:color="auto" w:fill="auto"/>
            <w:noWrap/>
            <w:vAlign w:val="bottom"/>
            <w:hideMark/>
          </w:tcPr>
          <w:p w14:paraId="5DB2780F" w14:textId="77777777" w:rsidR="000C50F0" w:rsidRPr="00A76A8C" w:rsidRDefault="000C50F0" w:rsidP="00F43DFC">
            <w:pPr>
              <w:jc w:val="center"/>
              <w:rPr>
                <w:rFonts w:eastAsia="Times New Roman"/>
                <w:sz w:val="22"/>
                <w:szCs w:val="22"/>
              </w:rPr>
            </w:pPr>
            <w:r w:rsidRPr="00A76A8C">
              <w:rPr>
                <w:rFonts w:eastAsia="Times New Roman"/>
                <w:sz w:val="22"/>
                <w:szCs w:val="22"/>
              </w:rPr>
              <w:t>18</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22B4C55F" w14:textId="77777777" w:rsidR="000C50F0" w:rsidRPr="00A76A8C" w:rsidRDefault="000C50F0" w:rsidP="00F43DFC">
            <w:pPr>
              <w:jc w:val="center"/>
              <w:rPr>
                <w:rFonts w:eastAsia="Times New Roman"/>
                <w:sz w:val="22"/>
                <w:szCs w:val="22"/>
              </w:rPr>
            </w:pPr>
            <w:r w:rsidRPr="00A76A8C">
              <w:rPr>
                <w:rFonts w:eastAsia="Times New Roman"/>
                <w:sz w:val="22"/>
                <w:szCs w:val="22"/>
              </w:rPr>
              <w:t>18</w:t>
            </w:r>
          </w:p>
        </w:tc>
        <w:tc>
          <w:tcPr>
            <w:tcW w:w="889" w:type="dxa"/>
            <w:tcBorders>
              <w:top w:val="nil"/>
              <w:left w:val="nil"/>
              <w:bottom w:val="nil"/>
              <w:right w:val="nil"/>
            </w:tcBorders>
            <w:shd w:val="clear" w:color="auto" w:fill="auto"/>
            <w:noWrap/>
            <w:vAlign w:val="bottom"/>
            <w:hideMark/>
          </w:tcPr>
          <w:p w14:paraId="0C0492E6"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18</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26843CAD"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18</w:t>
            </w:r>
          </w:p>
        </w:tc>
        <w:tc>
          <w:tcPr>
            <w:tcW w:w="882" w:type="dxa"/>
            <w:tcBorders>
              <w:top w:val="nil"/>
              <w:left w:val="nil"/>
              <w:bottom w:val="nil"/>
              <w:right w:val="nil"/>
            </w:tcBorders>
            <w:shd w:val="clear" w:color="auto" w:fill="auto"/>
            <w:noWrap/>
            <w:vAlign w:val="bottom"/>
            <w:hideMark/>
          </w:tcPr>
          <w:p w14:paraId="3A187863"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18</w:t>
            </w:r>
          </w:p>
        </w:tc>
        <w:tc>
          <w:tcPr>
            <w:tcW w:w="826" w:type="dxa"/>
            <w:tcBorders>
              <w:top w:val="nil"/>
              <w:left w:val="nil"/>
              <w:bottom w:val="nil"/>
              <w:right w:val="nil"/>
            </w:tcBorders>
            <w:shd w:val="clear" w:color="auto" w:fill="D9D9D9" w:themeFill="background1" w:themeFillShade="D9"/>
            <w:noWrap/>
            <w:vAlign w:val="bottom"/>
            <w:hideMark/>
          </w:tcPr>
          <w:p w14:paraId="57CF4900"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18</w:t>
            </w:r>
          </w:p>
        </w:tc>
      </w:tr>
      <w:tr w:rsidR="000C50F0" w:rsidRPr="008515AF" w14:paraId="6D6272F0"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4CAFA1DE" w14:textId="77777777" w:rsidR="000C50F0" w:rsidRPr="00A76A8C" w:rsidRDefault="000C50F0" w:rsidP="00E11657">
            <w:pPr>
              <w:rPr>
                <w:rFonts w:eastAsia="Times New Roman"/>
                <w:color w:val="000000"/>
                <w:sz w:val="22"/>
                <w:szCs w:val="22"/>
              </w:rPr>
            </w:pPr>
            <w:r w:rsidRPr="00A76A8C">
              <w:rPr>
                <w:rFonts w:eastAsia="Times New Roman"/>
                <w:color w:val="000000"/>
                <w:sz w:val="22"/>
                <w:szCs w:val="22"/>
              </w:rPr>
              <w:t>Participating subjects</w:t>
            </w:r>
          </w:p>
        </w:tc>
        <w:tc>
          <w:tcPr>
            <w:tcW w:w="759" w:type="dxa"/>
            <w:tcBorders>
              <w:top w:val="nil"/>
              <w:left w:val="nil"/>
              <w:bottom w:val="nil"/>
              <w:right w:val="nil"/>
            </w:tcBorders>
            <w:shd w:val="clear" w:color="auto" w:fill="auto"/>
            <w:noWrap/>
            <w:vAlign w:val="bottom"/>
            <w:hideMark/>
          </w:tcPr>
          <w:p w14:paraId="08E195DF" w14:textId="77777777" w:rsidR="000C50F0" w:rsidRPr="00A76A8C" w:rsidRDefault="000C50F0" w:rsidP="00F43DFC">
            <w:pPr>
              <w:jc w:val="center"/>
              <w:rPr>
                <w:rFonts w:eastAsia="Times New Roman"/>
                <w:sz w:val="22"/>
                <w:szCs w:val="22"/>
              </w:rPr>
            </w:pPr>
            <w:r w:rsidRPr="00A76A8C">
              <w:rPr>
                <w:rFonts w:eastAsia="Times New Roman"/>
                <w:sz w:val="22"/>
                <w:szCs w:val="22"/>
              </w:rPr>
              <w:t>90</w:t>
            </w:r>
          </w:p>
        </w:tc>
        <w:tc>
          <w:tcPr>
            <w:tcW w:w="821" w:type="dxa"/>
            <w:tcBorders>
              <w:top w:val="nil"/>
              <w:left w:val="nil"/>
              <w:bottom w:val="nil"/>
              <w:right w:val="nil"/>
            </w:tcBorders>
            <w:shd w:val="clear" w:color="auto" w:fill="D9D9D9" w:themeFill="background1" w:themeFillShade="D9"/>
            <w:noWrap/>
            <w:vAlign w:val="bottom"/>
            <w:hideMark/>
          </w:tcPr>
          <w:p w14:paraId="513F45C8" w14:textId="77777777" w:rsidR="000C50F0" w:rsidRPr="00A76A8C" w:rsidRDefault="000C50F0" w:rsidP="00F43DFC">
            <w:pPr>
              <w:jc w:val="center"/>
              <w:rPr>
                <w:rFonts w:eastAsia="Times New Roman"/>
                <w:sz w:val="22"/>
                <w:szCs w:val="22"/>
              </w:rPr>
            </w:pPr>
            <w:r w:rsidRPr="00A76A8C">
              <w:rPr>
                <w:rFonts w:eastAsia="Times New Roman"/>
                <w:sz w:val="22"/>
                <w:szCs w:val="22"/>
              </w:rPr>
              <w:t>90</w:t>
            </w:r>
          </w:p>
        </w:tc>
        <w:tc>
          <w:tcPr>
            <w:tcW w:w="821" w:type="dxa"/>
            <w:tcBorders>
              <w:top w:val="nil"/>
              <w:left w:val="single" w:sz="4" w:space="0" w:color="auto"/>
              <w:bottom w:val="nil"/>
              <w:right w:val="nil"/>
            </w:tcBorders>
            <w:shd w:val="clear" w:color="auto" w:fill="auto"/>
            <w:noWrap/>
            <w:vAlign w:val="bottom"/>
            <w:hideMark/>
          </w:tcPr>
          <w:p w14:paraId="0364E539" w14:textId="77777777" w:rsidR="000C50F0" w:rsidRPr="00A76A8C" w:rsidRDefault="000C50F0" w:rsidP="00F43DFC">
            <w:pPr>
              <w:jc w:val="center"/>
              <w:rPr>
                <w:rFonts w:eastAsia="Times New Roman"/>
                <w:sz w:val="22"/>
                <w:szCs w:val="22"/>
              </w:rPr>
            </w:pPr>
            <w:r w:rsidRPr="00A76A8C">
              <w:rPr>
                <w:rFonts w:eastAsia="Times New Roman"/>
                <w:sz w:val="22"/>
                <w:szCs w:val="22"/>
              </w:rPr>
              <w:t>108</w:t>
            </w:r>
          </w:p>
        </w:tc>
        <w:tc>
          <w:tcPr>
            <w:tcW w:w="821" w:type="dxa"/>
            <w:tcBorders>
              <w:top w:val="nil"/>
              <w:left w:val="nil"/>
              <w:bottom w:val="nil"/>
              <w:right w:val="nil"/>
            </w:tcBorders>
            <w:shd w:val="clear" w:color="auto" w:fill="D9D9D9" w:themeFill="background1" w:themeFillShade="D9"/>
            <w:noWrap/>
            <w:vAlign w:val="bottom"/>
            <w:hideMark/>
          </w:tcPr>
          <w:p w14:paraId="50BA6DD5" w14:textId="77777777" w:rsidR="000C50F0" w:rsidRPr="00A76A8C" w:rsidRDefault="000C50F0" w:rsidP="00F43DFC">
            <w:pPr>
              <w:jc w:val="center"/>
              <w:rPr>
                <w:rFonts w:eastAsia="Times New Roman"/>
                <w:sz w:val="22"/>
                <w:szCs w:val="22"/>
              </w:rPr>
            </w:pPr>
            <w:r w:rsidRPr="00A76A8C">
              <w:rPr>
                <w:rFonts w:eastAsia="Times New Roman"/>
                <w:sz w:val="22"/>
                <w:szCs w:val="22"/>
              </w:rPr>
              <w:t>108</w:t>
            </w:r>
          </w:p>
        </w:tc>
        <w:tc>
          <w:tcPr>
            <w:tcW w:w="889" w:type="dxa"/>
            <w:tcBorders>
              <w:top w:val="nil"/>
              <w:left w:val="single" w:sz="4" w:space="0" w:color="auto"/>
              <w:bottom w:val="nil"/>
              <w:right w:val="nil"/>
            </w:tcBorders>
            <w:shd w:val="clear" w:color="auto" w:fill="auto"/>
            <w:noWrap/>
            <w:vAlign w:val="bottom"/>
            <w:hideMark/>
          </w:tcPr>
          <w:p w14:paraId="1B147214" w14:textId="77777777" w:rsidR="000C50F0" w:rsidRPr="00A76A8C" w:rsidRDefault="000C50F0" w:rsidP="00F43DFC">
            <w:pPr>
              <w:jc w:val="center"/>
              <w:rPr>
                <w:rFonts w:eastAsia="Times New Roman"/>
                <w:sz w:val="22"/>
                <w:szCs w:val="22"/>
              </w:rPr>
            </w:pPr>
            <w:r w:rsidRPr="00A76A8C">
              <w:rPr>
                <w:rFonts w:eastAsia="Times New Roman"/>
                <w:sz w:val="22"/>
                <w:szCs w:val="22"/>
              </w:rPr>
              <w:t>108</w:t>
            </w:r>
          </w:p>
        </w:tc>
        <w:tc>
          <w:tcPr>
            <w:tcW w:w="821" w:type="dxa"/>
            <w:tcBorders>
              <w:top w:val="nil"/>
              <w:left w:val="nil"/>
              <w:bottom w:val="nil"/>
              <w:right w:val="nil"/>
            </w:tcBorders>
            <w:shd w:val="clear" w:color="auto" w:fill="D9D9D9" w:themeFill="background1" w:themeFillShade="D9"/>
            <w:noWrap/>
            <w:vAlign w:val="bottom"/>
            <w:hideMark/>
          </w:tcPr>
          <w:p w14:paraId="7A6919BE" w14:textId="77777777" w:rsidR="000C50F0" w:rsidRPr="00A76A8C" w:rsidRDefault="000C50F0" w:rsidP="00F43DFC">
            <w:pPr>
              <w:jc w:val="center"/>
              <w:rPr>
                <w:rFonts w:eastAsia="Times New Roman"/>
                <w:sz w:val="22"/>
                <w:szCs w:val="22"/>
              </w:rPr>
            </w:pPr>
            <w:r w:rsidRPr="00A76A8C">
              <w:rPr>
                <w:rFonts w:eastAsia="Times New Roman"/>
                <w:sz w:val="22"/>
                <w:szCs w:val="22"/>
              </w:rPr>
              <w:t>108</w:t>
            </w:r>
          </w:p>
        </w:tc>
        <w:tc>
          <w:tcPr>
            <w:tcW w:w="882" w:type="dxa"/>
            <w:tcBorders>
              <w:top w:val="nil"/>
              <w:left w:val="single" w:sz="4" w:space="0" w:color="auto"/>
              <w:bottom w:val="nil"/>
              <w:right w:val="nil"/>
            </w:tcBorders>
            <w:shd w:val="clear" w:color="auto" w:fill="auto"/>
            <w:noWrap/>
            <w:vAlign w:val="bottom"/>
            <w:hideMark/>
          </w:tcPr>
          <w:p w14:paraId="2D0D7BDF" w14:textId="77777777" w:rsidR="000C50F0" w:rsidRPr="00A76A8C" w:rsidRDefault="000C50F0" w:rsidP="00F43DFC">
            <w:pPr>
              <w:jc w:val="center"/>
              <w:rPr>
                <w:rFonts w:eastAsia="Times New Roman"/>
                <w:sz w:val="22"/>
                <w:szCs w:val="22"/>
              </w:rPr>
            </w:pPr>
            <w:r w:rsidRPr="00A76A8C">
              <w:rPr>
                <w:rFonts w:eastAsia="Times New Roman"/>
                <w:sz w:val="22"/>
                <w:szCs w:val="22"/>
              </w:rPr>
              <w:t>108</w:t>
            </w:r>
          </w:p>
        </w:tc>
        <w:tc>
          <w:tcPr>
            <w:tcW w:w="826" w:type="dxa"/>
            <w:tcBorders>
              <w:top w:val="nil"/>
              <w:left w:val="nil"/>
              <w:bottom w:val="nil"/>
              <w:right w:val="nil"/>
            </w:tcBorders>
            <w:shd w:val="clear" w:color="auto" w:fill="D9D9D9" w:themeFill="background1" w:themeFillShade="D9"/>
            <w:noWrap/>
            <w:vAlign w:val="bottom"/>
            <w:hideMark/>
          </w:tcPr>
          <w:p w14:paraId="7955D893" w14:textId="77777777" w:rsidR="000C50F0" w:rsidRPr="00A76A8C" w:rsidRDefault="000C50F0" w:rsidP="00F43DFC">
            <w:pPr>
              <w:jc w:val="center"/>
              <w:rPr>
                <w:rFonts w:eastAsia="Times New Roman"/>
                <w:sz w:val="22"/>
                <w:szCs w:val="22"/>
              </w:rPr>
            </w:pPr>
            <w:r w:rsidRPr="00A76A8C">
              <w:rPr>
                <w:rFonts w:eastAsia="Times New Roman"/>
                <w:sz w:val="22"/>
                <w:szCs w:val="22"/>
              </w:rPr>
              <w:t>108</w:t>
            </w:r>
          </w:p>
        </w:tc>
      </w:tr>
      <w:tr w:rsidR="000C50F0" w:rsidRPr="008515AF" w14:paraId="1B11036B"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74E064FC" w14:textId="77777777" w:rsidR="000C50F0" w:rsidRPr="00A76A8C" w:rsidRDefault="000C50F0" w:rsidP="00E11657">
            <w:pPr>
              <w:rPr>
                <w:rFonts w:eastAsia="Times New Roman"/>
                <w:color w:val="000000"/>
                <w:sz w:val="22"/>
                <w:szCs w:val="22"/>
              </w:rPr>
            </w:pPr>
            <w:r w:rsidRPr="00A76A8C">
              <w:rPr>
                <w:rFonts w:eastAsia="Times New Roman"/>
                <w:color w:val="000000"/>
                <w:sz w:val="22"/>
                <w:szCs w:val="22"/>
              </w:rPr>
              <w:t> </w:t>
            </w:r>
          </w:p>
        </w:tc>
        <w:tc>
          <w:tcPr>
            <w:tcW w:w="759" w:type="dxa"/>
            <w:tcBorders>
              <w:top w:val="nil"/>
              <w:left w:val="nil"/>
              <w:bottom w:val="nil"/>
              <w:right w:val="nil"/>
            </w:tcBorders>
            <w:shd w:val="clear" w:color="auto" w:fill="auto"/>
            <w:noWrap/>
            <w:vAlign w:val="bottom"/>
            <w:hideMark/>
          </w:tcPr>
          <w:p w14:paraId="5F8F04DE" w14:textId="77777777" w:rsidR="000C50F0" w:rsidRPr="00A76A8C" w:rsidRDefault="000C50F0" w:rsidP="00F43DFC">
            <w:pPr>
              <w:rPr>
                <w:rFonts w:eastAsia="Times New Roman"/>
                <w:color w:val="000000"/>
                <w:sz w:val="22"/>
                <w:szCs w:val="22"/>
              </w:rPr>
            </w:pPr>
            <w:r w:rsidRPr="00A76A8C">
              <w:rPr>
                <w:rFonts w:eastAsia="Times New Roman"/>
                <w:color w:val="000000"/>
                <w:sz w:val="22"/>
                <w:szCs w:val="22"/>
              </w:rPr>
              <w:t> </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0CBA9317" w14:textId="77777777" w:rsidR="000C50F0" w:rsidRPr="00A76A8C" w:rsidRDefault="000C50F0" w:rsidP="00F43DFC">
            <w:pP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6CA9960C" w14:textId="77777777" w:rsidR="000C50F0" w:rsidRPr="00A76A8C" w:rsidRDefault="000C50F0" w:rsidP="00F43DFC">
            <w:pPr>
              <w:rPr>
                <w:rFonts w:eastAsia="Times New Roman"/>
                <w:color w:val="000000"/>
                <w:sz w:val="22"/>
                <w:szCs w:val="22"/>
              </w:rPr>
            </w:pPr>
            <w:r w:rsidRPr="00A76A8C">
              <w:rPr>
                <w:rFonts w:eastAsia="Times New Roman"/>
                <w:color w:val="000000"/>
                <w:sz w:val="22"/>
                <w:szCs w:val="22"/>
              </w:rPr>
              <w:t> </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40EE2925" w14:textId="77777777" w:rsidR="000C50F0" w:rsidRPr="00A76A8C" w:rsidRDefault="000C50F0" w:rsidP="00F43DFC">
            <w:pPr>
              <w:rPr>
                <w:rFonts w:eastAsia="Times New Roman"/>
                <w:color w:val="000000"/>
                <w:sz w:val="22"/>
                <w:szCs w:val="22"/>
              </w:rPr>
            </w:pPr>
          </w:p>
        </w:tc>
        <w:tc>
          <w:tcPr>
            <w:tcW w:w="889" w:type="dxa"/>
            <w:tcBorders>
              <w:top w:val="nil"/>
              <w:left w:val="nil"/>
              <w:bottom w:val="nil"/>
              <w:right w:val="nil"/>
            </w:tcBorders>
            <w:shd w:val="clear" w:color="auto" w:fill="auto"/>
            <w:noWrap/>
            <w:vAlign w:val="bottom"/>
            <w:hideMark/>
          </w:tcPr>
          <w:p w14:paraId="0BAD41BE" w14:textId="77777777" w:rsidR="000C50F0" w:rsidRPr="00A76A8C" w:rsidRDefault="000C50F0" w:rsidP="00F43DFC">
            <w:pPr>
              <w:rPr>
                <w:rFonts w:eastAsia="Times New Roman"/>
                <w:color w:val="000000"/>
                <w:sz w:val="22"/>
                <w:szCs w:val="22"/>
              </w:rPr>
            </w:pPr>
            <w:r w:rsidRPr="00A76A8C">
              <w:rPr>
                <w:rFonts w:eastAsia="Times New Roman"/>
                <w:color w:val="000000"/>
                <w:sz w:val="22"/>
                <w:szCs w:val="22"/>
              </w:rPr>
              <w:t> </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10BFCC93" w14:textId="77777777" w:rsidR="000C50F0" w:rsidRPr="00A76A8C" w:rsidRDefault="000C50F0" w:rsidP="00F43DFC">
            <w:pPr>
              <w:rPr>
                <w:rFonts w:eastAsia="Times New Roman"/>
                <w:color w:val="000000"/>
                <w:sz w:val="22"/>
                <w:szCs w:val="22"/>
              </w:rPr>
            </w:pPr>
          </w:p>
        </w:tc>
        <w:tc>
          <w:tcPr>
            <w:tcW w:w="882" w:type="dxa"/>
            <w:tcBorders>
              <w:top w:val="nil"/>
              <w:left w:val="nil"/>
              <w:bottom w:val="nil"/>
              <w:right w:val="nil"/>
            </w:tcBorders>
            <w:shd w:val="clear" w:color="auto" w:fill="auto"/>
            <w:noWrap/>
            <w:vAlign w:val="bottom"/>
            <w:hideMark/>
          </w:tcPr>
          <w:p w14:paraId="2917DFDF" w14:textId="77777777" w:rsidR="000C50F0" w:rsidRPr="00A76A8C" w:rsidRDefault="000C50F0" w:rsidP="00F43DFC">
            <w:pPr>
              <w:rPr>
                <w:rFonts w:eastAsia="Times New Roman"/>
                <w:color w:val="000000"/>
                <w:sz w:val="22"/>
                <w:szCs w:val="22"/>
              </w:rPr>
            </w:pPr>
          </w:p>
        </w:tc>
        <w:tc>
          <w:tcPr>
            <w:tcW w:w="826" w:type="dxa"/>
            <w:tcBorders>
              <w:top w:val="nil"/>
              <w:left w:val="nil"/>
              <w:bottom w:val="nil"/>
              <w:right w:val="nil"/>
            </w:tcBorders>
            <w:shd w:val="clear" w:color="auto" w:fill="D9D9D9" w:themeFill="background1" w:themeFillShade="D9"/>
            <w:noWrap/>
            <w:vAlign w:val="bottom"/>
            <w:hideMark/>
          </w:tcPr>
          <w:p w14:paraId="13F437E5" w14:textId="77777777" w:rsidR="000C50F0" w:rsidRPr="00A76A8C" w:rsidRDefault="000C50F0" w:rsidP="00F43DFC">
            <w:pPr>
              <w:rPr>
                <w:rFonts w:eastAsia="Times New Roman"/>
                <w:color w:val="000000"/>
                <w:sz w:val="22"/>
                <w:szCs w:val="22"/>
              </w:rPr>
            </w:pPr>
          </w:p>
        </w:tc>
      </w:tr>
      <w:tr w:rsidR="000C50F0" w:rsidRPr="008515AF" w14:paraId="16EA8848"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76BCCE53" w14:textId="5C9E8A1D" w:rsidR="000C50F0" w:rsidRPr="00A76A8C" w:rsidRDefault="000C50F0" w:rsidP="00E11657">
            <w:pPr>
              <w:rPr>
                <w:rFonts w:eastAsia="Times New Roman"/>
                <w:b/>
                <w:bCs/>
                <w:color w:val="000000"/>
                <w:sz w:val="22"/>
                <w:szCs w:val="22"/>
              </w:rPr>
            </w:pPr>
            <w:r w:rsidRPr="00A76A8C">
              <w:rPr>
                <w:rFonts w:eastAsia="Times New Roman"/>
                <w:b/>
                <w:bCs/>
                <w:color w:val="000000"/>
                <w:sz w:val="22"/>
                <w:szCs w:val="22"/>
              </w:rPr>
              <w:t>Exchange rates</w:t>
            </w:r>
            <w:r w:rsidR="007A6BB6">
              <w:rPr>
                <w:rFonts w:eastAsia="Times New Roman"/>
                <w:b/>
                <w:bCs/>
                <w:color w:val="000000"/>
                <w:sz w:val="22"/>
                <w:szCs w:val="22"/>
              </w:rPr>
              <w:t xml:space="preserve"> (</w:t>
            </w:r>
            <w:proofErr w:type="spellStart"/>
            <w:r w:rsidR="007A6BB6">
              <w:rPr>
                <w:rFonts w:eastAsia="Times New Roman"/>
                <w:b/>
                <w:bCs/>
                <w:color w:val="000000"/>
                <w:sz w:val="22"/>
                <w:szCs w:val="22"/>
              </w:rPr>
              <w:t>t</w:t>
            </w:r>
            <w:r>
              <w:rPr>
                <w:rFonts w:eastAsia="Times New Roman"/>
                <w:b/>
                <w:bCs/>
                <w:color w:val="000000"/>
                <w:sz w:val="22"/>
                <w:szCs w:val="22"/>
              </w:rPr>
              <w:t>aler</w:t>
            </w:r>
            <w:proofErr w:type="spellEnd"/>
            <w:r>
              <w:rPr>
                <w:rFonts w:eastAsia="Times New Roman"/>
                <w:b/>
                <w:bCs/>
                <w:color w:val="000000"/>
                <w:sz w:val="22"/>
                <w:szCs w:val="22"/>
              </w:rPr>
              <w:t>/€)</w:t>
            </w:r>
          </w:p>
        </w:tc>
        <w:tc>
          <w:tcPr>
            <w:tcW w:w="759" w:type="dxa"/>
            <w:tcBorders>
              <w:top w:val="nil"/>
              <w:left w:val="nil"/>
              <w:bottom w:val="nil"/>
              <w:right w:val="nil"/>
            </w:tcBorders>
            <w:shd w:val="clear" w:color="auto" w:fill="auto"/>
            <w:noWrap/>
            <w:vAlign w:val="bottom"/>
            <w:hideMark/>
          </w:tcPr>
          <w:p w14:paraId="444437AB"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 </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08187C28" w14:textId="77777777" w:rsidR="000C50F0" w:rsidRPr="00A76A8C" w:rsidRDefault="000C50F0" w:rsidP="00F43DFC">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2E5FC6A0"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 </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2B53B587" w14:textId="77777777" w:rsidR="000C50F0" w:rsidRPr="00A76A8C" w:rsidRDefault="000C50F0" w:rsidP="00F43DFC">
            <w:pPr>
              <w:jc w:val="center"/>
              <w:rPr>
                <w:rFonts w:eastAsia="Times New Roman"/>
                <w:color w:val="000000"/>
                <w:sz w:val="22"/>
                <w:szCs w:val="22"/>
              </w:rPr>
            </w:pPr>
          </w:p>
        </w:tc>
        <w:tc>
          <w:tcPr>
            <w:tcW w:w="889" w:type="dxa"/>
            <w:tcBorders>
              <w:top w:val="nil"/>
              <w:left w:val="nil"/>
              <w:bottom w:val="nil"/>
              <w:right w:val="nil"/>
            </w:tcBorders>
            <w:shd w:val="clear" w:color="auto" w:fill="auto"/>
            <w:noWrap/>
            <w:vAlign w:val="bottom"/>
            <w:hideMark/>
          </w:tcPr>
          <w:p w14:paraId="4567C7DF"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 </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396B88F5" w14:textId="77777777" w:rsidR="000C50F0" w:rsidRPr="00A76A8C" w:rsidRDefault="000C50F0" w:rsidP="00F43DFC">
            <w:pPr>
              <w:jc w:val="center"/>
              <w:rPr>
                <w:rFonts w:eastAsia="Times New Roman"/>
                <w:color w:val="000000"/>
                <w:sz w:val="22"/>
                <w:szCs w:val="22"/>
              </w:rPr>
            </w:pPr>
          </w:p>
        </w:tc>
        <w:tc>
          <w:tcPr>
            <w:tcW w:w="882" w:type="dxa"/>
            <w:tcBorders>
              <w:top w:val="nil"/>
              <w:left w:val="nil"/>
              <w:bottom w:val="nil"/>
              <w:right w:val="nil"/>
            </w:tcBorders>
            <w:shd w:val="clear" w:color="auto" w:fill="auto"/>
            <w:noWrap/>
            <w:vAlign w:val="bottom"/>
            <w:hideMark/>
          </w:tcPr>
          <w:p w14:paraId="6D71FBC3" w14:textId="77777777" w:rsidR="000C50F0" w:rsidRPr="00A76A8C" w:rsidRDefault="000C50F0" w:rsidP="00F43DFC">
            <w:pPr>
              <w:jc w:val="center"/>
              <w:rPr>
                <w:rFonts w:eastAsia="Times New Roman"/>
                <w:color w:val="000000"/>
                <w:sz w:val="22"/>
                <w:szCs w:val="22"/>
              </w:rPr>
            </w:pPr>
          </w:p>
        </w:tc>
        <w:tc>
          <w:tcPr>
            <w:tcW w:w="826" w:type="dxa"/>
            <w:tcBorders>
              <w:top w:val="nil"/>
              <w:left w:val="nil"/>
              <w:bottom w:val="nil"/>
              <w:right w:val="nil"/>
            </w:tcBorders>
            <w:shd w:val="clear" w:color="auto" w:fill="D9D9D9" w:themeFill="background1" w:themeFillShade="D9"/>
            <w:noWrap/>
            <w:vAlign w:val="bottom"/>
            <w:hideMark/>
          </w:tcPr>
          <w:p w14:paraId="48D46319" w14:textId="77777777" w:rsidR="000C50F0" w:rsidRPr="00A76A8C" w:rsidRDefault="000C50F0" w:rsidP="00F43DFC">
            <w:pPr>
              <w:jc w:val="center"/>
              <w:rPr>
                <w:rFonts w:eastAsia="Times New Roman"/>
                <w:color w:val="000000"/>
                <w:sz w:val="22"/>
                <w:szCs w:val="22"/>
              </w:rPr>
            </w:pPr>
          </w:p>
        </w:tc>
      </w:tr>
      <w:tr w:rsidR="000C50F0" w:rsidRPr="008515AF" w14:paraId="7322BFE0"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3E7AEF99" w14:textId="77777777" w:rsidR="000C50F0" w:rsidRPr="00A76A8C" w:rsidRDefault="000C50F0" w:rsidP="00E11657">
            <w:pPr>
              <w:rPr>
                <w:rFonts w:eastAsia="Times New Roman"/>
                <w:color w:val="000000"/>
                <w:sz w:val="22"/>
                <w:szCs w:val="22"/>
              </w:rPr>
            </w:pPr>
            <w:r w:rsidRPr="00A76A8C">
              <w:rPr>
                <w:rFonts w:eastAsia="Times New Roman"/>
                <w:color w:val="000000"/>
                <w:sz w:val="22"/>
                <w:szCs w:val="22"/>
              </w:rPr>
              <w:t xml:space="preserve">Generation </w:t>
            </w:r>
            <w:r>
              <w:rPr>
                <w:rFonts w:hint="eastAsia"/>
                <w:color w:val="000000"/>
                <w:sz w:val="22"/>
                <w:szCs w:val="22"/>
                <w:lang w:eastAsia="ja-JP"/>
              </w:rPr>
              <w:t>0</w:t>
            </w:r>
            <w:r w:rsidRPr="00A76A8C">
              <w:rPr>
                <w:rFonts w:eastAsia="Times New Roman"/>
                <w:color w:val="000000"/>
                <w:sz w:val="22"/>
                <w:szCs w:val="22"/>
              </w:rPr>
              <w:t xml:space="preserve"> (G</w:t>
            </w:r>
            <w:r>
              <w:rPr>
                <w:rFonts w:hint="eastAsia"/>
                <w:color w:val="000000"/>
                <w:sz w:val="22"/>
                <w:szCs w:val="22"/>
                <w:lang w:eastAsia="ja-JP"/>
              </w:rPr>
              <w:t>0</w:t>
            </w:r>
            <w:r w:rsidRPr="00A76A8C">
              <w:rPr>
                <w:rFonts w:eastAsia="Times New Roman"/>
                <w:color w:val="000000"/>
                <w:sz w:val="22"/>
                <w:szCs w:val="22"/>
              </w:rPr>
              <w:t>)</w:t>
            </w:r>
          </w:p>
        </w:tc>
        <w:tc>
          <w:tcPr>
            <w:tcW w:w="759" w:type="dxa"/>
            <w:tcBorders>
              <w:top w:val="nil"/>
              <w:left w:val="nil"/>
              <w:bottom w:val="nil"/>
              <w:right w:val="nil"/>
            </w:tcBorders>
            <w:shd w:val="clear" w:color="auto" w:fill="auto"/>
            <w:noWrap/>
            <w:vAlign w:val="bottom"/>
            <w:hideMark/>
          </w:tcPr>
          <w:p w14:paraId="0D469854"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684E7686"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c>
          <w:tcPr>
            <w:tcW w:w="821" w:type="dxa"/>
            <w:tcBorders>
              <w:top w:val="nil"/>
              <w:left w:val="nil"/>
              <w:bottom w:val="nil"/>
              <w:right w:val="nil"/>
            </w:tcBorders>
            <w:shd w:val="clear" w:color="auto" w:fill="auto"/>
            <w:noWrap/>
            <w:vAlign w:val="bottom"/>
            <w:hideMark/>
          </w:tcPr>
          <w:p w14:paraId="2525F2BC"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3BDDDA08"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c>
          <w:tcPr>
            <w:tcW w:w="889" w:type="dxa"/>
            <w:tcBorders>
              <w:top w:val="nil"/>
              <w:left w:val="nil"/>
              <w:bottom w:val="nil"/>
              <w:right w:val="nil"/>
            </w:tcBorders>
            <w:shd w:val="clear" w:color="auto" w:fill="auto"/>
            <w:noWrap/>
            <w:vAlign w:val="bottom"/>
            <w:hideMark/>
          </w:tcPr>
          <w:p w14:paraId="4902468A"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7758E99B"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c>
          <w:tcPr>
            <w:tcW w:w="882" w:type="dxa"/>
            <w:tcBorders>
              <w:top w:val="nil"/>
              <w:left w:val="nil"/>
              <w:bottom w:val="nil"/>
              <w:right w:val="nil"/>
            </w:tcBorders>
            <w:shd w:val="clear" w:color="auto" w:fill="auto"/>
            <w:noWrap/>
            <w:vAlign w:val="bottom"/>
            <w:hideMark/>
          </w:tcPr>
          <w:p w14:paraId="2906D878"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c>
          <w:tcPr>
            <w:tcW w:w="826" w:type="dxa"/>
            <w:tcBorders>
              <w:top w:val="nil"/>
              <w:left w:val="nil"/>
              <w:bottom w:val="nil"/>
              <w:right w:val="nil"/>
            </w:tcBorders>
            <w:shd w:val="clear" w:color="auto" w:fill="D9D9D9" w:themeFill="background1" w:themeFillShade="D9"/>
            <w:noWrap/>
            <w:vAlign w:val="bottom"/>
            <w:hideMark/>
          </w:tcPr>
          <w:p w14:paraId="06AB427F"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r>
      <w:tr w:rsidR="000C50F0" w:rsidRPr="008515AF" w14:paraId="09922074"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1727E7FE" w14:textId="77777777" w:rsidR="000C50F0" w:rsidRPr="00A76A8C" w:rsidRDefault="000C50F0" w:rsidP="00E11657">
            <w:pPr>
              <w:rPr>
                <w:rFonts w:eastAsia="Times New Roman"/>
                <w:color w:val="000000"/>
                <w:sz w:val="22"/>
                <w:szCs w:val="22"/>
              </w:rPr>
            </w:pPr>
            <w:r w:rsidRPr="00A76A8C">
              <w:rPr>
                <w:rFonts w:eastAsia="Times New Roman"/>
                <w:color w:val="000000"/>
                <w:sz w:val="22"/>
                <w:szCs w:val="22"/>
              </w:rPr>
              <w:t>Transition generations</w:t>
            </w:r>
          </w:p>
        </w:tc>
        <w:tc>
          <w:tcPr>
            <w:tcW w:w="759" w:type="dxa"/>
            <w:tcBorders>
              <w:top w:val="nil"/>
              <w:left w:val="nil"/>
              <w:bottom w:val="nil"/>
              <w:right w:val="nil"/>
            </w:tcBorders>
            <w:shd w:val="clear" w:color="auto" w:fill="auto"/>
            <w:noWrap/>
            <w:vAlign w:val="bottom"/>
            <w:hideMark/>
          </w:tcPr>
          <w:p w14:paraId="70FBB93D"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 </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03FE3B52" w14:textId="77777777" w:rsidR="000C50F0" w:rsidRPr="00A76A8C" w:rsidRDefault="000C50F0" w:rsidP="00F43DFC">
            <w:pPr>
              <w:jc w:val="center"/>
              <w:rPr>
                <w:rFonts w:eastAsia="Times New Roman"/>
                <w:color w:val="000000"/>
                <w:sz w:val="22"/>
                <w:szCs w:val="22"/>
              </w:rPr>
            </w:pPr>
          </w:p>
        </w:tc>
        <w:tc>
          <w:tcPr>
            <w:tcW w:w="821" w:type="dxa"/>
            <w:tcBorders>
              <w:top w:val="nil"/>
              <w:left w:val="nil"/>
              <w:bottom w:val="nil"/>
              <w:right w:val="nil"/>
            </w:tcBorders>
            <w:shd w:val="clear" w:color="auto" w:fill="auto"/>
            <w:noWrap/>
            <w:vAlign w:val="bottom"/>
            <w:hideMark/>
          </w:tcPr>
          <w:p w14:paraId="4B366A77"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019F417C"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c>
          <w:tcPr>
            <w:tcW w:w="889" w:type="dxa"/>
            <w:tcBorders>
              <w:top w:val="nil"/>
              <w:left w:val="nil"/>
              <w:bottom w:val="nil"/>
              <w:right w:val="nil"/>
            </w:tcBorders>
            <w:shd w:val="clear" w:color="auto" w:fill="auto"/>
            <w:noWrap/>
            <w:vAlign w:val="bottom"/>
            <w:hideMark/>
          </w:tcPr>
          <w:p w14:paraId="559FD4E3"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6FB6F40F"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c>
          <w:tcPr>
            <w:tcW w:w="882" w:type="dxa"/>
            <w:tcBorders>
              <w:top w:val="nil"/>
              <w:left w:val="nil"/>
              <w:bottom w:val="nil"/>
              <w:right w:val="nil"/>
            </w:tcBorders>
            <w:shd w:val="clear" w:color="auto" w:fill="auto"/>
            <w:noWrap/>
            <w:vAlign w:val="bottom"/>
            <w:hideMark/>
          </w:tcPr>
          <w:p w14:paraId="58BDE8D2"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500</w:t>
            </w:r>
          </w:p>
        </w:tc>
        <w:tc>
          <w:tcPr>
            <w:tcW w:w="826" w:type="dxa"/>
            <w:tcBorders>
              <w:top w:val="nil"/>
              <w:left w:val="nil"/>
              <w:bottom w:val="nil"/>
              <w:right w:val="nil"/>
            </w:tcBorders>
            <w:shd w:val="clear" w:color="auto" w:fill="D9D9D9" w:themeFill="background1" w:themeFillShade="D9"/>
            <w:noWrap/>
            <w:vAlign w:val="bottom"/>
            <w:hideMark/>
          </w:tcPr>
          <w:p w14:paraId="0899A66C"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w:t>
            </w:r>
          </w:p>
        </w:tc>
      </w:tr>
      <w:tr w:rsidR="000C50F0" w:rsidRPr="008515AF" w14:paraId="595F9527" w14:textId="77777777" w:rsidTr="008A47C6">
        <w:trPr>
          <w:gridBefore w:val="1"/>
          <w:wBefore w:w="72" w:type="dxa"/>
          <w:trHeight w:val="300"/>
        </w:trPr>
        <w:tc>
          <w:tcPr>
            <w:tcW w:w="2802" w:type="dxa"/>
            <w:gridSpan w:val="2"/>
            <w:tcBorders>
              <w:top w:val="nil"/>
              <w:left w:val="nil"/>
              <w:bottom w:val="nil"/>
              <w:right w:val="single" w:sz="4" w:space="0" w:color="auto"/>
            </w:tcBorders>
            <w:shd w:val="clear" w:color="auto" w:fill="auto"/>
            <w:noWrap/>
            <w:vAlign w:val="bottom"/>
            <w:hideMark/>
          </w:tcPr>
          <w:p w14:paraId="45F3C3DA" w14:textId="77777777" w:rsidR="000C50F0" w:rsidRPr="00A76A8C" w:rsidRDefault="000C50F0" w:rsidP="00E11657">
            <w:pPr>
              <w:rPr>
                <w:rFonts w:eastAsia="Times New Roman"/>
                <w:color w:val="000000"/>
                <w:sz w:val="22"/>
                <w:szCs w:val="22"/>
              </w:rPr>
            </w:pPr>
            <w:r w:rsidRPr="00A76A8C">
              <w:rPr>
                <w:rFonts w:eastAsia="Times New Roman"/>
                <w:color w:val="000000"/>
                <w:sz w:val="22"/>
                <w:szCs w:val="22"/>
              </w:rPr>
              <w:t>Last generation</w:t>
            </w:r>
          </w:p>
        </w:tc>
        <w:tc>
          <w:tcPr>
            <w:tcW w:w="759" w:type="dxa"/>
            <w:tcBorders>
              <w:top w:val="nil"/>
              <w:left w:val="nil"/>
              <w:bottom w:val="nil"/>
              <w:right w:val="nil"/>
            </w:tcBorders>
            <w:shd w:val="clear" w:color="auto" w:fill="auto"/>
            <w:noWrap/>
            <w:vAlign w:val="bottom"/>
            <w:hideMark/>
          </w:tcPr>
          <w:p w14:paraId="33AD6780"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1E686328"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200</w:t>
            </w:r>
          </w:p>
        </w:tc>
        <w:tc>
          <w:tcPr>
            <w:tcW w:w="821" w:type="dxa"/>
            <w:tcBorders>
              <w:top w:val="nil"/>
              <w:left w:val="nil"/>
              <w:bottom w:val="nil"/>
              <w:right w:val="nil"/>
            </w:tcBorders>
            <w:shd w:val="clear" w:color="auto" w:fill="auto"/>
            <w:noWrap/>
            <w:vAlign w:val="bottom"/>
            <w:hideMark/>
          </w:tcPr>
          <w:p w14:paraId="25B0BE37"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087DFECE"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200</w:t>
            </w:r>
          </w:p>
        </w:tc>
        <w:tc>
          <w:tcPr>
            <w:tcW w:w="889" w:type="dxa"/>
            <w:tcBorders>
              <w:top w:val="nil"/>
              <w:left w:val="nil"/>
              <w:bottom w:val="nil"/>
              <w:right w:val="nil"/>
            </w:tcBorders>
            <w:shd w:val="clear" w:color="auto" w:fill="auto"/>
            <w:noWrap/>
            <w:vAlign w:val="bottom"/>
            <w:hideMark/>
          </w:tcPr>
          <w:p w14:paraId="64A4C880"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1,000</w:t>
            </w:r>
          </w:p>
        </w:tc>
        <w:tc>
          <w:tcPr>
            <w:tcW w:w="821" w:type="dxa"/>
            <w:tcBorders>
              <w:top w:val="nil"/>
              <w:left w:val="nil"/>
              <w:bottom w:val="nil"/>
              <w:right w:val="single" w:sz="4" w:space="0" w:color="auto"/>
            </w:tcBorders>
            <w:shd w:val="clear" w:color="auto" w:fill="D9D9D9" w:themeFill="background1" w:themeFillShade="D9"/>
            <w:noWrap/>
            <w:vAlign w:val="bottom"/>
            <w:hideMark/>
          </w:tcPr>
          <w:p w14:paraId="20ACC206"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200</w:t>
            </w:r>
          </w:p>
        </w:tc>
        <w:tc>
          <w:tcPr>
            <w:tcW w:w="882" w:type="dxa"/>
            <w:tcBorders>
              <w:top w:val="nil"/>
              <w:left w:val="nil"/>
              <w:bottom w:val="nil"/>
              <w:right w:val="nil"/>
            </w:tcBorders>
            <w:shd w:val="clear" w:color="auto" w:fill="auto"/>
            <w:noWrap/>
            <w:vAlign w:val="bottom"/>
            <w:hideMark/>
          </w:tcPr>
          <w:p w14:paraId="1E9C2CC2"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1,000</w:t>
            </w:r>
          </w:p>
        </w:tc>
        <w:tc>
          <w:tcPr>
            <w:tcW w:w="826" w:type="dxa"/>
            <w:tcBorders>
              <w:top w:val="nil"/>
              <w:left w:val="nil"/>
              <w:bottom w:val="nil"/>
              <w:right w:val="nil"/>
            </w:tcBorders>
            <w:shd w:val="clear" w:color="auto" w:fill="D9D9D9" w:themeFill="background1" w:themeFillShade="D9"/>
            <w:noWrap/>
            <w:vAlign w:val="bottom"/>
            <w:hideMark/>
          </w:tcPr>
          <w:p w14:paraId="686DDA60"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200</w:t>
            </w:r>
          </w:p>
        </w:tc>
      </w:tr>
      <w:tr w:rsidR="000C50F0" w:rsidRPr="008515AF" w14:paraId="2B4BCF58" w14:textId="77777777" w:rsidTr="008A47C6">
        <w:trPr>
          <w:gridBefore w:val="1"/>
          <w:wBefore w:w="72" w:type="dxa"/>
          <w:trHeight w:val="300"/>
        </w:trPr>
        <w:tc>
          <w:tcPr>
            <w:tcW w:w="2802" w:type="dxa"/>
            <w:gridSpan w:val="2"/>
            <w:tcBorders>
              <w:top w:val="nil"/>
              <w:left w:val="nil"/>
              <w:right w:val="single" w:sz="4" w:space="0" w:color="auto"/>
            </w:tcBorders>
            <w:shd w:val="clear" w:color="auto" w:fill="auto"/>
            <w:noWrap/>
            <w:vAlign w:val="bottom"/>
            <w:hideMark/>
          </w:tcPr>
          <w:p w14:paraId="42E9D1CF" w14:textId="77777777" w:rsidR="000C50F0" w:rsidRPr="00A76A8C" w:rsidRDefault="000C50F0" w:rsidP="00E11657">
            <w:pPr>
              <w:rPr>
                <w:rFonts w:eastAsia="Times New Roman"/>
                <w:color w:val="000000"/>
                <w:sz w:val="22"/>
                <w:szCs w:val="22"/>
              </w:rPr>
            </w:pPr>
            <w:r w:rsidRPr="00A76A8C">
              <w:rPr>
                <w:rFonts w:eastAsia="Times New Roman"/>
                <w:color w:val="000000"/>
                <w:sz w:val="22"/>
                <w:szCs w:val="22"/>
              </w:rPr>
              <w:t>Predictors</w:t>
            </w:r>
          </w:p>
        </w:tc>
        <w:tc>
          <w:tcPr>
            <w:tcW w:w="759" w:type="dxa"/>
            <w:tcBorders>
              <w:top w:val="nil"/>
              <w:left w:val="nil"/>
              <w:right w:val="nil"/>
            </w:tcBorders>
            <w:shd w:val="clear" w:color="auto" w:fill="auto"/>
            <w:noWrap/>
            <w:vAlign w:val="bottom"/>
            <w:hideMark/>
          </w:tcPr>
          <w:p w14:paraId="1F22C778"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133</w:t>
            </w:r>
          </w:p>
        </w:tc>
        <w:tc>
          <w:tcPr>
            <w:tcW w:w="821" w:type="dxa"/>
            <w:tcBorders>
              <w:top w:val="nil"/>
              <w:left w:val="nil"/>
              <w:right w:val="single" w:sz="4" w:space="0" w:color="auto"/>
            </w:tcBorders>
            <w:shd w:val="clear" w:color="auto" w:fill="D9D9D9" w:themeFill="background1" w:themeFillShade="D9"/>
            <w:noWrap/>
            <w:vAlign w:val="bottom"/>
            <w:hideMark/>
          </w:tcPr>
          <w:p w14:paraId="144B1532"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133</w:t>
            </w:r>
          </w:p>
        </w:tc>
        <w:tc>
          <w:tcPr>
            <w:tcW w:w="821" w:type="dxa"/>
            <w:tcBorders>
              <w:top w:val="nil"/>
              <w:left w:val="nil"/>
              <w:right w:val="nil"/>
            </w:tcBorders>
            <w:shd w:val="clear" w:color="auto" w:fill="auto"/>
            <w:noWrap/>
            <w:vAlign w:val="bottom"/>
            <w:hideMark/>
          </w:tcPr>
          <w:p w14:paraId="1F78E766"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133</w:t>
            </w:r>
          </w:p>
        </w:tc>
        <w:tc>
          <w:tcPr>
            <w:tcW w:w="821" w:type="dxa"/>
            <w:tcBorders>
              <w:top w:val="nil"/>
              <w:left w:val="nil"/>
              <w:right w:val="single" w:sz="4" w:space="0" w:color="auto"/>
            </w:tcBorders>
            <w:shd w:val="clear" w:color="auto" w:fill="D9D9D9" w:themeFill="background1" w:themeFillShade="D9"/>
            <w:noWrap/>
            <w:vAlign w:val="bottom"/>
            <w:hideMark/>
          </w:tcPr>
          <w:p w14:paraId="7C51EB6C"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133</w:t>
            </w:r>
          </w:p>
        </w:tc>
        <w:tc>
          <w:tcPr>
            <w:tcW w:w="889" w:type="dxa"/>
            <w:tcBorders>
              <w:top w:val="nil"/>
              <w:left w:val="nil"/>
              <w:right w:val="nil"/>
            </w:tcBorders>
            <w:shd w:val="clear" w:color="auto" w:fill="auto"/>
            <w:noWrap/>
            <w:vAlign w:val="bottom"/>
            <w:hideMark/>
          </w:tcPr>
          <w:p w14:paraId="6DC1975A"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133</w:t>
            </w:r>
          </w:p>
        </w:tc>
        <w:tc>
          <w:tcPr>
            <w:tcW w:w="821" w:type="dxa"/>
            <w:tcBorders>
              <w:top w:val="nil"/>
              <w:left w:val="nil"/>
              <w:right w:val="single" w:sz="4" w:space="0" w:color="auto"/>
            </w:tcBorders>
            <w:shd w:val="clear" w:color="auto" w:fill="D9D9D9" w:themeFill="background1" w:themeFillShade="D9"/>
            <w:noWrap/>
            <w:vAlign w:val="bottom"/>
            <w:hideMark/>
          </w:tcPr>
          <w:p w14:paraId="36D8411F"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133</w:t>
            </w:r>
          </w:p>
        </w:tc>
        <w:tc>
          <w:tcPr>
            <w:tcW w:w="882" w:type="dxa"/>
            <w:tcBorders>
              <w:top w:val="nil"/>
              <w:left w:val="nil"/>
              <w:right w:val="nil"/>
            </w:tcBorders>
            <w:shd w:val="clear" w:color="auto" w:fill="auto"/>
            <w:noWrap/>
            <w:vAlign w:val="bottom"/>
            <w:hideMark/>
          </w:tcPr>
          <w:p w14:paraId="21470B9E"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133</w:t>
            </w:r>
          </w:p>
        </w:tc>
        <w:tc>
          <w:tcPr>
            <w:tcW w:w="826" w:type="dxa"/>
            <w:tcBorders>
              <w:top w:val="nil"/>
              <w:left w:val="nil"/>
              <w:right w:val="nil"/>
            </w:tcBorders>
            <w:shd w:val="clear" w:color="auto" w:fill="D9D9D9" w:themeFill="background1" w:themeFillShade="D9"/>
            <w:noWrap/>
            <w:vAlign w:val="bottom"/>
            <w:hideMark/>
          </w:tcPr>
          <w:p w14:paraId="3D957F92" w14:textId="77777777" w:rsidR="000C50F0" w:rsidRPr="00A76A8C" w:rsidRDefault="000C50F0" w:rsidP="00F43DFC">
            <w:pPr>
              <w:jc w:val="center"/>
              <w:rPr>
                <w:rFonts w:eastAsia="Times New Roman"/>
                <w:color w:val="000000"/>
                <w:sz w:val="22"/>
                <w:szCs w:val="22"/>
              </w:rPr>
            </w:pPr>
            <w:r w:rsidRPr="00A76A8C">
              <w:rPr>
                <w:rFonts w:eastAsia="Times New Roman"/>
                <w:color w:val="000000"/>
                <w:sz w:val="22"/>
                <w:szCs w:val="22"/>
              </w:rPr>
              <w:t>133</w:t>
            </w:r>
          </w:p>
        </w:tc>
      </w:tr>
      <w:tr w:rsidR="000C50F0" w:rsidRPr="007B0F81" w14:paraId="020C6BEF" w14:textId="77777777" w:rsidTr="008A47C6">
        <w:trPr>
          <w:gridBefore w:val="1"/>
          <w:wBefore w:w="72" w:type="dxa"/>
          <w:trHeight w:val="300"/>
        </w:trPr>
        <w:tc>
          <w:tcPr>
            <w:tcW w:w="2802" w:type="dxa"/>
            <w:gridSpan w:val="2"/>
            <w:tcBorders>
              <w:top w:val="nil"/>
              <w:left w:val="nil"/>
              <w:bottom w:val="double" w:sz="4" w:space="0" w:color="auto"/>
              <w:right w:val="single" w:sz="4" w:space="0" w:color="auto"/>
            </w:tcBorders>
            <w:shd w:val="clear" w:color="auto" w:fill="auto"/>
            <w:noWrap/>
            <w:vAlign w:val="bottom"/>
            <w:hideMark/>
          </w:tcPr>
          <w:p w14:paraId="165E2B81" w14:textId="77777777" w:rsidR="000C50F0" w:rsidRPr="00A76A8C" w:rsidRDefault="000C50F0" w:rsidP="00E11657">
            <w:pPr>
              <w:rPr>
                <w:rFonts w:eastAsia="Times New Roman"/>
                <w:color w:val="000000"/>
                <w:sz w:val="22"/>
                <w:szCs w:val="22"/>
              </w:rPr>
            </w:pPr>
            <w:r w:rsidRPr="00E11657">
              <w:rPr>
                <w:rFonts w:eastAsia="Times New Roman"/>
                <w:color w:val="000000"/>
                <w:szCs w:val="22"/>
              </w:rPr>
              <w:t>Expected payout/subject (</w:t>
            </w:r>
            <w:r w:rsidRPr="00E11657">
              <w:rPr>
                <w:rFonts w:eastAsia="Times New Roman"/>
                <w:b/>
                <w:bCs/>
                <w:color w:val="000000"/>
                <w:szCs w:val="22"/>
              </w:rPr>
              <w:t>€</w:t>
            </w:r>
            <w:r w:rsidRPr="00E11657">
              <w:rPr>
                <w:rFonts w:eastAsia="Times New Roman"/>
                <w:color w:val="000000"/>
                <w:szCs w:val="22"/>
              </w:rPr>
              <w:t>)</w:t>
            </w:r>
          </w:p>
        </w:tc>
        <w:tc>
          <w:tcPr>
            <w:tcW w:w="759" w:type="dxa"/>
            <w:tcBorders>
              <w:top w:val="nil"/>
              <w:left w:val="single" w:sz="4" w:space="0" w:color="auto"/>
              <w:bottom w:val="double" w:sz="4" w:space="0" w:color="auto"/>
            </w:tcBorders>
            <w:shd w:val="clear" w:color="auto" w:fill="auto"/>
            <w:noWrap/>
            <w:vAlign w:val="bottom"/>
            <w:hideMark/>
          </w:tcPr>
          <w:p w14:paraId="35B7A0BF" w14:textId="77777777" w:rsidR="000C50F0" w:rsidRPr="007B0F81" w:rsidRDefault="000C50F0" w:rsidP="00F43DFC">
            <w:pPr>
              <w:jc w:val="center"/>
              <w:rPr>
                <w:rFonts w:eastAsia="Times New Roman"/>
                <w:color w:val="000000"/>
                <w:sz w:val="22"/>
                <w:szCs w:val="22"/>
              </w:rPr>
            </w:pPr>
            <w:r w:rsidRPr="007B0F81">
              <w:rPr>
                <w:rFonts w:eastAsia="Times New Roman"/>
                <w:color w:val="000000"/>
                <w:sz w:val="22"/>
                <w:szCs w:val="22"/>
              </w:rPr>
              <w:t>16</w:t>
            </w:r>
          </w:p>
        </w:tc>
        <w:tc>
          <w:tcPr>
            <w:tcW w:w="821" w:type="dxa"/>
            <w:tcBorders>
              <w:top w:val="nil"/>
              <w:bottom w:val="double" w:sz="4" w:space="0" w:color="auto"/>
              <w:right w:val="single" w:sz="4" w:space="0" w:color="auto"/>
            </w:tcBorders>
            <w:shd w:val="clear" w:color="auto" w:fill="D9D9D9" w:themeFill="background1" w:themeFillShade="D9"/>
            <w:noWrap/>
            <w:vAlign w:val="bottom"/>
            <w:hideMark/>
          </w:tcPr>
          <w:p w14:paraId="609E91A8" w14:textId="77777777" w:rsidR="000C50F0" w:rsidRPr="007B0F81" w:rsidRDefault="000C50F0" w:rsidP="00F43DFC">
            <w:pPr>
              <w:jc w:val="center"/>
              <w:rPr>
                <w:rFonts w:eastAsia="Times New Roman"/>
                <w:color w:val="000000"/>
                <w:sz w:val="22"/>
                <w:szCs w:val="22"/>
              </w:rPr>
            </w:pPr>
            <w:r w:rsidRPr="007B0F81">
              <w:rPr>
                <w:rFonts w:eastAsia="Times New Roman"/>
                <w:color w:val="000000"/>
                <w:sz w:val="22"/>
                <w:szCs w:val="22"/>
              </w:rPr>
              <w:t>16</w:t>
            </w:r>
          </w:p>
        </w:tc>
        <w:tc>
          <w:tcPr>
            <w:tcW w:w="821" w:type="dxa"/>
            <w:tcBorders>
              <w:top w:val="nil"/>
              <w:left w:val="single" w:sz="4" w:space="0" w:color="auto"/>
              <w:bottom w:val="double" w:sz="4" w:space="0" w:color="auto"/>
            </w:tcBorders>
            <w:shd w:val="clear" w:color="auto" w:fill="auto"/>
            <w:noWrap/>
            <w:vAlign w:val="bottom"/>
            <w:hideMark/>
          </w:tcPr>
          <w:p w14:paraId="3E46C4CE" w14:textId="77777777" w:rsidR="000C50F0" w:rsidRPr="007B0F81" w:rsidRDefault="000C50F0" w:rsidP="00F43DFC">
            <w:pPr>
              <w:jc w:val="center"/>
              <w:rPr>
                <w:rFonts w:eastAsia="Times New Roman"/>
                <w:color w:val="000000"/>
                <w:sz w:val="22"/>
                <w:szCs w:val="22"/>
              </w:rPr>
            </w:pPr>
            <w:r w:rsidRPr="007B0F81">
              <w:rPr>
                <w:rFonts w:eastAsia="Times New Roman"/>
                <w:color w:val="000000"/>
                <w:sz w:val="22"/>
                <w:szCs w:val="22"/>
              </w:rPr>
              <w:t>16</w:t>
            </w:r>
          </w:p>
        </w:tc>
        <w:tc>
          <w:tcPr>
            <w:tcW w:w="821" w:type="dxa"/>
            <w:tcBorders>
              <w:top w:val="nil"/>
              <w:bottom w:val="double" w:sz="4" w:space="0" w:color="auto"/>
              <w:right w:val="single" w:sz="4" w:space="0" w:color="auto"/>
            </w:tcBorders>
            <w:shd w:val="clear" w:color="auto" w:fill="D9D9D9" w:themeFill="background1" w:themeFillShade="D9"/>
            <w:noWrap/>
            <w:vAlign w:val="bottom"/>
            <w:hideMark/>
          </w:tcPr>
          <w:p w14:paraId="3BF8E675" w14:textId="77777777" w:rsidR="000C50F0" w:rsidRPr="007B0F81" w:rsidRDefault="000C50F0" w:rsidP="00F43DFC">
            <w:pPr>
              <w:jc w:val="center"/>
              <w:rPr>
                <w:rFonts w:eastAsia="Times New Roman"/>
                <w:color w:val="000000"/>
                <w:sz w:val="22"/>
                <w:szCs w:val="22"/>
              </w:rPr>
            </w:pPr>
            <w:r w:rsidRPr="007B0F81">
              <w:rPr>
                <w:rFonts w:eastAsia="Times New Roman"/>
                <w:color w:val="000000"/>
                <w:sz w:val="22"/>
                <w:szCs w:val="22"/>
              </w:rPr>
              <w:t>16</w:t>
            </w:r>
          </w:p>
        </w:tc>
        <w:tc>
          <w:tcPr>
            <w:tcW w:w="889" w:type="dxa"/>
            <w:tcBorders>
              <w:top w:val="nil"/>
              <w:left w:val="single" w:sz="4" w:space="0" w:color="auto"/>
              <w:bottom w:val="double" w:sz="4" w:space="0" w:color="auto"/>
            </w:tcBorders>
            <w:shd w:val="clear" w:color="auto" w:fill="auto"/>
            <w:noWrap/>
            <w:vAlign w:val="bottom"/>
            <w:hideMark/>
          </w:tcPr>
          <w:p w14:paraId="56ADE541" w14:textId="77777777" w:rsidR="000C50F0" w:rsidRPr="007B0F81" w:rsidRDefault="000C50F0" w:rsidP="00F43DFC">
            <w:pPr>
              <w:jc w:val="center"/>
              <w:rPr>
                <w:rFonts w:eastAsia="Times New Roman"/>
                <w:color w:val="000000"/>
                <w:sz w:val="22"/>
                <w:szCs w:val="22"/>
              </w:rPr>
            </w:pPr>
            <w:r w:rsidRPr="007B0F81">
              <w:rPr>
                <w:rFonts w:eastAsia="Times New Roman"/>
                <w:color w:val="000000"/>
                <w:sz w:val="22"/>
                <w:szCs w:val="22"/>
              </w:rPr>
              <w:t>16</w:t>
            </w:r>
          </w:p>
        </w:tc>
        <w:tc>
          <w:tcPr>
            <w:tcW w:w="821" w:type="dxa"/>
            <w:tcBorders>
              <w:top w:val="nil"/>
              <w:bottom w:val="double" w:sz="4" w:space="0" w:color="auto"/>
              <w:right w:val="single" w:sz="4" w:space="0" w:color="auto"/>
            </w:tcBorders>
            <w:shd w:val="clear" w:color="auto" w:fill="D9D9D9" w:themeFill="background1" w:themeFillShade="D9"/>
            <w:noWrap/>
            <w:vAlign w:val="bottom"/>
            <w:hideMark/>
          </w:tcPr>
          <w:p w14:paraId="6840C4C7" w14:textId="77777777" w:rsidR="000C50F0" w:rsidRPr="007B0F81" w:rsidRDefault="000C50F0" w:rsidP="00F43DFC">
            <w:pPr>
              <w:jc w:val="center"/>
              <w:rPr>
                <w:rFonts w:eastAsia="Times New Roman"/>
                <w:color w:val="000000"/>
                <w:sz w:val="22"/>
                <w:szCs w:val="22"/>
              </w:rPr>
            </w:pPr>
            <w:r w:rsidRPr="007B0F81">
              <w:rPr>
                <w:rFonts w:eastAsia="Times New Roman"/>
                <w:color w:val="000000"/>
                <w:sz w:val="22"/>
                <w:szCs w:val="22"/>
              </w:rPr>
              <w:t>16</w:t>
            </w:r>
          </w:p>
        </w:tc>
        <w:tc>
          <w:tcPr>
            <w:tcW w:w="882" w:type="dxa"/>
            <w:tcBorders>
              <w:top w:val="nil"/>
              <w:left w:val="single" w:sz="4" w:space="0" w:color="auto"/>
              <w:bottom w:val="double" w:sz="4" w:space="0" w:color="auto"/>
            </w:tcBorders>
            <w:shd w:val="clear" w:color="auto" w:fill="auto"/>
            <w:noWrap/>
            <w:vAlign w:val="bottom"/>
            <w:hideMark/>
          </w:tcPr>
          <w:p w14:paraId="17CA0227" w14:textId="77777777" w:rsidR="000C50F0" w:rsidRPr="007B0F81" w:rsidRDefault="000C50F0" w:rsidP="00F43DFC">
            <w:pPr>
              <w:jc w:val="center"/>
              <w:rPr>
                <w:rFonts w:eastAsia="Times New Roman"/>
                <w:color w:val="000000"/>
                <w:sz w:val="22"/>
                <w:szCs w:val="22"/>
              </w:rPr>
            </w:pPr>
            <w:r w:rsidRPr="007B0F81">
              <w:rPr>
                <w:rFonts w:eastAsia="Times New Roman"/>
                <w:color w:val="000000"/>
                <w:sz w:val="22"/>
                <w:szCs w:val="22"/>
              </w:rPr>
              <w:t>16</w:t>
            </w:r>
          </w:p>
        </w:tc>
        <w:tc>
          <w:tcPr>
            <w:tcW w:w="826" w:type="dxa"/>
            <w:tcBorders>
              <w:top w:val="nil"/>
              <w:bottom w:val="double" w:sz="4" w:space="0" w:color="auto"/>
              <w:right w:val="nil"/>
            </w:tcBorders>
            <w:shd w:val="clear" w:color="auto" w:fill="D9D9D9" w:themeFill="background1" w:themeFillShade="D9"/>
            <w:noWrap/>
            <w:vAlign w:val="bottom"/>
            <w:hideMark/>
          </w:tcPr>
          <w:p w14:paraId="3BC14F4F" w14:textId="77777777" w:rsidR="000C50F0" w:rsidRPr="007B0F81" w:rsidRDefault="000C50F0" w:rsidP="00F43DFC">
            <w:pPr>
              <w:jc w:val="center"/>
              <w:rPr>
                <w:rFonts w:eastAsia="Times New Roman"/>
                <w:color w:val="000000"/>
                <w:sz w:val="22"/>
                <w:szCs w:val="22"/>
              </w:rPr>
            </w:pPr>
            <w:r w:rsidRPr="007B0F81">
              <w:rPr>
                <w:rFonts w:eastAsia="Times New Roman"/>
                <w:color w:val="000000"/>
                <w:sz w:val="22"/>
                <w:szCs w:val="22"/>
              </w:rPr>
              <w:t>16</w:t>
            </w:r>
          </w:p>
        </w:tc>
      </w:tr>
      <w:tr w:rsidR="000C50F0" w:rsidRPr="007B0F81" w14:paraId="02502B03" w14:textId="77777777" w:rsidTr="00F43DFC">
        <w:trPr>
          <w:gridBefore w:val="2"/>
          <w:wBefore w:w="165" w:type="dxa"/>
          <w:trHeight w:val="300"/>
        </w:trPr>
        <w:tc>
          <w:tcPr>
            <w:tcW w:w="9349" w:type="dxa"/>
            <w:gridSpan w:val="9"/>
            <w:tcBorders>
              <w:top w:val="double" w:sz="4" w:space="0" w:color="auto"/>
              <w:left w:val="nil"/>
              <w:bottom w:val="nil"/>
            </w:tcBorders>
            <w:shd w:val="clear" w:color="auto" w:fill="auto"/>
            <w:noWrap/>
            <w:vAlign w:val="bottom"/>
          </w:tcPr>
          <w:p w14:paraId="31956852" w14:textId="77777777" w:rsidR="000C50F0" w:rsidRPr="007B0F81" w:rsidRDefault="000C50F0" w:rsidP="00E11657">
            <w:pPr>
              <w:rPr>
                <w:rFonts w:eastAsia="Times New Roman"/>
              </w:rPr>
            </w:pPr>
            <w:r>
              <w:br w:type="page"/>
            </w:r>
            <w:r w:rsidRPr="007B0F81">
              <w:rPr>
                <w:rFonts w:eastAsia="Times New Roman"/>
              </w:rPr>
              <w:t>N</w:t>
            </w:r>
            <w:r w:rsidR="00C411E2">
              <w:rPr>
                <w:rFonts w:eastAsia="Times New Roman"/>
              </w:rPr>
              <w:t>otes</w:t>
            </w:r>
            <w:r w:rsidRPr="007B0F81">
              <w:rPr>
                <w:rFonts w:eastAsia="Times New Roman"/>
              </w:rPr>
              <w:t>:</w:t>
            </w:r>
            <w:r>
              <w:rPr>
                <w:rFonts w:eastAsia="Times New Roman"/>
              </w:rPr>
              <w:t xml:space="preserve"> The following parameters are identical across all treatments: Number of </w:t>
            </w:r>
            <w:r w:rsidR="00440147">
              <w:rPr>
                <w:rFonts w:eastAsia="Times New Roman"/>
              </w:rPr>
              <w:t>investor</w:t>
            </w:r>
            <w:r>
              <w:rPr>
                <w:rFonts w:eastAsia="Times New Roman"/>
              </w:rPr>
              <w:t xml:space="preserve">s/generation (5); number of active generations (2); active </w:t>
            </w:r>
            <w:r w:rsidR="00440147">
              <w:rPr>
                <w:rFonts w:eastAsia="Times New Roman"/>
              </w:rPr>
              <w:t>investor</w:t>
            </w:r>
            <w:r>
              <w:rPr>
                <w:rFonts w:eastAsia="Times New Roman"/>
              </w:rPr>
              <w:t xml:space="preserve">s (10 </w:t>
            </w:r>
            <w:r w:rsidR="00440147">
              <w:rPr>
                <w:rFonts w:eastAsia="Times New Roman"/>
              </w:rPr>
              <w:t>investor</w:t>
            </w:r>
            <w:r>
              <w:rPr>
                <w:rFonts w:eastAsia="Times New Roman"/>
              </w:rPr>
              <w:t>s); period length (120 sec.); total number of periods (16); number of markets per treatment (6); number of expected transactions (160).</w:t>
            </w:r>
          </w:p>
          <w:p w14:paraId="4BCFE9FB" w14:textId="77777777" w:rsidR="000C50F0" w:rsidRPr="007B0F81" w:rsidRDefault="000C50F0" w:rsidP="00E11657">
            <w:pPr>
              <w:rPr>
                <w:rFonts w:eastAsia="Times New Roman"/>
              </w:rPr>
            </w:pPr>
            <w:proofErr w:type="spellStart"/>
            <w:proofErr w:type="gramStart"/>
            <w:r w:rsidRPr="007B0F81">
              <w:rPr>
                <w:rFonts w:eastAsia="Times New Roman"/>
                <w:vertAlign w:val="superscript"/>
              </w:rPr>
              <w:t>a</w:t>
            </w:r>
            <w:proofErr w:type="spellEnd"/>
            <w:proofErr w:type="gramEnd"/>
            <w:r w:rsidRPr="007B0F81">
              <w:rPr>
                <w:rFonts w:eastAsia="Times New Roman"/>
              </w:rPr>
              <w:t xml:space="preserve"> In treatments </w:t>
            </w:r>
            <w:r>
              <w:rPr>
                <w:rFonts w:eastAsia="Times New Roman"/>
              </w:rPr>
              <w:t>T1L and T1H we invited 15 subjects instead of 18 as no subject pool for future generations is nee</w:t>
            </w:r>
            <w:r>
              <w:rPr>
                <w:rFonts w:eastAsia="Times New Roman"/>
              </w:rPr>
              <w:t>d</w:t>
            </w:r>
            <w:r>
              <w:rPr>
                <w:rFonts w:eastAsia="Times New Roman"/>
              </w:rPr>
              <w:t xml:space="preserve">ed. Ten subjects were </w:t>
            </w:r>
            <w:r w:rsidR="00440147">
              <w:rPr>
                <w:rFonts w:eastAsia="Times New Roman"/>
              </w:rPr>
              <w:t>investor</w:t>
            </w:r>
            <w:r>
              <w:rPr>
                <w:rFonts w:eastAsia="Times New Roman"/>
              </w:rPr>
              <w:t>s, and five served as predictors.</w:t>
            </w:r>
          </w:p>
        </w:tc>
      </w:tr>
    </w:tbl>
    <w:p w14:paraId="588EC9FC" w14:textId="77777777" w:rsidR="000C50F0" w:rsidRDefault="000C50F0" w:rsidP="000C50F0"/>
    <w:p w14:paraId="78E7B5B7" w14:textId="77777777" w:rsidR="00AF1D59" w:rsidRDefault="000C50F0" w:rsidP="000C50F0">
      <w:pPr>
        <w:spacing w:after="200" w:line="276" w:lineRule="auto"/>
      </w:pPr>
      <w:r>
        <w:br w:type="page"/>
      </w:r>
    </w:p>
    <w:p w14:paraId="6C333745" w14:textId="77777777" w:rsidR="00AF1D59" w:rsidRDefault="00AF1D59" w:rsidP="000C50F0">
      <w:pPr>
        <w:spacing w:after="200" w:line="276" w:lineRule="auto"/>
        <w:sectPr w:rsidR="00AF1D59" w:rsidSect="00A964ED">
          <w:endnotePr>
            <w:numFmt w:val="decimal"/>
          </w:endnotePr>
          <w:pgSz w:w="11907" w:h="16840" w:code="9"/>
          <w:pgMar w:top="1440" w:right="1440" w:bottom="1440" w:left="1440" w:header="850" w:footer="994" w:gutter="0"/>
          <w:cols w:space="425"/>
          <w:docGrid w:linePitch="552"/>
        </w:sectPr>
      </w:pPr>
    </w:p>
    <w:p w14:paraId="03DC53C5" w14:textId="79925ABF" w:rsidR="000C50F0" w:rsidRDefault="000C50F0" w:rsidP="000C50F0">
      <w:pPr>
        <w:jc w:val="center"/>
        <w:rPr>
          <w:b/>
          <w:sz w:val="24"/>
          <w:lang w:eastAsia="ja-JP"/>
        </w:rPr>
      </w:pPr>
      <w:r w:rsidRPr="00C83731">
        <w:rPr>
          <w:b/>
          <w:sz w:val="24"/>
          <w:lang w:eastAsia="ja-JP"/>
        </w:rPr>
        <w:lastRenderedPageBreak/>
        <w:t xml:space="preserve">Table </w:t>
      </w:r>
      <w:r w:rsidR="0065340C">
        <w:rPr>
          <w:b/>
          <w:sz w:val="24"/>
          <w:lang w:eastAsia="ja-JP"/>
        </w:rPr>
        <w:t>3</w:t>
      </w:r>
      <w:r>
        <w:rPr>
          <w:b/>
          <w:sz w:val="24"/>
          <w:lang w:eastAsia="ja-JP"/>
        </w:rPr>
        <w:t>:</w:t>
      </w:r>
      <w:r w:rsidRPr="00C83731">
        <w:rPr>
          <w:b/>
          <w:sz w:val="24"/>
          <w:lang w:eastAsia="ja-JP"/>
        </w:rPr>
        <w:t xml:space="preserve"> </w:t>
      </w:r>
      <w:r>
        <w:rPr>
          <w:rFonts w:hint="eastAsia"/>
          <w:b/>
          <w:sz w:val="24"/>
          <w:lang w:eastAsia="ja-JP"/>
        </w:rPr>
        <w:t xml:space="preserve">Average </w:t>
      </w:r>
      <w:r w:rsidRPr="007B134A">
        <w:rPr>
          <w:rFonts w:hint="eastAsia"/>
          <w:b/>
          <w:i/>
          <w:sz w:val="24"/>
          <w:lang w:eastAsia="ja-JP"/>
        </w:rPr>
        <w:t>Period-RAD</w:t>
      </w:r>
      <w:r w:rsidR="00926D3D" w:rsidRPr="00AB78B3">
        <w:rPr>
          <w:b/>
          <w:sz w:val="24"/>
          <w:lang w:eastAsia="ja-JP"/>
        </w:rPr>
        <w:t xml:space="preserve"> </w:t>
      </w:r>
      <w:r w:rsidR="00BE40AD">
        <w:rPr>
          <w:b/>
          <w:sz w:val="24"/>
          <w:lang w:eastAsia="ja-JP"/>
        </w:rPr>
        <w:t>by</w:t>
      </w:r>
      <w:r w:rsidR="00926D3D" w:rsidRPr="00AB78B3">
        <w:rPr>
          <w:b/>
          <w:sz w:val="24"/>
          <w:lang w:eastAsia="ja-JP"/>
        </w:rPr>
        <w:t xml:space="preserve"> </w:t>
      </w:r>
      <w:r w:rsidR="00BE40AD">
        <w:rPr>
          <w:b/>
          <w:sz w:val="24"/>
          <w:lang w:eastAsia="ja-JP"/>
        </w:rPr>
        <w:t>Treatment and P</w:t>
      </w:r>
      <w:r w:rsidR="00926D3D" w:rsidRPr="00AB78B3">
        <w:rPr>
          <w:b/>
          <w:sz w:val="24"/>
          <w:lang w:eastAsia="ja-JP"/>
        </w:rPr>
        <w:t>eriod</w:t>
      </w:r>
      <w:r w:rsidR="00AF1D59">
        <w:rPr>
          <w:b/>
          <w:sz w:val="24"/>
          <w:lang w:eastAsia="ja-JP"/>
        </w:rPr>
        <w:t xml:space="preserve"> </w:t>
      </w:r>
    </w:p>
    <w:p w14:paraId="3686703A" w14:textId="77777777" w:rsidR="00E4519A" w:rsidRDefault="00E4519A" w:rsidP="000C50F0">
      <w:pPr>
        <w:jc w:val="center"/>
        <w:rPr>
          <w:b/>
          <w:sz w:val="24"/>
          <w:lang w:eastAsia="ja-JP"/>
        </w:rPr>
      </w:pPr>
    </w:p>
    <w:p w14:paraId="5E8C3BBB" w14:textId="77777777" w:rsidR="00E4519A" w:rsidRPr="009973AD" w:rsidRDefault="00E4519A" w:rsidP="007B2FEF">
      <w:pPr>
        <w:spacing w:afterLines="50" w:after="160"/>
        <w:jc w:val="center"/>
        <w:rPr>
          <w:b/>
          <w:sz w:val="22"/>
          <w:szCs w:val="22"/>
          <w:lang w:eastAsia="ja-JP"/>
        </w:rPr>
      </w:pPr>
      <w:r w:rsidRPr="009973AD">
        <w:rPr>
          <w:rFonts w:hint="eastAsia"/>
          <w:b/>
          <w:sz w:val="22"/>
          <w:szCs w:val="22"/>
          <w:lang w:eastAsia="ja-JP"/>
        </w:rPr>
        <w:t xml:space="preserve">Panel A: </w:t>
      </w:r>
      <w:r>
        <w:rPr>
          <w:rFonts w:hint="eastAsia"/>
          <w:b/>
          <w:sz w:val="22"/>
          <w:szCs w:val="22"/>
          <w:lang w:eastAsia="ja-JP"/>
        </w:rPr>
        <w:t>High-liquidity</w:t>
      </w:r>
      <w:r w:rsidRPr="009973AD">
        <w:rPr>
          <w:rFonts w:hint="eastAsia"/>
          <w:b/>
          <w:sz w:val="22"/>
          <w:szCs w:val="22"/>
          <w:lang w:eastAsia="ja-JP"/>
        </w:rPr>
        <w:t xml:space="preserve"> </w:t>
      </w:r>
      <w:r w:rsidR="00BE40AD">
        <w:rPr>
          <w:b/>
          <w:sz w:val="22"/>
          <w:szCs w:val="22"/>
          <w:lang w:eastAsia="ja-JP"/>
        </w:rPr>
        <w:t>S</w:t>
      </w:r>
      <w:r w:rsidR="00BE40AD" w:rsidRPr="009973AD">
        <w:rPr>
          <w:rFonts w:hint="eastAsia"/>
          <w:b/>
          <w:sz w:val="22"/>
          <w:szCs w:val="22"/>
          <w:lang w:eastAsia="ja-JP"/>
        </w:rPr>
        <w:t>ession</w:t>
      </w:r>
      <w:r w:rsidR="00BE40AD">
        <w:rPr>
          <w:b/>
          <w:sz w:val="22"/>
          <w:szCs w:val="22"/>
          <w:lang w:eastAsia="ja-JP"/>
        </w:rPr>
        <w:t>s</w:t>
      </w:r>
    </w:p>
    <w:tbl>
      <w:tblPr>
        <w:tblW w:w="12788" w:type="dxa"/>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898"/>
        <w:gridCol w:w="744"/>
        <w:gridCol w:w="744"/>
        <w:gridCol w:w="743"/>
        <w:gridCol w:w="743"/>
        <w:gridCol w:w="743"/>
        <w:gridCol w:w="743"/>
        <w:gridCol w:w="743"/>
        <w:gridCol w:w="743"/>
        <w:gridCol w:w="743"/>
        <w:gridCol w:w="743"/>
        <w:gridCol w:w="743"/>
        <w:gridCol w:w="743"/>
        <w:gridCol w:w="743"/>
        <w:gridCol w:w="743"/>
        <w:gridCol w:w="743"/>
        <w:gridCol w:w="743"/>
      </w:tblGrid>
      <w:tr w:rsidR="00E4519A" w:rsidRPr="004B0BFC" w14:paraId="1BE03984" w14:textId="77777777" w:rsidTr="00B30BCE">
        <w:trPr>
          <w:trHeight w:val="567"/>
        </w:trPr>
        <w:tc>
          <w:tcPr>
            <w:tcW w:w="898" w:type="dxa"/>
            <w:vAlign w:val="center"/>
          </w:tcPr>
          <w:p w14:paraId="44DC6CE5" w14:textId="77777777" w:rsidR="00E4519A" w:rsidRPr="00D1771D" w:rsidRDefault="00E4519A" w:rsidP="00B30BCE">
            <w:pPr>
              <w:jc w:val="center"/>
              <w:rPr>
                <w:lang w:eastAsia="ja-JP"/>
              </w:rPr>
            </w:pPr>
            <w:r w:rsidRPr="00D1771D">
              <w:rPr>
                <w:lang w:eastAsia="ja-JP"/>
              </w:rPr>
              <w:t>Period</w:t>
            </w:r>
          </w:p>
        </w:tc>
        <w:tc>
          <w:tcPr>
            <w:tcW w:w="744" w:type="dxa"/>
            <w:tcBorders>
              <w:bottom w:val="single" w:sz="18" w:space="0" w:color="000000"/>
            </w:tcBorders>
            <w:vAlign w:val="center"/>
          </w:tcPr>
          <w:p w14:paraId="574A5F9D" w14:textId="77777777" w:rsidR="00E4519A" w:rsidRPr="004B0BFC" w:rsidRDefault="00E4519A" w:rsidP="00B30BCE">
            <w:pPr>
              <w:jc w:val="center"/>
              <w:rPr>
                <w:sz w:val="24"/>
                <w:lang w:eastAsia="ja-JP"/>
              </w:rPr>
            </w:pPr>
            <w:r w:rsidRPr="004B0BFC">
              <w:rPr>
                <w:sz w:val="24"/>
                <w:lang w:eastAsia="ja-JP"/>
              </w:rPr>
              <w:t>1</w:t>
            </w:r>
          </w:p>
        </w:tc>
        <w:tc>
          <w:tcPr>
            <w:tcW w:w="744" w:type="dxa"/>
            <w:tcBorders>
              <w:bottom w:val="single" w:sz="18" w:space="0" w:color="000000"/>
            </w:tcBorders>
            <w:vAlign w:val="center"/>
          </w:tcPr>
          <w:p w14:paraId="5B42DC61" w14:textId="77777777" w:rsidR="00E4519A" w:rsidRPr="004B0BFC" w:rsidRDefault="00E4519A" w:rsidP="00B30BCE">
            <w:pPr>
              <w:jc w:val="center"/>
              <w:rPr>
                <w:sz w:val="24"/>
                <w:lang w:eastAsia="ja-JP"/>
              </w:rPr>
            </w:pPr>
            <w:r w:rsidRPr="004B0BFC">
              <w:rPr>
                <w:sz w:val="24"/>
                <w:lang w:eastAsia="ja-JP"/>
              </w:rPr>
              <w:t>2</w:t>
            </w:r>
          </w:p>
        </w:tc>
        <w:tc>
          <w:tcPr>
            <w:tcW w:w="743" w:type="dxa"/>
            <w:tcBorders>
              <w:bottom w:val="single" w:sz="18" w:space="0" w:color="000000"/>
            </w:tcBorders>
            <w:vAlign w:val="center"/>
          </w:tcPr>
          <w:p w14:paraId="2F0D66FB" w14:textId="77777777" w:rsidR="00E4519A" w:rsidRPr="004B0BFC" w:rsidRDefault="00E4519A" w:rsidP="00B30BCE">
            <w:pPr>
              <w:jc w:val="center"/>
              <w:rPr>
                <w:sz w:val="24"/>
                <w:lang w:eastAsia="ja-JP"/>
              </w:rPr>
            </w:pPr>
            <w:r w:rsidRPr="004B0BFC">
              <w:rPr>
                <w:sz w:val="24"/>
                <w:lang w:eastAsia="ja-JP"/>
              </w:rPr>
              <w:t>3</w:t>
            </w:r>
          </w:p>
        </w:tc>
        <w:tc>
          <w:tcPr>
            <w:tcW w:w="743" w:type="dxa"/>
            <w:tcBorders>
              <w:bottom w:val="single" w:sz="18" w:space="0" w:color="000000"/>
            </w:tcBorders>
            <w:vAlign w:val="center"/>
          </w:tcPr>
          <w:p w14:paraId="30347AAF" w14:textId="77777777" w:rsidR="00E4519A" w:rsidRPr="004B0BFC" w:rsidRDefault="00E4519A" w:rsidP="00B30BCE">
            <w:pPr>
              <w:jc w:val="center"/>
              <w:rPr>
                <w:sz w:val="24"/>
                <w:lang w:eastAsia="ja-JP"/>
              </w:rPr>
            </w:pPr>
            <w:r w:rsidRPr="004B0BFC">
              <w:rPr>
                <w:sz w:val="24"/>
                <w:lang w:eastAsia="ja-JP"/>
              </w:rPr>
              <w:t>4</w:t>
            </w:r>
          </w:p>
        </w:tc>
        <w:tc>
          <w:tcPr>
            <w:tcW w:w="743" w:type="dxa"/>
            <w:tcBorders>
              <w:bottom w:val="single" w:sz="18" w:space="0" w:color="000000"/>
            </w:tcBorders>
            <w:vAlign w:val="center"/>
          </w:tcPr>
          <w:p w14:paraId="68535AB2" w14:textId="77777777" w:rsidR="00E4519A" w:rsidRPr="004B0BFC" w:rsidRDefault="00E4519A" w:rsidP="00B30BCE">
            <w:pPr>
              <w:jc w:val="center"/>
              <w:rPr>
                <w:sz w:val="24"/>
                <w:lang w:eastAsia="ja-JP"/>
              </w:rPr>
            </w:pPr>
            <w:r w:rsidRPr="004B0BFC">
              <w:rPr>
                <w:sz w:val="24"/>
                <w:lang w:eastAsia="ja-JP"/>
              </w:rPr>
              <w:t>5</w:t>
            </w:r>
          </w:p>
        </w:tc>
        <w:tc>
          <w:tcPr>
            <w:tcW w:w="743" w:type="dxa"/>
            <w:tcBorders>
              <w:bottom w:val="single" w:sz="18" w:space="0" w:color="000000"/>
            </w:tcBorders>
            <w:vAlign w:val="center"/>
          </w:tcPr>
          <w:p w14:paraId="60CB57AC" w14:textId="77777777" w:rsidR="00E4519A" w:rsidRPr="004B0BFC" w:rsidRDefault="00E4519A" w:rsidP="00B30BCE">
            <w:pPr>
              <w:jc w:val="center"/>
              <w:rPr>
                <w:sz w:val="24"/>
                <w:lang w:eastAsia="ja-JP"/>
              </w:rPr>
            </w:pPr>
            <w:r w:rsidRPr="004B0BFC">
              <w:rPr>
                <w:sz w:val="24"/>
                <w:lang w:eastAsia="ja-JP"/>
              </w:rPr>
              <w:t>6</w:t>
            </w:r>
          </w:p>
        </w:tc>
        <w:tc>
          <w:tcPr>
            <w:tcW w:w="743" w:type="dxa"/>
            <w:tcBorders>
              <w:bottom w:val="single" w:sz="18" w:space="0" w:color="000000"/>
            </w:tcBorders>
            <w:vAlign w:val="center"/>
          </w:tcPr>
          <w:p w14:paraId="73EF48BC" w14:textId="77777777" w:rsidR="00E4519A" w:rsidRPr="004B0BFC" w:rsidRDefault="00E4519A" w:rsidP="00B30BCE">
            <w:pPr>
              <w:jc w:val="center"/>
              <w:rPr>
                <w:sz w:val="24"/>
                <w:lang w:eastAsia="ja-JP"/>
              </w:rPr>
            </w:pPr>
            <w:r w:rsidRPr="004B0BFC">
              <w:rPr>
                <w:sz w:val="24"/>
                <w:lang w:eastAsia="ja-JP"/>
              </w:rPr>
              <w:t>7</w:t>
            </w:r>
          </w:p>
        </w:tc>
        <w:tc>
          <w:tcPr>
            <w:tcW w:w="743" w:type="dxa"/>
            <w:tcBorders>
              <w:bottom w:val="single" w:sz="18" w:space="0" w:color="000000"/>
            </w:tcBorders>
            <w:vAlign w:val="center"/>
          </w:tcPr>
          <w:p w14:paraId="3DC639AD" w14:textId="77777777" w:rsidR="00E4519A" w:rsidRPr="004B0BFC" w:rsidRDefault="00E4519A" w:rsidP="00B30BCE">
            <w:pPr>
              <w:jc w:val="center"/>
              <w:rPr>
                <w:sz w:val="24"/>
                <w:lang w:eastAsia="ja-JP"/>
              </w:rPr>
            </w:pPr>
            <w:r w:rsidRPr="004B0BFC">
              <w:rPr>
                <w:sz w:val="24"/>
                <w:lang w:eastAsia="ja-JP"/>
              </w:rPr>
              <w:t>8</w:t>
            </w:r>
          </w:p>
        </w:tc>
        <w:tc>
          <w:tcPr>
            <w:tcW w:w="743" w:type="dxa"/>
            <w:tcBorders>
              <w:bottom w:val="single" w:sz="18" w:space="0" w:color="000000"/>
            </w:tcBorders>
            <w:vAlign w:val="center"/>
          </w:tcPr>
          <w:p w14:paraId="789F728B" w14:textId="77777777" w:rsidR="00E4519A" w:rsidRPr="004B0BFC" w:rsidRDefault="00E4519A" w:rsidP="00B30BCE">
            <w:pPr>
              <w:jc w:val="center"/>
              <w:rPr>
                <w:sz w:val="24"/>
                <w:lang w:eastAsia="ja-JP"/>
              </w:rPr>
            </w:pPr>
            <w:r w:rsidRPr="004B0BFC">
              <w:rPr>
                <w:sz w:val="24"/>
                <w:lang w:eastAsia="ja-JP"/>
              </w:rPr>
              <w:t>9</w:t>
            </w:r>
          </w:p>
        </w:tc>
        <w:tc>
          <w:tcPr>
            <w:tcW w:w="743" w:type="dxa"/>
            <w:tcBorders>
              <w:bottom w:val="single" w:sz="18" w:space="0" w:color="000000"/>
            </w:tcBorders>
            <w:vAlign w:val="center"/>
          </w:tcPr>
          <w:p w14:paraId="17FA3064" w14:textId="77777777" w:rsidR="00E4519A" w:rsidRPr="004B0BFC" w:rsidRDefault="00E4519A" w:rsidP="00B30BCE">
            <w:pPr>
              <w:jc w:val="center"/>
              <w:rPr>
                <w:sz w:val="24"/>
                <w:lang w:eastAsia="ja-JP"/>
              </w:rPr>
            </w:pPr>
            <w:r w:rsidRPr="004B0BFC">
              <w:rPr>
                <w:sz w:val="24"/>
                <w:lang w:eastAsia="ja-JP"/>
              </w:rPr>
              <w:t>10</w:t>
            </w:r>
          </w:p>
        </w:tc>
        <w:tc>
          <w:tcPr>
            <w:tcW w:w="743" w:type="dxa"/>
            <w:tcBorders>
              <w:bottom w:val="single" w:sz="18" w:space="0" w:color="000000"/>
            </w:tcBorders>
            <w:vAlign w:val="center"/>
          </w:tcPr>
          <w:p w14:paraId="741F2366" w14:textId="77777777" w:rsidR="00E4519A" w:rsidRPr="004B0BFC" w:rsidRDefault="00E4519A" w:rsidP="00B30BCE">
            <w:pPr>
              <w:jc w:val="center"/>
              <w:rPr>
                <w:sz w:val="24"/>
                <w:lang w:eastAsia="ja-JP"/>
              </w:rPr>
            </w:pPr>
            <w:r w:rsidRPr="004B0BFC">
              <w:rPr>
                <w:sz w:val="24"/>
                <w:lang w:eastAsia="ja-JP"/>
              </w:rPr>
              <w:t>11</w:t>
            </w:r>
          </w:p>
        </w:tc>
        <w:tc>
          <w:tcPr>
            <w:tcW w:w="743" w:type="dxa"/>
            <w:tcBorders>
              <w:bottom w:val="single" w:sz="18" w:space="0" w:color="000000"/>
            </w:tcBorders>
            <w:vAlign w:val="center"/>
          </w:tcPr>
          <w:p w14:paraId="699DED4C" w14:textId="77777777" w:rsidR="00E4519A" w:rsidRPr="004B0BFC" w:rsidRDefault="00E4519A" w:rsidP="00B30BCE">
            <w:pPr>
              <w:jc w:val="center"/>
              <w:rPr>
                <w:sz w:val="24"/>
                <w:lang w:eastAsia="ja-JP"/>
              </w:rPr>
            </w:pPr>
            <w:r w:rsidRPr="004B0BFC">
              <w:rPr>
                <w:sz w:val="24"/>
                <w:lang w:eastAsia="ja-JP"/>
              </w:rPr>
              <w:t>12</w:t>
            </w:r>
          </w:p>
        </w:tc>
        <w:tc>
          <w:tcPr>
            <w:tcW w:w="743" w:type="dxa"/>
            <w:tcBorders>
              <w:bottom w:val="single" w:sz="18" w:space="0" w:color="000000"/>
            </w:tcBorders>
            <w:vAlign w:val="center"/>
          </w:tcPr>
          <w:p w14:paraId="6AA57684" w14:textId="77777777" w:rsidR="00E4519A" w:rsidRPr="004B0BFC" w:rsidRDefault="00E4519A" w:rsidP="00B30BCE">
            <w:pPr>
              <w:jc w:val="center"/>
              <w:rPr>
                <w:sz w:val="24"/>
                <w:lang w:eastAsia="ja-JP"/>
              </w:rPr>
            </w:pPr>
            <w:r w:rsidRPr="004B0BFC">
              <w:rPr>
                <w:sz w:val="24"/>
                <w:lang w:eastAsia="ja-JP"/>
              </w:rPr>
              <w:t>13</w:t>
            </w:r>
          </w:p>
        </w:tc>
        <w:tc>
          <w:tcPr>
            <w:tcW w:w="743" w:type="dxa"/>
            <w:tcBorders>
              <w:bottom w:val="single" w:sz="18" w:space="0" w:color="000000"/>
            </w:tcBorders>
            <w:vAlign w:val="center"/>
          </w:tcPr>
          <w:p w14:paraId="68C09418" w14:textId="77777777" w:rsidR="00E4519A" w:rsidRPr="004B0BFC" w:rsidRDefault="00E4519A" w:rsidP="00B30BCE">
            <w:pPr>
              <w:jc w:val="center"/>
              <w:rPr>
                <w:sz w:val="24"/>
                <w:lang w:eastAsia="ja-JP"/>
              </w:rPr>
            </w:pPr>
            <w:r w:rsidRPr="004B0BFC">
              <w:rPr>
                <w:sz w:val="24"/>
                <w:lang w:eastAsia="ja-JP"/>
              </w:rPr>
              <w:t>14</w:t>
            </w:r>
          </w:p>
        </w:tc>
        <w:tc>
          <w:tcPr>
            <w:tcW w:w="743" w:type="dxa"/>
            <w:tcBorders>
              <w:bottom w:val="single" w:sz="18" w:space="0" w:color="000000"/>
            </w:tcBorders>
            <w:vAlign w:val="center"/>
          </w:tcPr>
          <w:p w14:paraId="3EFE5D5F" w14:textId="77777777" w:rsidR="00E4519A" w:rsidRPr="004B0BFC" w:rsidRDefault="00E4519A" w:rsidP="00B30BCE">
            <w:pPr>
              <w:jc w:val="center"/>
              <w:rPr>
                <w:sz w:val="24"/>
                <w:lang w:eastAsia="ja-JP"/>
              </w:rPr>
            </w:pPr>
            <w:r w:rsidRPr="004B0BFC">
              <w:rPr>
                <w:sz w:val="24"/>
                <w:lang w:eastAsia="ja-JP"/>
              </w:rPr>
              <w:t>15</w:t>
            </w:r>
          </w:p>
        </w:tc>
        <w:tc>
          <w:tcPr>
            <w:tcW w:w="743" w:type="dxa"/>
            <w:tcBorders>
              <w:bottom w:val="single" w:sz="18" w:space="0" w:color="000000"/>
            </w:tcBorders>
            <w:vAlign w:val="center"/>
          </w:tcPr>
          <w:p w14:paraId="3F50DAA1" w14:textId="77777777" w:rsidR="00E4519A" w:rsidRPr="004B0BFC" w:rsidRDefault="00E4519A" w:rsidP="00B30BCE">
            <w:pPr>
              <w:jc w:val="center"/>
              <w:rPr>
                <w:sz w:val="24"/>
                <w:lang w:eastAsia="ja-JP"/>
              </w:rPr>
            </w:pPr>
            <w:r>
              <w:rPr>
                <w:sz w:val="24"/>
                <w:lang w:eastAsia="ja-JP"/>
              </w:rPr>
              <w:t>16</w:t>
            </w:r>
          </w:p>
        </w:tc>
      </w:tr>
      <w:tr w:rsidR="00E4519A" w:rsidRPr="004B0BFC" w14:paraId="1A94788A" w14:textId="77777777" w:rsidTr="00B30BCE">
        <w:trPr>
          <w:trHeight w:val="490"/>
        </w:trPr>
        <w:tc>
          <w:tcPr>
            <w:tcW w:w="898" w:type="dxa"/>
            <w:tcBorders>
              <w:right w:val="single" w:sz="18" w:space="0" w:color="000000"/>
            </w:tcBorders>
            <w:vAlign w:val="center"/>
          </w:tcPr>
          <w:p w14:paraId="040B4D6E" w14:textId="77777777" w:rsidR="00E4519A" w:rsidRPr="00C306F8" w:rsidRDefault="00E4519A" w:rsidP="00B30BCE">
            <w:pPr>
              <w:jc w:val="center"/>
              <w:rPr>
                <w:b/>
                <w:sz w:val="24"/>
                <w:lang w:eastAsia="ja-JP"/>
              </w:rPr>
            </w:pPr>
            <w:r>
              <w:rPr>
                <w:b/>
                <w:sz w:val="24"/>
                <w:lang w:eastAsia="ja-JP"/>
              </w:rPr>
              <w:t>T1</w:t>
            </w:r>
          </w:p>
        </w:tc>
        <w:tc>
          <w:tcPr>
            <w:tcW w:w="744" w:type="dxa"/>
            <w:tcBorders>
              <w:top w:val="single" w:sz="18" w:space="0" w:color="000000"/>
              <w:left w:val="single" w:sz="18" w:space="0" w:color="000000"/>
              <w:bottom w:val="single" w:sz="18" w:space="0" w:color="000000"/>
              <w:right w:val="dotted" w:sz="4" w:space="0" w:color="auto"/>
            </w:tcBorders>
            <w:shd w:val="pct10" w:color="auto" w:fill="auto"/>
            <w:vAlign w:val="center"/>
          </w:tcPr>
          <w:p w14:paraId="40A62B95" w14:textId="77777777" w:rsidR="00E4519A" w:rsidRPr="006B4051" w:rsidRDefault="00E4519A" w:rsidP="00B30BCE">
            <w:pPr>
              <w:jc w:val="center"/>
              <w:rPr>
                <w:sz w:val="22"/>
                <w:szCs w:val="22"/>
                <w:lang w:eastAsia="ja-JP"/>
              </w:rPr>
            </w:pPr>
            <w:r>
              <w:rPr>
                <w:rFonts w:hint="eastAsia"/>
                <w:sz w:val="22"/>
                <w:szCs w:val="22"/>
                <w:lang w:eastAsia="ja-JP"/>
              </w:rPr>
              <w:t>1.423</w:t>
            </w:r>
          </w:p>
        </w:tc>
        <w:tc>
          <w:tcPr>
            <w:tcW w:w="744" w:type="dxa"/>
            <w:tcBorders>
              <w:top w:val="single" w:sz="18" w:space="0" w:color="000000"/>
              <w:left w:val="dotted" w:sz="4" w:space="0" w:color="auto"/>
              <w:bottom w:val="single" w:sz="18" w:space="0" w:color="000000"/>
              <w:right w:val="dotted" w:sz="4" w:space="0" w:color="auto"/>
            </w:tcBorders>
            <w:shd w:val="pct10" w:color="auto" w:fill="auto"/>
            <w:vAlign w:val="center"/>
          </w:tcPr>
          <w:p w14:paraId="41E2DCEE" w14:textId="77777777" w:rsidR="00E4519A" w:rsidRPr="006B4051" w:rsidRDefault="00E4519A" w:rsidP="00B30BCE">
            <w:pPr>
              <w:jc w:val="center"/>
              <w:rPr>
                <w:sz w:val="22"/>
                <w:szCs w:val="22"/>
                <w:lang w:eastAsia="ja-JP"/>
              </w:rPr>
            </w:pPr>
            <w:r>
              <w:rPr>
                <w:rFonts w:hint="eastAsia"/>
                <w:sz w:val="22"/>
                <w:szCs w:val="22"/>
                <w:lang w:eastAsia="ja-JP"/>
              </w:rPr>
              <w:t>0.582</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37425C38" w14:textId="77777777" w:rsidR="00E4519A" w:rsidRPr="006B4051" w:rsidRDefault="00E4519A" w:rsidP="00B30BCE">
            <w:pPr>
              <w:jc w:val="center"/>
              <w:rPr>
                <w:sz w:val="22"/>
                <w:szCs w:val="22"/>
                <w:lang w:eastAsia="ja-JP"/>
              </w:rPr>
            </w:pPr>
            <w:r>
              <w:rPr>
                <w:rFonts w:hint="eastAsia"/>
                <w:sz w:val="22"/>
                <w:szCs w:val="22"/>
                <w:lang w:eastAsia="ja-JP"/>
              </w:rPr>
              <w:t>0.354</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07D8AE4F" w14:textId="77777777" w:rsidR="00E4519A" w:rsidRPr="006B4051" w:rsidRDefault="00E4519A" w:rsidP="00B30BCE">
            <w:pPr>
              <w:jc w:val="center"/>
              <w:rPr>
                <w:sz w:val="22"/>
                <w:szCs w:val="22"/>
                <w:lang w:eastAsia="ja-JP"/>
              </w:rPr>
            </w:pPr>
            <w:r>
              <w:rPr>
                <w:rFonts w:hint="eastAsia"/>
                <w:sz w:val="22"/>
                <w:szCs w:val="22"/>
                <w:lang w:eastAsia="ja-JP"/>
              </w:rPr>
              <w:t>0.293</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1EA3B7A3" w14:textId="77777777" w:rsidR="00E4519A" w:rsidRPr="006B4051" w:rsidRDefault="00E4519A" w:rsidP="00B30BCE">
            <w:pPr>
              <w:jc w:val="center"/>
              <w:rPr>
                <w:sz w:val="22"/>
                <w:szCs w:val="22"/>
                <w:lang w:eastAsia="ja-JP"/>
              </w:rPr>
            </w:pPr>
            <w:r>
              <w:rPr>
                <w:rFonts w:hint="eastAsia"/>
                <w:sz w:val="22"/>
                <w:szCs w:val="22"/>
                <w:lang w:eastAsia="ja-JP"/>
              </w:rPr>
              <w:t>0.329</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09C89EC4" w14:textId="77777777" w:rsidR="00E4519A" w:rsidRPr="006B4051" w:rsidRDefault="00E4519A" w:rsidP="00B30BCE">
            <w:pPr>
              <w:jc w:val="center"/>
              <w:rPr>
                <w:sz w:val="22"/>
                <w:szCs w:val="22"/>
                <w:lang w:eastAsia="ja-JP"/>
              </w:rPr>
            </w:pPr>
            <w:r>
              <w:rPr>
                <w:rFonts w:hint="eastAsia"/>
                <w:sz w:val="22"/>
                <w:szCs w:val="22"/>
                <w:lang w:eastAsia="ja-JP"/>
              </w:rPr>
              <w:t>0.301</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707F81AB" w14:textId="77777777" w:rsidR="00E4519A" w:rsidRPr="006B4051" w:rsidRDefault="00E4519A" w:rsidP="00B30BCE">
            <w:pPr>
              <w:jc w:val="center"/>
              <w:rPr>
                <w:sz w:val="22"/>
                <w:szCs w:val="22"/>
                <w:lang w:eastAsia="ja-JP"/>
              </w:rPr>
            </w:pPr>
            <w:r>
              <w:rPr>
                <w:rFonts w:hint="eastAsia"/>
                <w:sz w:val="22"/>
                <w:szCs w:val="22"/>
                <w:lang w:eastAsia="ja-JP"/>
              </w:rPr>
              <w:t>0.321</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669E6D5D" w14:textId="77777777" w:rsidR="00E4519A" w:rsidRPr="006B4051" w:rsidRDefault="00E4519A" w:rsidP="00B30BCE">
            <w:pPr>
              <w:jc w:val="center"/>
              <w:rPr>
                <w:sz w:val="22"/>
                <w:szCs w:val="22"/>
                <w:lang w:eastAsia="ja-JP"/>
              </w:rPr>
            </w:pPr>
            <w:r>
              <w:rPr>
                <w:rFonts w:hint="eastAsia"/>
                <w:sz w:val="22"/>
                <w:szCs w:val="22"/>
                <w:lang w:eastAsia="ja-JP"/>
              </w:rPr>
              <w:t>0.390</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66D66685" w14:textId="77777777" w:rsidR="00E4519A" w:rsidRPr="006B4051" w:rsidRDefault="00E4519A" w:rsidP="00B30BCE">
            <w:pPr>
              <w:jc w:val="center"/>
              <w:rPr>
                <w:sz w:val="22"/>
                <w:szCs w:val="22"/>
                <w:lang w:eastAsia="ja-JP"/>
              </w:rPr>
            </w:pPr>
            <w:r>
              <w:rPr>
                <w:rFonts w:hint="eastAsia"/>
                <w:sz w:val="22"/>
                <w:szCs w:val="22"/>
                <w:lang w:eastAsia="ja-JP"/>
              </w:rPr>
              <w:t>0.374</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4A27DF12" w14:textId="77777777" w:rsidR="00E4519A" w:rsidRPr="006B4051" w:rsidRDefault="00E4519A" w:rsidP="00B30BCE">
            <w:pPr>
              <w:jc w:val="center"/>
              <w:rPr>
                <w:sz w:val="22"/>
                <w:szCs w:val="22"/>
                <w:lang w:eastAsia="ja-JP"/>
              </w:rPr>
            </w:pPr>
            <w:r>
              <w:rPr>
                <w:rFonts w:hint="eastAsia"/>
                <w:sz w:val="22"/>
                <w:szCs w:val="22"/>
                <w:lang w:eastAsia="ja-JP"/>
              </w:rPr>
              <w:t>0.382</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76A59ECF" w14:textId="77777777" w:rsidR="00E4519A" w:rsidRPr="006B4051" w:rsidRDefault="00E4519A" w:rsidP="00B30BCE">
            <w:pPr>
              <w:jc w:val="center"/>
              <w:rPr>
                <w:sz w:val="22"/>
                <w:szCs w:val="22"/>
                <w:lang w:eastAsia="ja-JP"/>
              </w:rPr>
            </w:pPr>
            <w:r>
              <w:rPr>
                <w:rFonts w:hint="eastAsia"/>
                <w:sz w:val="22"/>
                <w:szCs w:val="22"/>
                <w:lang w:eastAsia="ja-JP"/>
              </w:rPr>
              <w:t>0.396</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4ACA7345" w14:textId="77777777" w:rsidR="00E4519A" w:rsidRPr="006B4051" w:rsidRDefault="00E4519A" w:rsidP="00B30BCE">
            <w:pPr>
              <w:jc w:val="center"/>
              <w:rPr>
                <w:sz w:val="22"/>
                <w:szCs w:val="22"/>
                <w:lang w:eastAsia="ja-JP"/>
              </w:rPr>
            </w:pPr>
            <w:r>
              <w:rPr>
                <w:rFonts w:hint="eastAsia"/>
                <w:sz w:val="22"/>
                <w:szCs w:val="22"/>
                <w:lang w:eastAsia="ja-JP"/>
              </w:rPr>
              <w:t>0.303</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53B4F282" w14:textId="77777777" w:rsidR="00E4519A" w:rsidRPr="006B4051" w:rsidRDefault="00E4519A" w:rsidP="00B30BCE">
            <w:pPr>
              <w:jc w:val="center"/>
              <w:rPr>
                <w:sz w:val="22"/>
                <w:szCs w:val="22"/>
                <w:lang w:eastAsia="ja-JP"/>
              </w:rPr>
            </w:pPr>
            <w:r>
              <w:rPr>
                <w:rFonts w:hint="eastAsia"/>
                <w:sz w:val="22"/>
                <w:szCs w:val="22"/>
                <w:lang w:eastAsia="ja-JP"/>
              </w:rPr>
              <w:t>0.323</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5FC85A43" w14:textId="77777777" w:rsidR="00E4519A" w:rsidRPr="006B4051" w:rsidRDefault="00E4519A" w:rsidP="00B30BCE">
            <w:pPr>
              <w:jc w:val="center"/>
              <w:rPr>
                <w:sz w:val="22"/>
                <w:szCs w:val="22"/>
                <w:lang w:eastAsia="ja-JP"/>
              </w:rPr>
            </w:pPr>
            <w:r>
              <w:rPr>
                <w:rFonts w:hint="eastAsia"/>
                <w:sz w:val="22"/>
                <w:szCs w:val="22"/>
                <w:lang w:eastAsia="ja-JP"/>
              </w:rPr>
              <w:t>0.286</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243BB1E8" w14:textId="77777777" w:rsidR="00E4519A" w:rsidRPr="006B4051" w:rsidRDefault="00E4519A" w:rsidP="00B30BCE">
            <w:pPr>
              <w:jc w:val="center"/>
              <w:rPr>
                <w:sz w:val="22"/>
                <w:szCs w:val="22"/>
                <w:lang w:eastAsia="ja-JP"/>
              </w:rPr>
            </w:pPr>
            <w:r>
              <w:rPr>
                <w:rFonts w:hint="eastAsia"/>
                <w:sz w:val="22"/>
                <w:szCs w:val="22"/>
                <w:lang w:eastAsia="ja-JP"/>
              </w:rPr>
              <w:t>0.387</w:t>
            </w:r>
          </w:p>
        </w:tc>
        <w:tc>
          <w:tcPr>
            <w:tcW w:w="743" w:type="dxa"/>
            <w:tcBorders>
              <w:top w:val="single" w:sz="18" w:space="0" w:color="000000"/>
              <w:left w:val="dotted" w:sz="4" w:space="0" w:color="auto"/>
              <w:bottom w:val="single" w:sz="18" w:space="0" w:color="000000"/>
              <w:right w:val="single" w:sz="18" w:space="0" w:color="000000"/>
            </w:tcBorders>
            <w:shd w:val="pct10" w:color="auto" w:fill="auto"/>
            <w:vAlign w:val="center"/>
          </w:tcPr>
          <w:p w14:paraId="2124C489" w14:textId="77777777" w:rsidR="00E4519A" w:rsidRPr="006B4051" w:rsidRDefault="00E4519A" w:rsidP="00B30BCE">
            <w:pPr>
              <w:jc w:val="center"/>
              <w:rPr>
                <w:sz w:val="22"/>
                <w:szCs w:val="22"/>
                <w:lang w:eastAsia="ja-JP"/>
              </w:rPr>
            </w:pPr>
            <w:r>
              <w:rPr>
                <w:rFonts w:hint="eastAsia"/>
                <w:sz w:val="22"/>
                <w:szCs w:val="22"/>
                <w:lang w:eastAsia="ja-JP"/>
              </w:rPr>
              <w:t>0.259</w:t>
            </w:r>
          </w:p>
        </w:tc>
      </w:tr>
      <w:tr w:rsidR="00E4519A" w:rsidRPr="0025160E" w14:paraId="21ABBCE6" w14:textId="77777777" w:rsidTr="00B30BCE">
        <w:trPr>
          <w:trHeight w:val="499"/>
        </w:trPr>
        <w:tc>
          <w:tcPr>
            <w:tcW w:w="898" w:type="dxa"/>
            <w:tcBorders>
              <w:right w:val="single" w:sz="18" w:space="0" w:color="000000"/>
            </w:tcBorders>
            <w:vAlign w:val="center"/>
          </w:tcPr>
          <w:p w14:paraId="4CE10586" w14:textId="77777777" w:rsidR="00E4519A" w:rsidRPr="00C306F8" w:rsidRDefault="00E4519A" w:rsidP="00B30BCE">
            <w:pPr>
              <w:jc w:val="center"/>
              <w:rPr>
                <w:b/>
                <w:sz w:val="24"/>
                <w:lang w:eastAsia="ja-JP"/>
              </w:rPr>
            </w:pPr>
            <w:r>
              <w:rPr>
                <w:rFonts w:hint="eastAsia"/>
                <w:b/>
                <w:sz w:val="24"/>
                <w:lang w:eastAsia="ja-JP"/>
              </w:rPr>
              <w:t>T2</w:t>
            </w:r>
          </w:p>
        </w:tc>
        <w:tc>
          <w:tcPr>
            <w:tcW w:w="744"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6F9DB2C7" w14:textId="77777777" w:rsidR="00E4519A" w:rsidRPr="006B4051" w:rsidRDefault="00E4519A" w:rsidP="00B30BCE">
            <w:pPr>
              <w:jc w:val="center"/>
              <w:rPr>
                <w:sz w:val="22"/>
                <w:szCs w:val="22"/>
                <w:lang w:eastAsia="ja-JP"/>
              </w:rPr>
            </w:pPr>
            <w:r>
              <w:rPr>
                <w:rFonts w:hint="eastAsia"/>
                <w:sz w:val="22"/>
                <w:szCs w:val="22"/>
                <w:lang w:eastAsia="ja-JP"/>
              </w:rPr>
              <w:t>1.825</w:t>
            </w:r>
          </w:p>
        </w:tc>
        <w:tc>
          <w:tcPr>
            <w:tcW w:w="744" w:type="dxa"/>
            <w:tcBorders>
              <w:top w:val="single" w:sz="18" w:space="0" w:color="000000"/>
              <w:left w:val="dotted" w:sz="4" w:space="0" w:color="auto"/>
              <w:bottom w:val="single" w:sz="18" w:space="0" w:color="000000"/>
              <w:right w:val="dotted" w:sz="4" w:space="0" w:color="auto"/>
            </w:tcBorders>
            <w:shd w:val="clear" w:color="auto" w:fill="auto"/>
            <w:vAlign w:val="center"/>
          </w:tcPr>
          <w:p w14:paraId="0FE078FA" w14:textId="77777777" w:rsidR="00E4519A" w:rsidRPr="006B4051" w:rsidRDefault="00E4519A" w:rsidP="00B30BCE">
            <w:pPr>
              <w:jc w:val="center"/>
              <w:rPr>
                <w:sz w:val="22"/>
                <w:szCs w:val="22"/>
                <w:lang w:eastAsia="ja-JP"/>
              </w:rPr>
            </w:pPr>
            <w:r>
              <w:rPr>
                <w:rFonts w:hint="eastAsia"/>
                <w:sz w:val="22"/>
                <w:szCs w:val="22"/>
                <w:lang w:eastAsia="ja-JP"/>
              </w:rPr>
              <w:t>1.016</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318DCBE3" w14:textId="77777777" w:rsidR="00E4519A" w:rsidRPr="006B4051" w:rsidRDefault="00E4519A" w:rsidP="00B30BCE">
            <w:pPr>
              <w:jc w:val="center"/>
              <w:rPr>
                <w:sz w:val="22"/>
                <w:szCs w:val="22"/>
                <w:lang w:eastAsia="ja-JP"/>
              </w:rPr>
            </w:pPr>
            <w:r>
              <w:rPr>
                <w:rFonts w:hint="eastAsia"/>
                <w:sz w:val="22"/>
                <w:szCs w:val="22"/>
                <w:lang w:eastAsia="ja-JP"/>
              </w:rPr>
              <w:t>0.310</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27D39EBB" w14:textId="77777777" w:rsidR="00E4519A" w:rsidRPr="006B4051" w:rsidRDefault="00E4519A" w:rsidP="00B30BCE">
            <w:pPr>
              <w:jc w:val="center"/>
              <w:rPr>
                <w:sz w:val="22"/>
                <w:szCs w:val="22"/>
                <w:lang w:eastAsia="ja-JP"/>
              </w:rPr>
            </w:pPr>
            <w:r>
              <w:rPr>
                <w:rFonts w:hint="eastAsia"/>
                <w:sz w:val="22"/>
                <w:szCs w:val="22"/>
                <w:lang w:eastAsia="ja-JP"/>
              </w:rPr>
              <w:t>0.406</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7C7D288C" w14:textId="77777777" w:rsidR="00E4519A" w:rsidRPr="006B4051" w:rsidRDefault="00E4519A" w:rsidP="00B30BCE">
            <w:pPr>
              <w:jc w:val="center"/>
              <w:rPr>
                <w:sz w:val="22"/>
                <w:szCs w:val="22"/>
                <w:lang w:eastAsia="ja-JP"/>
              </w:rPr>
            </w:pPr>
            <w:r>
              <w:rPr>
                <w:rFonts w:hint="eastAsia"/>
                <w:sz w:val="22"/>
                <w:szCs w:val="22"/>
                <w:lang w:eastAsia="ja-JP"/>
              </w:rPr>
              <w:t>0.467</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68898109" w14:textId="77777777" w:rsidR="00E4519A" w:rsidRPr="006B4051" w:rsidRDefault="00E4519A" w:rsidP="00B30BCE">
            <w:pPr>
              <w:jc w:val="center"/>
              <w:rPr>
                <w:sz w:val="22"/>
                <w:szCs w:val="22"/>
                <w:lang w:eastAsia="ja-JP"/>
              </w:rPr>
            </w:pPr>
            <w:r>
              <w:rPr>
                <w:rFonts w:hint="eastAsia"/>
                <w:sz w:val="22"/>
                <w:szCs w:val="22"/>
                <w:lang w:eastAsia="ja-JP"/>
              </w:rPr>
              <w:t>0.536</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7E2831F9" w14:textId="77777777" w:rsidR="00E4519A" w:rsidRPr="006B4051" w:rsidRDefault="00E4519A" w:rsidP="00B30BCE">
            <w:pPr>
              <w:jc w:val="center"/>
              <w:rPr>
                <w:sz w:val="22"/>
                <w:szCs w:val="22"/>
                <w:lang w:eastAsia="ja-JP"/>
              </w:rPr>
            </w:pPr>
            <w:r>
              <w:rPr>
                <w:rFonts w:hint="eastAsia"/>
                <w:sz w:val="22"/>
                <w:szCs w:val="22"/>
                <w:lang w:eastAsia="ja-JP"/>
              </w:rPr>
              <w:t>0.541</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67121963" w14:textId="77777777" w:rsidR="00E4519A" w:rsidRPr="006B4051" w:rsidRDefault="00E4519A" w:rsidP="00B30BCE">
            <w:pPr>
              <w:jc w:val="center"/>
              <w:rPr>
                <w:sz w:val="22"/>
                <w:szCs w:val="22"/>
                <w:lang w:eastAsia="ja-JP"/>
              </w:rPr>
            </w:pPr>
            <w:r>
              <w:rPr>
                <w:rFonts w:hint="eastAsia"/>
                <w:sz w:val="22"/>
                <w:szCs w:val="22"/>
                <w:lang w:eastAsia="ja-JP"/>
              </w:rPr>
              <w:t>0.477</w:t>
            </w:r>
          </w:p>
        </w:tc>
        <w:tc>
          <w:tcPr>
            <w:tcW w:w="743" w:type="dxa"/>
            <w:tcBorders>
              <w:top w:val="single" w:sz="18" w:space="0" w:color="000000"/>
              <w:left w:val="single" w:sz="18" w:space="0" w:color="000000"/>
              <w:bottom w:val="single" w:sz="18" w:space="0" w:color="000000"/>
              <w:right w:val="dotted" w:sz="4" w:space="0" w:color="auto"/>
            </w:tcBorders>
            <w:shd w:val="pct10" w:color="auto" w:fill="auto"/>
            <w:vAlign w:val="center"/>
          </w:tcPr>
          <w:p w14:paraId="3C64D597" w14:textId="77777777" w:rsidR="00E4519A" w:rsidRPr="006B4051" w:rsidRDefault="00E4519A" w:rsidP="00B30BCE">
            <w:pPr>
              <w:jc w:val="center"/>
              <w:rPr>
                <w:sz w:val="22"/>
                <w:szCs w:val="22"/>
                <w:lang w:eastAsia="ja-JP"/>
              </w:rPr>
            </w:pPr>
            <w:r>
              <w:rPr>
                <w:rFonts w:hint="eastAsia"/>
                <w:sz w:val="22"/>
                <w:szCs w:val="22"/>
                <w:lang w:eastAsia="ja-JP"/>
              </w:rPr>
              <w:t>0.676</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0362C78B" w14:textId="77777777" w:rsidR="00E4519A" w:rsidRPr="006B4051" w:rsidRDefault="00E4519A" w:rsidP="00B30BCE">
            <w:pPr>
              <w:jc w:val="center"/>
              <w:rPr>
                <w:sz w:val="22"/>
                <w:szCs w:val="22"/>
                <w:lang w:eastAsia="ja-JP"/>
              </w:rPr>
            </w:pPr>
            <w:r>
              <w:rPr>
                <w:rFonts w:hint="eastAsia"/>
                <w:sz w:val="22"/>
                <w:szCs w:val="22"/>
                <w:lang w:eastAsia="ja-JP"/>
              </w:rPr>
              <w:t>0.865</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7F8DD01F" w14:textId="77777777" w:rsidR="00E4519A" w:rsidRPr="006B4051" w:rsidRDefault="00E4519A" w:rsidP="00B30BCE">
            <w:pPr>
              <w:jc w:val="center"/>
              <w:rPr>
                <w:sz w:val="22"/>
                <w:szCs w:val="22"/>
                <w:lang w:eastAsia="ja-JP"/>
              </w:rPr>
            </w:pPr>
            <w:r>
              <w:rPr>
                <w:rFonts w:hint="eastAsia"/>
                <w:sz w:val="22"/>
                <w:szCs w:val="22"/>
                <w:lang w:eastAsia="ja-JP"/>
              </w:rPr>
              <w:t>0.705</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7E76310A" w14:textId="77777777" w:rsidR="00E4519A" w:rsidRPr="006B4051" w:rsidRDefault="00E4519A" w:rsidP="00B30BCE">
            <w:pPr>
              <w:jc w:val="center"/>
              <w:rPr>
                <w:sz w:val="22"/>
                <w:szCs w:val="22"/>
                <w:lang w:eastAsia="ja-JP"/>
              </w:rPr>
            </w:pPr>
            <w:r>
              <w:rPr>
                <w:rFonts w:hint="eastAsia"/>
                <w:sz w:val="22"/>
                <w:szCs w:val="22"/>
                <w:lang w:eastAsia="ja-JP"/>
              </w:rPr>
              <w:t>0.313</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17444F89" w14:textId="77777777" w:rsidR="00E4519A" w:rsidRPr="006B4051" w:rsidRDefault="00E4519A" w:rsidP="00B30BCE">
            <w:pPr>
              <w:jc w:val="center"/>
              <w:rPr>
                <w:sz w:val="22"/>
                <w:szCs w:val="22"/>
                <w:lang w:eastAsia="ja-JP"/>
              </w:rPr>
            </w:pPr>
            <w:r>
              <w:rPr>
                <w:rFonts w:hint="eastAsia"/>
                <w:sz w:val="22"/>
                <w:szCs w:val="22"/>
                <w:lang w:eastAsia="ja-JP"/>
              </w:rPr>
              <w:t>0.232</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32ABFAD6" w14:textId="77777777" w:rsidR="00E4519A" w:rsidRPr="006B4051" w:rsidRDefault="00E4519A" w:rsidP="00B30BCE">
            <w:pPr>
              <w:jc w:val="center"/>
              <w:rPr>
                <w:sz w:val="22"/>
                <w:szCs w:val="22"/>
                <w:lang w:eastAsia="ja-JP"/>
              </w:rPr>
            </w:pPr>
            <w:r>
              <w:rPr>
                <w:rFonts w:hint="eastAsia"/>
                <w:sz w:val="22"/>
                <w:szCs w:val="22"/>
                <w:lang w:eastAsia="ja-JP"/>
              </w:rPr>
              <w:t>0.468</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0AC2A2D6" w14:textId="77777777" w:rsidR="00E4519A" w:rsidRPr="006B4051" w:rsidRDefault="00E4519A" w:rsidP="00B30BCE">
            <w:pPr>
              <w:jc w:val="center"/>
              <w:rPr>
                <w:sz w:val="22"/>
                <w:szCs w:val="22"/>
                <w:lang w:eastAsia="ja-JP"/>
              </w:rPr>
            </w:pPr>
            <w:r>
              <w:rPr>
                <w:rFonts w:hint="eastAsia"/>
                <w:sz w:val="22"/>
                <w:szCs w:val="22"/>
                <w:lang w:eastAsia="ja-JP"/>
              </w:rPr>
              <w:t>0.232</w:t>
            </w:r>
          </w:p>
        </w:tc>
        <w:tc>
          <w:tcPr>
            <w:tcW w:w="743" w:type="dxa"/>
            <w:tcBorders>
              <w:top w:val="single" w:sz="18" w:space="0" w:color="000000"/>
              <w:left w:val="dotted" w:sz="4" w:space="0" w:color="auto"/>
              <w:bottom w:val="single" w:sz="18" w:space="0" w:color="000000"/>
              <w:right w:val="single" w:sz="18" w:space="0" w:color="000000"/>
            </w:tcBorders>
            <w:shd w:val="pct10" w:color="auto" w:fill="auto"/>
            <w:vAlign w:val="center"/>
          </w:tcPr>
          <w:p w14:paraId="67ED9CF8" w14:textId="77777777" w:rsidR="00E4519A" w:rsidRPr="006B4051" w:rsidRDefault="00E4519A" w:rsidP="00B30BCE">
            <w:pPr>
              <w:jc w:val="center"/>
              <w:rPr>
                <w:sz w:val="22"/>
                <w:szCs w:val="22"/>
                <w:lang w:eastAsia="ja-JP"/>
              </w:rPr>
            </w:pPr>
            <w:r>
              <w:rPr>
                <w:rFonts w:hint="eastAsia"/>
                <w:sz w:val="22"/>
                <w:szCs w:val="22"/>
                <w:lang w:eastAsia="ja-JP"/>
              </w:rPr>
              <w:t>0.179</w:t>
            </w:r>
          </w:p>
        </w:tc>
      </w:tr>
      <w:tr w:rsidR="00E4519A" w:rsidRPr="004B0BFC" w14:paraId="156E63DC" w14:textId="77777777" w:rsidTr="00B30BCE">
        <w:trPr>
          <w:trHeight w:val="481"/>
        </w:trPr>
        <w:tc>
          <w:tcPr>
            <w:tcW w:w="898" w:type="dxa"/>
            <w:tcBorders>
              <w:right w:val="single" w:sz="18" w:space="0" w:color="000000"/>
            </w:tcBorders>
            <w:vAlign w:val="center"/>
          </w:tcPr>
          <w:p w14:paraId="547A7F1F" w14:textId="77777777" w:rsidR="00E4519A" w:rsidRPr="00C306F8" w:rsidRDefault="00E4519A" w:rsidP="00B30BCE">
            <w:pPr>
              <w:jc w:val="center"/>
              <w:rPr>
                <w:b/>
                <w:sz w:val="24"/>
                <w:lang w:eastAsia="ja-JP"/>
              </w:rPr>
            </w:pPr>
            <w:r>
              <w:rPr>
                <w:rFonts w:hint="eastAsia"/>
                <w:b/>
                <w:sz w:val="24"/>
                <w:lang w:eastAsia="ja-JP"/>
              </w:rPr>
              <w:t>T4</w:t>
            </w:r>
          </w:p>
        </w:tc>
        <w:tc>
          <w:tcPr>
            <w:tcW w:w="744" w:type="dxa"/>
            <w:tcBorders>
              <w:top w:val="single" w:sz="18" w:space="0" w:color="000000"/>
              <w:left w:val="single" w:sz="18" w:space="0" w:color="000000"/>
              <w:bottom w:val="single" w:sz="18" w:space="0" w:color="000000"/>
              <w:right w:val="dotted" w:sz="4" w:space="0" w:color="auto"/>
            </w:tcBorders>
            <w:vAlign w:val="center"/>
          </w:tcPr>
          <w:p w14:paraId="7A6BB19C" w14:textId="77777777" w:rsidR="00E4519A" w:rsidRPr="006B4051" w:rsidRDefault="00E4519A" w:rsidP="00B30BCE">
            <w:pPr>
              <w:jc w:val="center"/>
              <w:rPr>
                <w:sz w:val="22"/>
                <w:szCs w:val="22"/>
                <w:lang w:eastAsia="ja-JP"/>
              </w:rPr>
            </w:pPr>
            <w:r>
              <w:rPr>
                <w:rFonts w:hint="eastAsia"/>
                <w:sz w:val="22"/>
                <w:szCs w:val="22"/>
                <w:lang w:eastAsia="ja-JP"/>
              </w:rPr>
              <w:t>1.552</w:t>
            </w:r>
          </w:p>
        </w:tc>
        <w:tc>
          <w:tcPr>
            <w:tcW w:w="744" w:type="dxa"/>
            <w:tcBorders>
              <w:top w:val="single" w:sz="18" w:space="0" w:color="000000"/>
              <w:left w:val="dotted" w:sz="4" w:space="0" w:color="auto"/>
              <w:bottom w:val="single" w:sz="18" w:space="0" w:color="000000"/>
              <w:right w:val="dotted" w:sz="4" w:space="0" w:color="auto"/>
            </w:tcBorders>
            <w:vAlign w:val="center"/>
          </w:tcPr>
          <w:p w14:paraId="1089965A" w14:textId="77777777" w:rsidR="00E4519A" w:rsidRPr="006B4051" w:rsidRDefault="00E4519A" w:rsidP="00B30BCE">
            <w:pPr>
              <w:jc w:val="center"/>
              <w:rPr>
                <w:sz w:val="22"/>
                <w:szCs w:val="22"/>
                <w:lang w:eastAsia="ja-JP"/>
              </w:rPr>
            </w:pPr>
            <w:r>
              <w:rPr>
                <w:rFonts w:hint="eastAsia"/>
                <w:sz w:val="22"/>
                <w:szCs w:val="22"/>
                <w:lang w:eastAsia="ja-JP"/>
              </w:rPr>
              <w:t>1.471</w:t>
            </w:r>
          </w:p>
        </w:tc>
        <w:tc>
          <w:tcPr>
            <w:tcW w:w="743" w:type="dxa"/>
            <w:tcBorders>
              <w:top w:val="single" w:sz="18" w:space="0" w:color="000000"/>
              <w:left w:val="dotted" w:sz="4" w:space="0" w:color="auto"/>
              <w:bottom w:val="single" w:sz="18" w:space="0" w:color="000000"/>
              <w:right w:val="dotted" w:sz="4" w:space="0" w:color="auto"/>
            </w:tcBorders>
            <w:vAlign w:val="center"/>
          </w:tcPr>
          <w:p w14:paraId="0959A4BC" w14:textId="77777777" w:rsidR="00E4519A" w:rsidRPr="006B4051" w:rsidRDefault="00E4519A" w:rsidP="00B30BCE">
            <w:pPr>
              <w:jc w:val="center"/>
              <w:rPr>
                <w:sz w:val="22"/>
                <w:szCs w:val="22"/>
                <w:lang w:eastAsia="ja-JP"/>
              </w:rPr>
            </w:pPr>
            <w:r>
              <w:rPr>
                <w:rFonts w:hint="eastAsia"/>
                <w:sz w:val="22"/>
                <w:szCs w:val="22"/>
                <w:lang w:eastAsia="ja-JP"/>
              </w:rPr>
              <w:t>1.342</w:t>
            </w:r>
          </w:p>
        </w:tc>
        <w:tc>
          <w:tcPr>
            <w:tcW w:w="743" w:type="dxa"/>
            <w:tcBorders>
              <w:top w:val="single" w:sz="18" w:space="0" w:color="000000"/>
              <w:left w:val="dotted" w:sz="4" w:space="0" w:color="auto"/>
              <w:bottom w:val="single" w:sz="18" w:space="0" w:color="000000"/>
              <w:right w:val="single" w:sz="18" w:space="0" w:color="000000"/>
            </w:tcBorders>
            <w:vAlign w:val="center"/>
          </w:tcPr>
          <w:p w14:paraId="4F116FF3" w14:textId="77777777" w:rsidR="00E4519A" w:rsidRPr="006B4051" w:rsidRDefault="00E4519A" w:rsidP="00B30BCE">
            <w:pPr>
              <w:jc w:val="center"/>
              <w:rPr>
                <w:sz w:val="22"/>
                <w:szCs w:val="22"/>
                <w:lang w:eastAsia="ja-JP"/>
              </w:rPr>
            </w:pPr>
            <w:r>
              <w:rPr>
                <w:rFonts w:hint="eastAsia"/>
                <w:sz w:val="22"/>
                <w:szCs w:val="22"/>
                <w:lang w:eastAsia="ja-JP"/>
              </w:rPr>
              <w:t>1.038</w:t>
            </w:r>
          </w:p>
        </w:tc>
        <w:tc>
          <w:tcPr>
            <w:tcW w:w="743" w:type="dxa"/>
            <w:tcBorders>
              <w:top w:val="single" w:sz="18" w:space="0" w:color="000000"/>
              <w:left w:val="single" w:sz="18" w:space="0" w:color="000000"/>
              <w:bottom w:val="single" w:sz="18" w:space="0" w:color="000000"/>
              <w:right w:val="dotted" w:sz="4" w:space="0" w:color="auto"/>
            </w:tcBorders>
            <w:vAlign w:val="center"/>
          </w:tcPr>
          <w:p w14:paraId="6B00AB32" w14:textId="77777777" w:rsidR="00E4519A" w:rsidRPr="006B4051" w:rsidRDefault="00E4519A" w:rsidP="00B30BCE">
            <w:pPr>
              <w:jc w:val="center"/>
              <w:rPr>
                <w:sz w:val="22"/>
                <w:szCs w:val="22"/>
                <w:lang w:eastAsia="ja-JP"/>
              </w:rPr>
            </w:pPr>
            <w:r>
              <w:rPr>
                <w:rFonts w:hint="eastAsia"/>
                <w:sz w:val="22"/>
                <w:szCs w:val="22"/>
                <w:lang w:eastAsia="ja-JP"/>
              </w:rPr>
              <w:t>1.182</w:t>
            </w:r>
          </w:p>
        </w:tc>
        <w:tc>
          <w:tcPr>
            <w:tcW w:w="743" w:type="dxa"/>
            <w:tcBorders>
              <w:top w:val="single" w:sz="18" w:space="0" w:color="000000"/>
              <w:left w:val="dotted" w:sz="4" w:space="0" w:color="auto"/>
              <w:bottom w:val="single" w:sz="18" w:space="0" w:color="000000"/>
              <w:right w:val="dotted" w:sz="4" w:space="0" w:color="auto"/>
            </w:tcBorders>
            <w:vAlign w:val="center"/>
          </w:tcPr>
          <w:p w14:paraId="13B488EA" w14:textId="77777777" w:rsidR="00E4519A" w:rsidRPr="006B4051" w:rsidRDefault="00E4519A" w:rsidP="00B30BCE">
            <w:pPr>
              <w:jc w:val="center"/>
              <w:rPr>
                <w:sz w:val="22"/>
                <w:szCs w:val="22"/>
                <w:lang w:eastAsia="ja-JP"/>
              </w:rPr>
            </w:pPr>
            <w:r>
              <w:rPr>
                <w:rFonts w:hint="eastAsia"/>
                <w:sz w:val="22"/>
                <w:szCs w:val="22"/>
                <w:lang w:eastAsia="ja-JP"/>
              </w:rPr>
              <w:t>0.960</w:t>
            </w:r>
          </w:p>
        </w:tc>
        <w:tc>
          <w:tcPr>
            <w:tcW w:w="743" w:type="dxa"/>
            <w:tcBorders>
              <w:top w:val="single" w:sz="18" w:space="0" w:color="000000"/>
              <w:left w:val="dotted" w:sz="4" w:space="0" w:color="auto"/>
              <w:bottom w:val="single" w:sz="18" w:space="0" w:color="000000"/>
              <w:right w:val="dotted" w:sz="4" w:space="0" w:color="auto"/>
            </w:tcBorders>
            <w:vAlign w:val="center"/>
          </w:tcPr>
          <w:p w14:paraId="0FF53448" w14:textId="77777777" w:rsidR="00E4519A" w:rsidRPr="006B4051" w:rsidRDefault="00E4519A" w:rsidP="00B30BCE">
            <w:pPr>
              <w:jc w:val="center"/>
              <w:rPr>
                <w:sz w:val="22"/>
                <w:szCs w:val="22"/>
                <w:lang w:eastAsia="ja-JP"/>
              </w:rPr>
            </w:pPr>
            <w:r>
              <w:rPr>
                <w:rFonts w:hint="eastAsia"/>
                <w:sz w:val="22"/>
                <w:szCs w:val="22"/>
                <w:lang w:eastAsia="ja-JP"/>
              </w:rPr>
              <w:t>0.798</w:t>
            </w:r>
          </w:p>
        </w:tc>
        <w:tc>
          <w:tcPr>
            <w:tcW w:w="743" w:type="dxa"/>
            <w:tcBorders>
              <w:top w:val="single" w:sz="18" w:space="0" w:color="000000"/>
              <w:left w:val="dotted" w:sz="4" w:space="0" w:color="auto"/>
              <w:bottom w:val="single" w:sz="18" w:space="0" w:color="000000"/>
              <w:right w:val="single" w:sz="18" w:space="0" w:color="000000"/>
            </w:tcBorders>
            <w:vAlign w:val="center"/>
          </w:tcPr>
          <w:p w14:paraId="4CE35545" w14:textId="77777777" w:rsidR="00E4519A" w:rsidRPr="006B4051" w:rsidRDefault="00E4519A" w:rsidP="00B30BCE">
            <w:pPr>
              <w:jc w:val="center"/>
              <w:rPr>
                <w:sz w:val="22"/>
                <w:szCs w:val="22"/>
                <w:lang w:eastAsia="ja-JP"/>
              </w:rPr>
            </w:pPr>
            <w:r>
              <w:rPr>
                <w:rFonts w:hint="eastAsia"/>
                <w:sz w:val="22"/>
                <w:szCs w:val="22"/>
                <w:lang w:eastAsia="ja-JP"/>
              </w:rPr>
              <w:t>0.499</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484B0ADD" w14:textId="77777777" w:rsidR="00E4519A" w:rsidRPr="006B4051" w:rsidRDefault="00E4519A" w:rsidP="00B30BCE">
            <w:pPr>
              <w:jc w:val="center"/>
              <w:rPr>
                <w:sz w:val="22"/>
                <w:szCs w:val="22"/>
                <w:lang w:eastAsia="ja-JP"/>
              </w:rPr>
            </w:pPr>
            <w:r>
              <w:rPr>
                <w:rFonts w:hint="eastAsia"/>
                <w:sz w:val="22"/>
                <w:szCs w:val="22"/>
                <w:lang w:eastAsia="ja-JP"/>
              </w:rPr>
              <w:t>0.697</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01EC8F1D" w14:textId="77777777" w:rsidR="00E4519A" w:rsidRPr="006B4051" w:rsidRDefault="00E4519A" w:rsidP="00B30BCE">
            <w:pPr>
              <w:jc w:val="center"/>
              <w:rPr>
                <w:sz w:val="22"/>
                <w:szCs w:val="22"/>
                <w:lang w:eastAsia="ja-JP"/>
              </w:rPr>
            </w:pPr>
            <w:r>
              <w:rPr>
                <w:rFonts w:hint="eastAsia"/>
                <w:sz w:val="22"/>
                <w:szCs w:val="22"/>
                <w:lang w:eastAsia="ja-JP"/>
              </w:rPr>
              <w:t>0.509</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6B3B024E" w14:textId="77777777" w:rsidR="00E4519A" w:rsidRPr="006B4051" w:rsidRDefault="00E4519A" w:rsidP="00B30BCE">
            <w:pPr>
              <w:jc w:val="center"/>
              <w:rPr>
                <w:sz w:val="22"/>
                <w:szCs w:val="22"/>
                <w:lang w:eastAsia="ja-JP"/>
              </w:rPr>
            </w:pPr>
            <w:r>
              <w:rPr>
                <w:rFonts w:hint="eastAsia"/>
                <w:sz w:val="22"/>
                <w:szCs w:val="22"/>
                <w:lang w:eastAsia="ja-JP"/>
              </w:rPr>
              <w:t>0.470</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51D46213" w14:textId="77777777" w:rsidR="00E4519A" w:rsidRPr="006B4051" w:rsidRDefault="00E4519A" w:rsidP="00B30BCE">
            <w:pPr>
              <w:jc w:val="center"/>
              <w:rPr>
                <w:sz w:val="22"/>
                <w:szCs w:val="22"/>
                <w:lang w:eastAsia="ja-JP"/>
              </w:rPr>
            </w:pPr>
            <w:r>
              <w:rPr>
                <w:rFonts w:hint="eastAsia"/>
                <w:sz w:val="22"/>
                <w:szCs w:val="22"/>
                <w:lang w:eastAsia="ja-JP"/>
              </w:rPr>
              <w:t>0.559</w:t>
            </w:r>
          </w:p>
        </w:tc>
        <w:tc>
          <w:tcPr>
            <w:tcW w:w="743" w:type="dxa"/>
            <w:tcBorders>
              <w:top w:val="single" w:sz="18" w:space="0" w:color="000000"/>
              <w:left w:val="single" w:sz="18" w:space="0" w:color="000000"/>
              <w:bottom w:val="single" w:sz="18" w:space="0" w:color="000000"/>
              <w:right w:val="dotted" w:sz="4" w:space="0" w:color="auto"/>
            </w:tcBorders>
            <w:shd w:val="pct10" w:color="auto" w:fill="auto"/>
            <w:vAlign w:val="center"/>
          </w:tcPr>
          <w:p w14:paraId="5BC3477F" w14:textId="77777777" w:rsidR="00E4519A" w:rsidRPr="006B4051" w:rsidRDefault="00E4519A" w:rsidP="00B30BCE">
            <w:pPr>
              <w:jc w:val="center"/>
              <w:rPr>
                <w:sz w:val="22"/>
                <w:szCs w:val="22"/>
                <w:lang w:eastAsia="ja-JP"/>
              </w:rPr>
            </w:pPr>
            <w:r>
              <w:rPr>
                <w:rFonts w:hint="eastAsia"/>
                <w:sz w:val="22"/>
                <w:szCs w:val="22"/>
                <w:lang w:eastAsia="ja-JP"/>
              </w:rPr>
              <w:t>0.325</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6D9AAFBF" w14:textId="77777777" w:rsidR="00E4519A" w:rsidRPr="006B4051" w:rsidRDefault="00E4519A" w:rsidP="00B30BCE">
            <w:pPr>
              <w:jc w:val="center"/>
              <w:rPr>
                <w:sz w:val="22"/>
                <w:szCs w:val="22"/>
                <w:lang w:eastAsia="ja-JP"/>
              </w:rPr>
            </w:pPr>
            <w:r>
              <w:rPr>
                <w:rFonts w:hint="eastAsia"/>
                <w:sz w:val="22"/>
                <w:szCs w:val="22"/>
                <w:lang w:eastAsia="ja-JP"/>
              </w:rPr>
              <w:t>0.210</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62551FB5" w14:textId="77777777" w:rsidR="00E4519A" w:rsidRPr="006B4051" w:rsidRDefault="00E4519A" w:rsidP="00B30BCE">
            <w:pPr>
              <w:jc w:val="center"/>
              <w:rPr>
                <w:sz w:val="22"/>
                <w:szCs w:val="22"/>
                <w:lang w:eastAsia="ja-JP"/>
              </w:rPr>
            </w:pPr>
            <w:r>
              <w:rPr>
                <w:rFonts w:hint="eastAsia"/>
                <w:sz w:val="22"/>
                <w:szCs w:val="22"/>
                <w:lang w:eastAsia="ja-JP"/>
              </w:rPr>
              <w:t>0.167</w:t>
            </w:r>
          </w:p>
        </w:tc>
        <w:tc>
          <w:tcPr>
            <w:tcW w:w="743" w:type="dxa"/>
            <w:tcBorders>
              <w:top w:val="single" w:sz="18" w:space="0" w:color="000000"/>
              <w:left w:val="dotted" w:sz="4" w:space="0" w:color="auto"/>
              <w:bottom w:val="single" w:sz="18" w:space="0" w:color="000000"/>
              <w:right w:val="single" w:sz="18" w:space="0" w:color="000000"/>
            </w:tcBorders>
            <w:shd w:val="pct10" w:color="auto" w:fill="auto"/>
            <w:vAlign w:val="center"/>
          </w:tcPr>
          <w:p w14:paraId="76AE3D30" w14:textId="77777777" w:rsidR="00E4519A" w:rsidRPr="006B4051" w:rsidRDefault="00E4519A" w:rsidP="00B30BCE">
            <w:pPr>
              <w:jc w:val="center"/>
              <w:rPr>
                <w:sz w:val="22"/>
                <w:szCs w:val="22"/>
                <w:lang w:eastAsia="ja-JP"/>
              </w:rPr>
            </w:pPr>
            <w:r>
              <w:rPr>
                <w:rFonts w:hint="eastAsia"/>
                <w:sz w:val="22"/>
                <w:szCs w:val="22"/>
                <w:lang w:eastAsia="ja-JP"/>
              </w:rPr>
              <w:t>0.040</w:t>
            </w:r>
          </w:p>
        </w:tc>
      </w:tr>
      <w:tr w:rsidR="00E4519A" w:rsidRPr="004B0BFC" w14:paraId="046E5453" w14:textId="77777777" w:rsidTr="00B30BCE">
        <w:trPr>
          <w:trHeight w:val="499"/>
        </w:trPr>
        <w:tc>
          <w:tcPr>
            <w:tcW w:w="898" w:type="dxa"/>
            <w:tcBorders>
              <w:right w:val="single" w:sz="18" w:space="0" w:color="000000"/>
            </w:tcBorders>
            <w:vAlign w:val="center"/>
          </w:tcPr>
          <w:p w14:paraId="46F9A77E" w14:textId="77777777" w:rsidR="00E4519A" w:rsidRPr="004510F5" w:rsidRDefault="00E4519A" w:rsidP="00B30BCE">
            <w:pPr>
              <w:jc w:val="center"/>
              <w:rPr>
                <w:b/>
                <w:sz w:val="24"/>
                <w:lang w:eastAsia="ja-JP"/>
              </w:rPr>
            </w:pPr>
            <w:r w:rsidRPr="00377B05">
              <w:rPr>
                <w:b/>
                <w:sz w:val="24"/>
                <w:lang w:eastAsia="ja-JP"/>
              </w:rPr>
              <w:t>T8</w:t>
            </w:r>
          </w:p>
        </w:tc>
        <w:tc>
          <w:tcPr>
            <w:tcW w:w="744" w:type="dxa"/>
            <w:tcBorders>
              <w:top w:val="single" w:sz="18" w:space="0" w:color="000000"/>
              <w:left w:val="single" w:sz="18" w:space="0" w:color="000000"/>
              <w:bottom w:val="single" w:sz="18" w:space="0" w:color="000000"/>
              <w:right w:val="dotted" w:sz="4" w:space="0" w:color="auto"/>
            </w:tcBorders>
            <w:vAlign w:val="center"/>
          </w:tcPr>
          <w:p w14:paraId="729B6BEE" w14:textId="77777777" w:rsidR="00E4519A" w:rsidRPr="006B4051" w:rsidRDefault="00E4519A" w:rsidP="00B30BCE">
            <w:pPr>
              <w:jc w:val="center"/>
              <w:rPr>
                <w:sz w:val="22"/>
                <w:szCs w:val="22"/>
                <w:lang w:eastAsia="ja-JP"/>
              </w:rPr>
            </w:pPr>
            <w:r>
              <w:rPr>
                <w:rFonts w:hint="eastAsia"/>
                <w:sz w:val="22"/>
                <w:szCs w:val="22"/>
                <w:lang w:eastAsia="ja-JP"/>
              </w:rPr>
              <w:t>1.879</w:t>
            </w:r>
          </w:p>
        </w:tc>
        <w:tc>
          <w:tcPr>
            <w:tcW w:w="744" w:type="dxa"/>
            <w:tcBorders>
              <w:top w:val="single" w:sz="18" w:space="0" w:color="000000"/>
              <w:left w:val="dotted" w:sz="4" w:space="0" w:color="auto"/>
              <w:bottom w:val="single" w:sz="18" w:space="0" w:color="000000"/>
              <w:right w:val="single" w:sz="18" w:space="0" w:color="000000"/>
            </w:tcBorders>
            <w:vAlign w:val="center"/>
          </w:tcPr>
          <w:p w14:paraId="4F887D86" w14:textId="77777777" w:rsidR="00E4519A" w:rsidRPr="006B4051" w:rsidRDefault="00E4519A" w:rsidP="00B30BCE">
            <w:pPr>
              <w:jc w:val="center"/>
              <w:rPr>
                <w:sz w:val="22"/>
                <w:szCs w:val="22"/>
                <w:lang w:eastAsia="ja-JP"/>
              </w:rPr>
            </w:pPr>
            <w:r>
              <w:rPr>
                <w:rFonts w:hint="eastAsia"/>
                <w:sz w:val="22"/>
                <w:szCs w:val="22"/>
                <w:lang w:eastAsia="ja-JP"/>
              </w:rPr>
              <w:t>1.249</w:t>
            </w:r>
          </w:p>
        </w:tc>
        <w:tc>
          <w:tcPr>
            <w:tcW w:w="743" w:type="dxa"/>
            <w:tcBorders>
              <w:top w:val="single" w:sz="18" w:space="0" w:color="000000"/>
              <w:left w:val="single" w:sz="18" w:space="0" w:color="000000"/>
              <w:bottom w:val="single" w:sz="18" w:space="0" w:color="000000"/>
              <w:right w:val="dotted" w:sz="2" w:space="0" w:color="auto"/>
            </w:tcBorders>
            <w:vAlign w:val="center"/>
          </w:tcPr>
          <w:p w14:paraId="42446575" w14:textId="77777777" w:rsidR="00E4519A" w:rsidRPr="006B4051" w:rsidRDefault="00E4519A" w:rsidP="00B30BCE">
            <w:pPr>
              <w:jc w:val="center"/>
              <w:rPr>
                <w:sz w:val="22"/>
                <w:szCs w:val="22"/>
                <w:lang w:eastAsia="ja-JP"/>
              </w:rPr>
            </w:pPr>
            <w:r>
              <w:rPr>
                <w:rFonts w:hint="eastAsia"/>
                <w:sz w:val="22"/>
                <w:szCs w:val="22"/>
                <w:lang w:eastAsia="ja-JP"/>
              </w:rPr>
              <w:t>1.373</w:t>
            </w:r>
          </w:p>
        </w:tc>
        <w:tc>
          <w:tcPr>
            <w:tcW w:w="743" w:type="dxa"/>
            <w:tcBorders>
              <w:top w:val="single" w:sz="18" w:space="0" w:color="000000"/>
              <w:left w:val="dotted" w:sz="2" w:space="0" w:color="auto"/>
              <w:bottom w:val="single" w:sz="18" w:space="0" w:color="000000"/>
              <w:right w:val="single" w:sz="18" w:space="0" w:color="000000"/>
            </w:tcBorders>
            <w:vAlign w:val="center"/>
          </w:tcPr>
          <w:p w14:paraId="54F502EF" w14:textId="77777777" w:rsidR="00E4519A" w:rsidRPr="006B4051" w:rsidRDefault="00E4519A" w:rsidP="00B30BCE">
            <w:pPr>
              <w:jc w:val="center"/>
              <w:rPr>
                <w:sz w:val="22"/>
                <w:szCs w:val="22"/>
                <w:lang w:eastAsia="ja-JP"/>
              </w:rPr>
            </w:pPr>
            <w:r>
              <w:rPr>
                <w:rFonts w:hint="eastAsia"/>
                <w:sz w:val="22"/>
                <w:szCs w:val="22"/>
                <w:lang w:eastAsia="ja-JP"/>
              </w:rPr>
              <w:t>1.392</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567E64F6" w14:textId="77777777" w:rsidR="00E4519A" w:rsidRPr="006B4051" w:rsidRDefault="00E4519A" w:rsidP="00B30BCE">
            <w:pPr>
              <w:jc w:val="center"/>
              <w:rPr>
                <w:sz w:val="22"/>
                <w:szCs w:val="22"/>
                <w:lang w:eastAsia="ja-JP"/>
              </w:rPr>
            </w:pPr>
            <w:r>
              <w:rPr>
                <w:rFonts w:hint="eastAsia"/>
                <w:sz w:val="22"/>
                <w:szCs w:val="22"/>
                <w:lang w:eastAsia="ja-JP"/>
              </w:rPr>
              <w:t>1.409</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49F41EE9" w14:textId="77777777" w:rsidR="00E4519A" w:rsidRPr="006B4051" w:rsidRDefault="00E4519A" w:rsidP="00B30BCE">
            <w:pPr>
              <w:jc w:val="center"/>
              <w:rPr>
                <w:sz w:val="22"/>
                <w:szCs w:val="22"/>
                <w:lang w:eastAsia="ja-JP"/>
              </w:rPr>
            </w:pPr>
            <w:r>
              <w:rPr>
                <w:rFonts w:hint="eastAsia"/>
                <w:sz w:val="22"/>
                <w:szCs w:val="22"/>
                <w:lang w:eastAsia="ja-JP"/>
              </w:rPr>
              <w:t>1.498</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3552BFEA" w14:textId="77777777" w:rsidR="00E4519A" w:rsidRPr="006B4051" w:rsidRDefault="00E4519A" w:rsidP="00B30BCE">
            <w:pPr>
              <w:jc w:val="center"/>
              <w:rPr>
                <w:sz w:val="22"/>
                <w:szCs w:val="22"/>
                <w:lang w:eastAsia="ja-JP"/>
              </w:rPr>
            </w:pPr>
            <w:r>
              <w:rPr>
                <w:rFonts w:hint="eastAsia"/>
                <w:sz w:val="22"/>
                <w:szCs w:val="22"/>
                <w:lang w:eastAsia="ja-JP"/>
              </w:rPr>
              <w:t>1.177</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429943BB" w14:textId="77777777" w:rsidR="00E4519A" w:rsidRPr="006B4051" w:rsidRDefault="00E4519A" w:rsidP="00B30BCE">
            <w:pPr>
              <w:jc w:val="center"/>
              <w:rPr>
                <w:sz w:val="22"/>
                <w:szCs w:val="22"/>
                <w:lang w:eastAsia="ja-JP"/>
              </w:rPr>
            </w:pPr>
            <w:r>
              <w:rPr>
                <w:rFonts w:hint="eastAsia"/>
                <w:sz w:val="22"/>
                <w:szCs w:val="22"/>
                <w:lang w:eastAsia="ja-JP"/>
              </w:rPr>
              <w:t>0.991</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0CC840F7" w14:textId="77777777" w:rsidR="00E4519A" w:rsidRPr="006B4051" w:rsidRDefault="00E4519A" w:rsidP="00B30BCE">
            <w:pPr>
              <w:jc w:val="center"/>
              <w:rPr>
                <w:sz w:val="22"/>
                <w:szCs w:val="22"/>
                <w:lang w:eastAsia="ja-JP"/>
              </w:rPr>
            </w:pPr>
            <w:r>
              <w:rPr>
                <w:rFonts w:hint="eastAsia"/>
                <w:sz w:val="22"/>
                <w:szCs w:val="22"/>
                <w:lang w:eastAsia="ja-JP"/>
              </w:rPr>
              <w:t>1.108</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79710A03" w14:textId="77777777" w:rsidR="00E4519A" w:rsidRPr="006B4051" w:rsidRDefault="00E4519A" w:rsidP="00B30BCE">
            <w:pPr>
              <w:jc w:val="center"/>
              <w:rPr>
                <w:sz w:val="22"/>
                <w:szCs w:val="22"/>
                <w:lang w:eastAsia="ja-JP"/>
              </w:rPr>
            </w:pPr>
            <w:r>
              <w:rPr>
                <w:rFonts w:hint="eastAsia"/>
                <w:sz w:val="22"/>
                <w:szCs w:val="22"/>
                <w:lang w:eastAsia="ja-JP"/>
              </w:rPr>
              <w:t>1.082</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0099FD78" w14:textId="77777777" w:rsidR="00E4519A" w:rsidRPr="006B4051" w:rsidRDefault="00E4519A" w:rsidP="00B30BCE">
            <w:pPr>
              <w:jc w:val="center"/>
              <w:rPr>
                <w:sz w:val="22"/>
                <w:szCs w:val="22"/>
                <w:lang w:eastAsia="ja-JP"/>
              </w:rPr>
            </w:pPr>
            <w:r>
              <w:rPr>
                <w:rFonts w:hint="eastAsia"/>
                <w:sz w:val="22"/>
                <w:szCs w:val="22"/>
                <w:lang w:eastAsia="ja-JP"/>
              </w:rPr>
              <w:t>1.607</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2E9D991F" w14:textId="77777777" w:rsidR="00E4519A" w:rsidRPr="006B4051" w:rsidRDefault="00E4519A" w:rsidP="00B30BCE">
            <w:pPr>
              <w:jc w:val="center"/>
              <w:rPr>
                <w:sz w:val="22"/>
                <w:szCs w:val="22"/>
                <w:lang w:eastAsia="ja-JP"/>
              </w:rPr>
            </w:pPr>
            <w:r>
              <w:rPr>
                <w:rFonts w:hint="eastAsia"/>
                <w:sz w:val="22"/>
                <w:szCs w:val="22"/>
                <w:lang w:eastAsia="ja-JP"/>
              </w:rPr>
              <w:t>1.733</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6F07FA66" w14:textId="77777777" w:rsidR="00E4519A" w:rsidRPr="006B4051" w:rsidRDefault="00E4519A" w:rsidP="00B30BCE">
            <w:pPr>
              <w:jc w:val="center"/>
              <w:rPr>
                <w:sz w:val="22"/>
                <w:szCs w:val="22"/>
                <w:lang w:eastAsia="ja-JP"/>
              </w:rPr>
            </w:pPr>
            <w:r>
              <w:rPr>
                <w:rFonts w:hint="eastAsia"/>
                <w:sz w:val="22"/>
                <w:szCs w:val="22"/>
                <w:lang w:eastAsia="ja-JP"/>
              </w:rPr>
              <w:t>1.019</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201E12FB" w14:textId="77777777" w:rsidR="00E4519A" w:rsidRPr="006B4051" w:rsidRDefault="00E4519A" w:rsidP="00B30BCE">
            <w:pPr>
              <w:jc w:val="center"/>
              <w:rPr>
                <w:sz w:val="22"/>
                <w:szCs w:val="22"/>
                <w:lang w:eastAsia="ja-JP"/>
              </w:rPr>
            </w:pPr>
            <w:r>
              <w:rPr>
                <w:rFonts w:hint="eastAsia"/>
                <w:sz w:val="22"/>
                <w:szCs w:val="22"/>
                <w:lang w:eastAsia="ja-JP"/>
              </w:rPr>
              <w:t>0.647</w:t>
            </w:r>
          </w:p>
        </w:tc>
        <w:tc>
          <w:tcPr>
            <w:tcW w:w="743" w:type="dxa"/>
            <w:tcBorders>
              <w:top w:val="single" w:sz="18" w:space="0" w:color="000000"/>
              <w:left w:val="single" w:sz="18" w:space="0" w:color="000000"/>
              <w:bottom w:val="single" w:sz="18" w:space="0" w:color="000000"/>
              <w:right w:val="dotted" w:sz="4" w:space="0" w:color="auto"/>
            </w:tcBorders>
            <w:shd w:val="pct10" w:color="auto" w:fill="auto"/>
            <w:vAlign w:val="center"/>
          </w:tcPr>
          <w:p w14:paraId="3CCAE30D" w14:textId="77777777" w:rsidR="00E4519A" w:rsidRPr="006B4051" w:rsidRDefault="00E4519A" w:rsidP="00B30BCE">
            <w:pPr>
              <w:jc w:val="center"/>
              <w:rPr>
                <w:sz w:val="22"/>
                <w:szCs w:val="22"/>
                <w:lang w:eastAsia="ja-JP"/>
              </w:rPr>
            </w:pPr>
            <w:r>
              <w:rPr>
                <w:rFonts w:hint="eastAsia"/>
                <w:sz w:val="22"/>
                <w:szCs w:val="22"/>
                <w:lang w:eastAsia="ja-JP"/>
              </w:rPr>
              <w:t>0.550</w:t>
            </w:r>
          </w:p>
        </w:tc>
        <w:tc>
          <w:tcPr>
            <w:tcW w:w="743" w:type="dxa"/>
            <w:tcBorders>
              <w:top w:val="single" w:sz="18" w:space="0" w:color="000000"/>
              <w:left w:val="dotted" w:sz="4" w:space="0" w:color="auto"/>
              <w:bottom w:val="single" w:sz="18" w:space="0" w:color="000000"/>
              <w:right w:val="single" w:sz="18" w:space="0" w:color="000000"/>
            </w:tcBorders>
            <w:shd w:val="pct10" w:color="auto" w:fill="auto"/>
            <w:vAlign w:val="center"/>
          </w:tcPr>
          <w:p w14:paraId="4E754895" w14:textId="77777777" w:rsidR="00E4519A" w:rsidRPr="006B4051" w:rsidRDefault="00E4519A" w:rsidP="00B30BCE">
            <w:pPr>
              <w:jc w:val="center"/>
              <w:rPr>
                <w:sz w:val="22"/>
                <w:szCs w:val="22"/>
                <w:lang w:eastAsia="ja-JP"/>
              </w:rPr>
            </w:pPr>
            <w:r>
              <w:rPr>
                <w:rFonts w:hint="eastAsia"/>
                <w:sz w:val="22"/>
                <w:szCs w:val="22"/>
                <w:lang w:eastAsia="ja-JP"/>
              </w:rPr>
              <w:t>0.273</w:t>
            </w:r>
          </w:p>
        </w:tc>
      </w:tr>
    </w:tbl>
    <w:p w14:paraId="17A59F9D" w14:textId="77777777" w:rsidR="00E4519A" w:rsidRPr="007B48BC" w:rsidRDefault="00E4519A" w:rsidP="00E4519A">
      <w:pPr>
        <w:jc w:val="center"/>
        <w:rPr>
          <w:b/>
          <w:sz w:val="16"/>
          <w:szCs w:val="16"/>
          <w:lang w:eastAsia="ja-JP"/>
        </w:rPr>
      </w:pPr>
    </w:p>
    <w:p w14:paraId="47E90AFF" w14:textId="77777777" w:rsidR="00E4519A" w:rsidRPr="009973AD" w:rsidRDefault="00E4519A" w:rsidP="007B2FEF">
      <w:pPr>
        <w:spacing w:afterLines="50" w:after="160"/>
        <w:jc w:val="center"/>
        <w:rPr>
          <w:b/>
          <w:sz w:val="22"/>
          <w:szCs w:val="22"/>
          <w:lang w:eastAsia="ja-JP"/>
        </w:rPr>
      </w:pPr>
      <w:r w:rsidRPr="009973AD">
        <w:rPr>
          <w:rFonts w:hint="eastAsia"/>
          <w:b/>
          <w:sz w:val="22"/>
          <w:szCs w:val="22"/>
          <w:lang w:eastAsia="ja-JP"/>
        </w:rPr>
        <w:t xml:space="preserve">Panel B: </w:t>
      </w:r>
      <w:r>
        <w:rPr>
          <w:rFonts w:hint="eastAsia"/>
          <w:b/>
          <w:sz w:val="22"/>
          <w:szCs w:val="22"/>
          <w:lang w:eastAsia="ja-JP"/>
        </w:rPr>
        <w:t>Low-liquidity</w:t>
      </w:r>
      <w:r w:rsidRPr="009973AD">
        <w:rPr>
          <w:rFonts w:hint="eastAsia"/>
          <w:b/>
          <w:sz w:val="22"/>
          <w:szCs w:val="22"/>
          <w:lang w:eastAsia="ja-JP"/>
        </w:rPr>
        <w:t xml:space="preserve"> </w:t>
      </w:r>
      <w:r w:rsidR="00BE40AD">
        <w:rPr>
          <w:b/>
          <w:sz w:val="22"/>
          <w:szCs w:val="22"/>
          <w:lang w:eastAsia="ja-JP"/>
        </w:rPr>
        <w:t>S</w:t>
      </w:r>
      <w:r w:rsidRPr="009973AD">
        <w:rPr>
          <w:rFonts w:hint="eastAsia"/>
          <w:b/>
          <w:sz w:val="22"/>
          <w:szCs w:val="22"/>
          <w:lang w:eastAsia="ja-JP"/>
        </w:rPr>
        <w:t>ession</w:t>
      </w:r>
      <w:r w:rsidR="00BE40AD">
        <w:rPr>
          <w:b/>
          <w:sz w:val="22"/>
          <w:szCs w:val="22"/>
          <w:lang w:eastAsia="ja-JP"/>
        </w:rPr>
        <w:t>s</w:t>
      </w:r>
    </w:p>
    <w:tbl>
      <w:tblPr>
        <w:tblW w:w="12788"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8"/>
        <w:gridCol w:w="744"/>
        <w:gridCol w:w="744"/>
        <w:gridCol w:w="743"/>
        <w:gridCol w:w="743"/>
        <w:gridCol w:w="743"/>
        <w:gridCol w:w="743"/>
        <w:gridCol w:w="743"/>
        <w:gridCol w:w="743"/>
        <w:gridCol w:w="743"/>
        <w:gridCol w:w="743"/>
        <w:gridCol w:w="743"/>
        <w:gridCol w:w="743"/>
        <w:gridCol w:w="743"/>
        <w:gridCol w:w="743"/>
        <w:gridCol w:w="743"/>
        <w:gridCol w:w="743"/>
      </w:tblGrid>
      <w:tr w:rsidR="00E4519A" w:rsidRPr="004B0BFC" w14:paraId="2D11AFAE" w14:textId="77777777" w:rsidTr="00B30BCE">
        <w:trPr>
          <w:trHeight w:val="567"/>
        </w:trPr>
        <w:tc>
          <w:tcPr>
            <w:tcW w:w="898" w:type="dxa"/>
            <w:tcBorders>
              <w:top w:val="single" w:sz="8" w:space="0" w:color="000000"/>
              <w:left w:val="single" w:sz="8" w:space="0" w:color="000000"/>
              <w:bottom w:val="single" w:sz="8" w:space="0" w:color="000000"/>
              <w:right w:val="single" w:sz="8" w:space="0" w:color="000000"/>
            </w:tcBorders>
            <w:vAlign w:val="center"/>
          </w:tcPr>
          <w:p w14:paraId="5257C4FB" w14:textId="77777777" w:rsidR="00E4519A" w:rsidRPr="00D1771D" w:rsidRDefault="00E4519A" w:rsidP="00B30BCE">
            <w:pPr>
              <w:jc w:val="center"/>
              <w:rPr>
                <w:lang w:eastAsia="ja-JP"/>
              </w:rPr>
            </w:pPr>
            <w:r w:rsidRPr="00D1771D">
              <w:rPr>
                <w:lang w:eastAsia="ja-JP"/>
              </w:rPr>
              <w:t>Period</w:t>
            </w:r>
          </w:p>
        </w:tc>
        <w:tc>
          <w:tcPr>
            <w:tcW w:w="744" w:type="dxa"/>
            <w:tcBorders>
              <w:top w:val="single" w:sz="8" w:space="0" w:color="000000"/>
              <w:left w:val="single" w:sz="8" w:space="0" w:color="000000"/>
              <w:bottom w:val="single" w:sz="18" w:space="0" w:color="000000"/>
              <w:right w:val="single" w:sz="8" w:space="0" w:color="000000"/>
            </w:tcBorders>
            <w:vAlign w:val="center"/>
          </w:tcPr>
          <w:p w14:paraId="0C2CC40D" w14:textId="77777777" w:rsidR="00E4519A" w:rsidRPr="004B0BFC" w:rsidRDefault="00E4519A" w:rsidP="00B30BCE">
            <w:pPr>
              <w:jc w:val="center"/>
              <w:rPr>
                <w:sz w:val="24"/>
                <w:lang w:eastAsia="ja-JP"/>
              </w:rPr>
            </w:pPr>
            <w:r w:rsidRPr="004B0BFC">
              <w:rPr>
                <w:sz w:val="24"/>
                <w:lang w:eastAsia="ja-JP"/>
              </w:rPr>
              <w:t>1</w:t>
            </w:r>
          </w:p>
        </w:tc>
        <w:tc>
          <w:tcPr>
            <w:tcW w:w="744" w:type="dxa"/>
            <w:tcBorders>
              <w:top w:val="single" w:sz="8" w:space="0" w:color="000000"/>
              <w:left w:val="single" w:sz="8" w:space="0" w:color="000000"/>
              <w:bottom w:val="single" w:sz="18" w:space="0" w:color="000000"/>
              <w:right w:val="single" w:sz="8" w:space="0" w:color="000000"/>
            </w:tcBorders>
            <w:vAlign w:val="center"/>
          </w:tcPr>
          <w:p w14:paraId="2C69EBA9" w14:textId="77777777" w:rsidR="00E4519A" w:rsidRPr="004B0BFC" w:rsidRDefault="00E4519A" w:rsidP="00B30BCE">
            <w:pPr>
              <w:jc w:val="center"/>
              <w:rPr>
                <w:sz w:val="24"/>
                <w:lang w:eastAsia="ja-JP"/>
              </w:rPr>
            </w:pPr>
            <w:r w:rsidRPr="004B0BFC">
              <w:rPr>
                <w:sz w:val="24"/>
                <w:lang w:eastAsia="ja-JP"/>
              </w:rPr>
              <w:t>2</w:t>
            </w:r>
          </w:p>
        </w:tc>
        <w:tc>
          <w:tcPr>
            <w:tcW w:w="743" w:type="dxa"/>
            <w:tcBorders>
              <w:top w:val="single" w:sz="8" w:space="0" w:color="000000"/>
              <w:left w:val="single" w:sz="8" w:space="0" w:color="000000"/>
              <w:bottom w:val="single" w:sz="18" w:space="0" w:color="000000"/>
              <w:right w:val="single" w:sz="8" w:space="0" w:color="000000"/>
            </w:tcBorders>
            <w:vAlign w:val="center"/>
          </w:tcPr>
          <w:p w14:paraId="76826A10" w14:textId="77777777" w:rsidR="00E4519A" w:rsidRPr="004B0BFC" w:rsidRDefault="00E4519A" w:rsidP="00B30BCE">
            <w:pPr>
              <w:jc w:val="center"/>
              <w:rPr>
                <w:sz w:val="24"/>
                <w:lang w:eastAsia="ja-JP"/>
              </w:rPr>
            </w:pPr>
            <w:r w:rsidRPr="004B0BFC">
              <w:rPr>
                <w:sz w:val="24"/>
                <w:lang w:eastAsia="ja-JP"/>
              </w:rPr>
              <w:t>3</w:t>
            </w:r>
          </w:p>
        </w:tc>
        <w:tc>
          <w:tcPr>
            <w:tcW w:w="743" w:type="dxa"/>
            <w:tcBorders>
              <w:top w:val="single" w:sz="8" w:space="0" w:color="000000"/>
              <w:left w:val="single" w:sz="8" w:space="0" w:color="000000"/>
              <w:bottom w:val="single" w:sz="18" w:space="0" w:color="000000"/>
              <w:right w:val="single" w:sz="8" w:space="0" w:color="000000"/>
            </w:tcBorders>
            <w:vAlign w:val="center"/>
          </w:tcPr>
          <w:p w14:paraId="042BE672" w14:textId="77777777" w:rsidR="00E4519A" w:rsidRPr="004B0BFC" w:rsidRDefault="00E4519A" w:rsidP="00B30BCE">
            <w:pPr>
              <w:jc w:val="center"/>
              <w:rPr>
                <w:sz w:val="24"/>
                <w:lang w:eastAsia="ja-JP"/>
              </w:rPr>
            </w:pPr>
            <w:r w:rsidRPr="004B0BFC">
              <w:rPr>
                <w:sz w:val="24"/>
                <w:lang w:eastAsia="ja-JP"/>
              </w:rPr>
              <w:t>4</w:t>
            </w:r>
          </w:p>
        </w:tc>
        <w:tc>
          <w:tcPr>
            <w:tcW w:w="743" w:type="dxa"/>
            <w:tcBorders>
              <w:top w:val="single" w:sz="8" w:space="0" w:color="000000"/>
              <w:left w:val="single" w:sz="8" w:space="0" w:color="000000"/>
              <w:bottom w:val="single" w:sz="18" w:space="0" w:color="000000"/>
              <w:right w:val="single" w:sz="8" w:space="0" w:color="000000"/>
            </w:tcBorders>
            <w:vAlign w:val="center"/>
          </w:tcPr>
          <w:p w14:paraId="233455FE" w14:textId="77777777" w:rsidR="00E4519A" w:rsidRPr="004B0BFC" w:rsidRDefault="00E4519A" w:rsidP="00B30BCE">
            <w:pPr>
              <w:jc w:val="center"/>
              <w:rPr>
                <w:sz w:val="24"/>
                <w:lang w:eastAsia="ja-JP"/>
              </w:rPr>
            </w:pPr>
            <w:r w:rsidRPr="004B0BFC">
              <w:rPr>
                <w:sz w:val="24"/>
                <w:lang w:eastAsia="ja-JP"/>
              </w:rPr>
              <w:t>5</w:t>
            </w:r>
          </w:p>
        </w:tc>
        <w:tc>
          <w:tcPr>
            <w:tcW w:w="743" w:type="dxa"/>
            <w:tcBorders>
              <w:top w:val="single" w:sz="8" w:space="0" w:color="000000"/>
              <w:left w:val="single" w:sz="8" w:space="0" w:color="000000"/>
              <w:bottom w:val="single" w:sz="18" w:space="0" w:color="000000"/>
              <w:right w:val="single" w:sz="8" w:space="0" w:color="000000"/>
            </w:tcBorders>
            <w:vAlign w:val="center"/>
          </w:tcPr>
          <w:p w14:paraId="29D3BC0E" w14:textId="77777777" w:rsidR="00E4519A" w:rsidRPr="004B0BFC" w:rsidRDefault="00E4519A" w:rsidP="00B30BCE">
            <w:pPr>
              <w:jc w:val="center"/>
              <w:rPr>
                <w:sz w:val="24"/>
                <w:lang w:eastAsia="ja-JP"/>
              </w:rPr>
            </w:pPr>
            <w:r w:rsidRPr="004B0BFC">
              <w:rPr>
                <w:sz w:val="24"/>
                <w:lang w:eastAsia="ja-JP"/>
              </w:rPr>
              <w:t>6</w:t>
            </w:r>
          </w:p>
        </w:tc>
        <w:tc>
          <w:tcPr>
            <w:tcW w:w="743" w:type="dxa"/>
            <w:tcBorders>
              <w:top w:val="single" w:sz="8" w:space="0" w:color="000000"/>
              <w:left w:val="single" w:sz="8" w:space="0" w:color="000000"/>
              <w:bottom w:val="single" w:sz="18" w:space="0" w:color="000000"/>
              <w:right w:val="single" w:sz="8" w:space="0" w:color="000000"/>
            </w:tcBorders>
            <w:vAlign w:val="center"/>
          </w:tcPr>
          <w:p w14:paraId="3AE22334" w14:textId="77777777" w:rsidR="00E4519A" w:rsidRPr="004B0BFC" w:rsidRDefault="00E4519A" w:rsidP="00B30BCE">
            <w:pPr>
              <w:jc w:val="center"/>
              <w:rPr>
                <w:sz w:val="24"/>
                <w:lang w:eastAsia="ja-JP"/>
              </w:rPr>
            </w:pPr>
            <w:r w:rsidRPr="004B0BFC">
              <w:rPr>
                <w:sz w:val="24"/>
                <w:lang w:eastAsia="ja-JP"/>
              </w:rPr>
              <w:t>7</w:t>
            </w:r>
          </w:p>
        </w:tc>
        <w:tc>
          <w:tcPr>
            <w:tcW w:w="743" w:type="dxa"/>
            <w:tcBorders>
              <w:top w:val="single" w:sz="8" w:space="0" w:color="000000"/>
              <w:left w:val="single" w:sz="8" w:space="0" w:color="000000"/>
              <w:bottom w:val="single" w:sz="18" w:space="0" w:color="000000"/>
              <w:right w:val="single" w:sz="8" w:space="0" w:color="000000"/>
            </w:tcBorders>
            <w:vAlign w:val="center"/>
          </w:tcPr>
          <w:p w14:paraId="106D4BA0" w14:textId="77777777" w:rsidR="00E4519A" w:rsidRPr="004B0BFC" w:rsidRDefault="00E4519A" w:rsidP="00B30BCE">
            <w:pPr>
              <w:jc w:val="center"/>
              <w:rPr>
                <w:sz w:val="24"/>
                <w:lang w:eastAsia="ja-JP"/>
              </w:rPr>
            </w:pPr>
            <w:r w:rsidRPr="004B0BFC">
              <w:rPr>
                <w:sz w:val="24"/>
                <w:lang w:eastAsia="ja-JP"/>
              </w:rPr>
              <w:t>8</w:t>
            </w:r>
          </w:p>
        </w:tc>
        <w:tc>
          <w:tcPr>
            <w:tcW w:w="743" w:type="dxa"/>
            <w:tcBorders>
              <w:top w:val="single" w:sz="8" w:space="0" w:color="000000"/>
              <w:left w:val="single" w:sz="8" w:space="0" w:color="000000"/>
              <w:bottom w:val="single" w:sz="18" w:space="0" w:color="000000"/>
              <w:right w:val="single" w:sz="8" w:space="0" w:color="000000"/>
            </w:tcBorders>
            <w:vAlign w:val="center"/>
          </w:tcPr>
          <w:p w14:paraId="4BFAE269" w14:textId="77777777" w:rsidR="00E4519A" w:rsidRPr="004B0BFC" w:rsidRDefault="00E4519A" w:rsidP="00B30BCE">
            <w:pPr>
              <w:jc w:val="center"/>
              <w:rPr>
                <w:sz w:val="24"/>
                <w:lang w:eastAsia="ja-JP"/>
              </w:rPr>
            </w:pPr>
            <w:r w:rsidRPr="004B0BFC">
              <w:rPr>
                <w:sz w:val="24"/>
                <w:lang w:eastAsia="ja-JP"/>
              </w:rPr>
              <w:t>9</w:t>
            </w:r>
          </w:p>
        </w:tc>
        <w:tc>
          <w:tcPr>
            <w:tcW w:w="743" w:type="dxa"/>
            <w:tcBorders>
              <w:top w:val="single" w:sz="8" w:space="0" w:color="000000"/>
              <w:left w:val="single" w:sz="8" w:space="0" w:color="000000"/>
              <w:bottom w:val="single" w:sz="18" w:space="0" w:color="000000"/>
              <w:right w:val="single" w:sz="8" w:space="0" w:color="000000"/>
            </w:tcBorders>
            <w:vAlign w:val="center"/>
          </w:tcPr>
          <w:p w14:paraId="72CCB334" w14:textId="77777777" w:rsidR="00E4519A" w:rsidRPr="004B0BFC" w:rsidRDefault="00E4519A" w:rsidP="00B30BCE">
            <w:pPr>
              <w:jc w:val="center"/>
              <w:rPr>
                <w:sz w:val="24"/>
                <w:lang w:eastAsia="ja-JP"/>
              </w:rPr>
            </w:pPr>
            <w:r w:rsidRPr="004B0BFC">
              <w:rPr>
                <w:sz w:val="24"/>
                <w:lang w:eastAsia="ja-JP"/>
              </w:rPr>
              <w:t>10</w:t>
            </w:r>
          </w:p>
        </w:tc>
        <w:tc>
          <w:tcPr>
            <w:tcW w:w="743" w:type="dxa"/>
            <w:tcBorders>
              <w:top w:val="single" w:sz="8" w:space="0" w:color="000000"/>
              <w:left w:val="single" w:sz="8" w:space="0" w:color="000000"/>
              <w:bottom w:val="single" w:sz="18" w:space="0" w:color="000000"/>
              <w:right w:val="single" w:sz="8" w:space="0" w:color="000000"/>
            </w:tcBorders>
            <w:vAlign w:val="center"/>
          </w:tcPr>
          <w:p w14:paraId="3203C2A9" w14:textId="77777777" w:rsidR="00E4519A" w:rsidRPr="004B0BFC" w:rsidRDefault="00E4519A" w:rsidP="00B30BCE">
            <w:pPr>
              <w:jc w:val="center"/>
              <w:rPr>
                <w:sz w:val="24"/>
                <w:lang w:eastAsia="ja-JP"/>
              </w:rPr>
            </w:pPr>
            <w:r w:rsidRPr="004B0BFC">
              <w:rPr>
                <w:sz w:val="24"/>
                <w:lang w:eastAsia="ja-JP"/>
              </w:rPr>
              <w:t>11</w:t>
            </w:r>
          </w:p>
        </w:tc>
        <w:tc>
          <w:tcPr>
            <w:tcW w:w="743" w:type="dxa"/>
            <w:tcBorders>
              <w:top w:val="single" w:sz="8" w:space="0" w:color="000000"/>
              <w:left w:val="single" w:sz="8" w:space="0" w:color="000000"/>
              <w:bottom w:val="single" w:sz="18" w:space="0" w:color="000000"/>
              <w:right w:val="single" w:sz="8" w:space="0" w:color="000000"/>
            </w:tcBorders>
            <w:vAlign w:val="center"/>
          </w:tcPr>
          <w:p w14:paraId="554F8F1B" w14:textId="77777777" w:rsidR="00E4519A" w:rsidRPr="004B0BFC" w:rsidRDefault="00E4519A" w:rsidP="00B30BCE">
            <w:pPr>
              <w:jc w:val="center"/>
              <w:rPr>
                <w:sz w:val="24"/>
                <w:lang w:eastAsia="ja-JP"/>
              </w:rPr>
            </w:pPr>
            <w:r w:rsidRPr="004B0BFC">
              <w:rPr>
                <w:sz w:val="24"/>
                <w:lang w:eastAsia="ja-JP"/>
              </w:rPr>
              <w:t>12</w:t>
            </w:r>
          </w:p>
        </w:tc>
        <w:tc>
          <w:tcPr>
            <w:tcW w:w="743" w:type="dxa"/>
            <w:tcBorders>
              <w:top w:val="single" w:sz="8" w:space="0" w:color="000000"/>
              <w:left w:val="single" w:sz="8" w:space="0" w:color="000000"/>
              <w:bottom w:val="single" w:sz="18" w:space="0" w:color="000000"/>
              <w:right w:val="single" w:sz="8" w:space="0" w:color="000000"/>
            </w:tcBorders>
            <w:vAlign w:val="center"/>
          </w:tcPr>
          <w:p w14:paraId="6831E41C" w14:textId="77777777" w:rsidR="00E4519A" w:rsidRPr="004B0BFC" w:rsidRDefault="00E4519A" w:rsidP="00B30BCE">
            <w:pPr>
              <w:jc w:val="center"/>
              <w:rPr>
                <w:sz w:val="24"/>
                <w:lang w:eastAsia="ja-JP"/>
              </w:rPr>
            </w:pPr>
            <w:r w:rsidRPr="004B0BFC">
              <w:rPr>
                <w:sz w:val="24"/>
                <w:lang w:eastAsia="ja-JP"/>
              </w:rPr>
              <w:t>13</w:t>
            </w:r>
          </w:p>
        </w:tc>
        <w:tc>
          <w:tcPr>
            <w:tcW w:w="743" w:type="dxa"/>
            <w:tcBorders>
              <w:top w:val="single" w:sz="8" w:space="0" w:color="000000"/>
              <w:left w:val="single" w:sz="8" w:space="0" w:color="000000"/>
              <w:bottom w:val="single" w:sz="18" w:space="0" w:color="000000"/>
              <w:right w:val="single" w:sz="8" w:space="0" w:color="000000"/>
            </w:tcBorders>
            <w:vAlign w:val="center"/>
          </w:tcPr>
          <w:p w14:paraId="5D08F630" w14:textId="77777777" w:rsidR="00E4519A" w:rsidRPr="004B0BFC" w:rsidRDefault="00E4519A" w:rsidP="00B30BCE">
            <w:pPr>
              <w:jc w:val="center"/>
              <w:rPr>
                <w:sz w:val="24"/>
                <w:lang w:eastAsia="ja-JP"/>
              </w:rPr>
            </w:pPr>
            <w:r w:rsidRPr="004B0BFC">
              <w:rPr>
                <w:sz w:val="24"/>
                <w:lang w:eastAsia="ja-JP"/>
              </w:rPr>
              <w:t>14</w:t>
            </w:r>
          </w:p>
        </w:tc>
        <w:tc>
          <w:tcPr>
            <w:tcW w:w="743" w:type="dxa"/>
            <w:tcBorders>
              <w:top w:val="single" w:sz="8" w:space="0" w:color="000000"/>
              <w:left w:val="single" w:sz="8" w:space="0" w:color="000000"/>
              <w:bottom w:val="single" w:sz="18" w:space="0" w:color="000000"/>
              <w:right w:val="single" w:sz="8" w:space="0" w:color="000000"/>
            </w:tcBorders>
            <w:vAlign w:val="center"/>
          </w:tcPr>
          <w:p w14:paraId="3BD97E7B" w14:textId="77777777" w:rsidR="00E4519A" w:rsidRPr="004B0BFC" w:rsidRDefault="00E4519A" w:rsidP="00B30BCE">
            <w:pPr>
              <w:jc w:val="center"/>
              <w:rPr>
                <w:sz w:val="24"/>
                <w:lang w:eastAsia="ja-JP"/>
              </w:rPr>
            </w:pPr>
            <w:r w:rsidRPr="004B0BFC">
              <w:rPr>
                <w:sz w:val="24"/>
                <w:lang w:eastAsia="ja-JP"/>
              </w:rPr>
              <w:t>15</w:t>
            </w:r>
          </w:p>
        </w:tc>
        <w:tc>
          <w:tcPr>
            <w:tcW w:w="743" w:type="dxa"/>
            <w:tcBorders>
              <w:top w:val="single" w:sz="8" w:space="0" w:color="000000"/>
              <w:left w:val="single" w:sz="8" w:space="0" w:color="000000"/>
              <w:bottom w:val="single" w:sz="18" w:space="0" w:color="000000"/>
              <w:right w:val="single" w:sz="8" w:space="0" w:color="000000"/>
            </w:tcBorders>
            <w:vAlign w:val="center"/>
          </w:tcPr>
          <w:p w14:paraId="21D615DE" w14:textId="77777777" w:rsidR="00E4519A" w:rsidRPr="004B0BFC" w:rsidRDefault="00E4519A" w:rsidP="00B30BCE">
            <w:pPr>
              <w:jc w:val="center"/>
              <w:rPr>
                <w:sz w:val="24"/>
                <w:lang w:eastAsia="ja-JP"/>
              </w:rPr>
            </w:pPr>
            <w:r>
              <w:rPr>
                <w:sz w:val="24"/>
                <w:lang w:eastAsia="ja-JP"/>
              </w:rPr>
              <w:t>16</w:t>
            </w:r>
          </w:p>
        </w:tc>
      </w:tr>
      <w:tr w:rsidR="00E4519A" w:rsidRPr="004B0BFC" w14:paraId="504A9A0F" w14:textId="77777777" w:rsidTr="00B30BCE">
        <w:trPr>
          <w:trHeight w:val="535"/>
        </w:trPr>
        <w:tc>
          <w:tcPr>
            <w:tcW w:w="898" w:type="dxa"/>
            <w:tcBorders>
              <w:top w:val="single" w:sz="8" w:space="0" w:color="000000"/>
              <w:left w:val="single" w:sz="8" w:space="0" w:color="000000"/>
              <w:bottom w:val="single" w:sz="8" w:space="0" w:color="000000"/>
              <w:right w:val="single" w:sz="18" w:space="0" w:color="000000"/>
            </w:tcBorders>
            <w:vAlign w:val="center"/>
          </w:tcPr>
          <w:p w14:paraId="1A8D6B5F" w14:textId="77777777" w:rsidR="00E4519A" w:rsidRPr="00C306F8" w:rsidRDefault="00E4519A" w:rsidP="00B30BCE">
            <w:pPr>
              <w:jc w:val="center"/>
              <w:rPr>
                <w:b/>
                <w:sz w:val="24"/>
                <w:lang w:eastAsia="ja-JP"/>
              </w:rPr>
            </w:pPr>
            <w:r>
              <w:rPr>
                <w:b/>
                <w:sz w:val="24"/>
                <w:lang w:eastAsia="ja-JP"/>
              </w:rPr>
              <w:t>T1</w:t>
            </w:r>
          </w:p>
        </w:tc>
        <w:tc>
          <w:tcPr>
            <w:tcW w:w="744" w:type="dxa"/>
            <w:tcBorders>
              <w:top w:val="single" w:sz="18" w:space="0" w:color="000000"/>
              <w:left w:val="single" w:sz="18" w:space="0" w:color="000000"/>
              <w:bottom w:val="single" w:sz="18" w:space="0" w:color="000000"/>
              <w:right w:val="dotted" w:sz="4" w:space="0" w:color="auto"/>
            </w:tcBorders>
            <w:shd w:val="pct10" w:color="auto" w:fill="auto"/>
            <w:vAlign w:val="center"/>
          </w:tcPr>
          <w:p w14:paraId="3E5CE817" w14:textId="77777777" w:rsidR="00E4519A" w:rsidRPr="006B4051" w:rsidRDefault="00E4519A" w:rsidP="00B30BCE">
            <w:pPr>
              <w:jc w:val="center"/>
              <w:rPr>
                <w:sz w:val="22"/>
                <w:szCs w:val="22"/>
                <w:lang w:eastAsia="ja-JP"/>
              </w:rPr>
            </w:pPr>
            <w:r>
              <w:rPr>
                <w:rFonts w:hint="eastAsia"/>
                <w:sz w:val="22"/>
                <w:szCs w:val="22"/>
                <w:lang w:eastAsia="ja-JP"/>
              </w:rPr>
              <w:t>0.226</w:t>
            </w:r>
          </w:p>
        </w:tc>
        <w:tc>
          <w:tcPr>
            <w:tcW w:w="744" w:type="dxa"/>
            <w:tcBorders>
              <w:top w:val="single" w:sz="18" w:space="0" w:color="000000"/>
              <w:left w:val="dotted" w:sz="4" w:space="0" w:color="auto"/>
              <w:bottom w:val="single" w:sz="18" w:space="0" w:color="000000"/>
              <w:right w:val="dotted" w:sz="4" w:space="0" w:color="auto"/>
            </w:tcBorders>
            <w:shd w:val="pct10" w:color="auto" w:fill="auto"/>
            <w:vAlign w:val="center"/>
          </w:tcPr>
          <w:p w14:paraId="0D408643" w14:textId="77777777" w:rsidR="00E4519A" w:rsidRPr="006B4051" w:rsidRDefault="00E4519A" w:rsidP="00B30BCE">
            <w:pPr>
              <w:jc w:val="center"/>
              <w:rPr>
                <w:sz w:val="22"/>
                <w:szCs w:val="22"/>
                <w:lang w:eastAsia="ja-JP"/>
              </w:rPr>
            </w:pPr>
            <w:r>
              <w:rPr>
                <w:rFonts w:hint="eastAsia"/>
                <w:sz w:val="22"/>
                <w:szCs w:val="22"/>
                <w:lang w:eastAsia="ja-JP"/>
              </w:rPr>
              <w:t>0.139</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7F6B6BE3" w14:textId="77777777" w:rsidR="00E4519A" w:rsidRPr="006B4051" w:rsidRDefault="00E4519A" w:rsidP="00B30BCE">
            <w:pPr>
              <w:jc w:val="center"/>
              <w:rPr>
                <w:sz w:val="22"/>
                <w:szCs w:val="22"/>
                <w:lang w:eastAsia="ja-JP"/>
              </w:rPr>
            </w:pPr>
            <w:r>
              <w:rPr>
                <w:rFonts w:hint="eastAsia"/>
                <w:sz w:val="22"/>
                <w:szCs w:val="22"/>
                <w:lang w:eastAsia="ja-JP"/>
              </w:rPr>
              <w:t>0.106</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5716E278" w14:textId="77777777" w:rsidR="00E4519A" w:rsidRPr="006B4051" w:rsidRDefault="00E4519A" w:rsidP="00B30BCE">
            <w:pPr>
              <w:jc w:val="center"/>
              <w:rPr>
                <w:sz w:val="22"/>
                <w:szCs w:val="22"/>
                <w:lang w:eastAsia="ja-JP"/>
              </w:rPr>
            </w:pPr>
            <w:r>
              <w:rPr>
                <w:rFonts w:hint="eastAsia"/>
                <w:sz w:val="22"/>
                <w:szCs w:val="22"/>
                <w:lang w:eastAsia="ja-JP"/>
              </w:rPr>
              <w:t>0.098</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23FAEAF0" w14:textId="77777777" w:rsidR="00E4519A" w:rsidRPr="006B4051" w:rsidRDefault="00E4519A" w:rsidP="00B30BCE">
            <w:pPr>
              <w:jc w:val="center"/>
              <w:rPr>
                <w:sz w:val="22"/>
                <w:szCs w:val="22"/>
                <w:lang w:eastAsia="ja-JP"/>
              </w:rPr>
            </w:pPr>
            <w:r>
              <w:rPr>
                <w:rFonts w:hint="eastAsia"/>
                <w:sz w:val="22"/>
                <w:szCs w:val="22"/>
                <w:lang w:eastAsia="ja-JP"/>
              </w:rPr>
              <w:t>0.077</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6C13CEC1" w14:textId="77777777" w:rsidR="00E4519A" w:rsidRPr="006B4051" w:rsidRDefault="00E4519A" w:rsidP="00B30BCE">
            <w:pPr>
              <w:jc w:val="center"/>
              <w:rPr>
                <w:sz w:val="22"/>
                <w:szCs w:val="22"/>
                <w:lang w:eastAsia="ja-JP"/>
              </w:rPr>
            </w:pPr>
            <w:r>
              <w:rPr>
                <w:rFonts w:hint="eastAsia"/>
                <w:sz w:val="22"/>
                <w:szCs w:val="22"/>
                <w:lang w:eastAsia="ja-JP"/>
              </w:rPr>
              <w:t>0.101</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4EEFAC96" w14:textId="77777777" w:rsidR="00E4519A" w:rsidRPr="006B4051" w:rsidRDefault="00E4519A" w:rsidP="00B30BCE">
            <w:pPr>
              <w:jc w:val="center"/>
              <w:rPr>
                <w:sz w:val="22"/>
                <w:szCs w:val="22"/>
                <w:lang w:eastAsia="ja-JP"/>
              </w:rPr>
            </w:pPr>
            <w:r>
              <w:rPr>
                <w:rFonts w:hint="eastAsia"/>
                <w:sz w:val="22"/>
                <w:szCs w:val="22"/>
                <w:lang w:eastAsia="ja-JP"/>
              </w:rPr>
              <w:t>0.103</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5BBCD4AD" w14:textId="77777777" w:rsidR="00E4519A" w:rsidRPr="006B4051" w:rsidRDefault="00E4519A" w:rsidP="00B30BCE">
            <w:pPr>
              <w:jc w:val="center"/>
              <w:rPr>
                <w:sz w:val="22"/>
                <w:szCs w:val="22"/>
                <w:lang w:eastAsia="ja-JP"/>
              </w:rPr>
            </w:pPr>
            <w:r>
              <w:rPr>
                <w:rFonts w:hint="eastAsia"/>
                <w:sz w:val="22"/>
                <w:szCs w:val="22"/>
                <w:lang w:eastAsia="ja-JP"/>
              </w:rPr>
              <w:t>0.138</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7637D70C" w14:textId="77777777" w:rsidR="00E4519A" w:rsidRPr="006B4051" w:rsidRDefault="00E4519A" w:rsidP="00B30BCE">
            <w:pPr>
              <w:jc w:val="center"/>
              <w:rPr>
                <w:sz w:val="22"/>
                <w:szCs w:val="22"/>
                <w:lang w:eastAsia="ja-JP"/>
              </w:rPr>
            </w:pPr>
            <w:r>
              <w:rPr>
                <w:rFonts w:hint="eastAsia"/>
                <w:sz w:val="22"/>
                <w:szCs w:val="22"/>
                <w:lang w:eastAsia="ja-JP"/>
              </w:rPr>
              <w:t>0.152</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5741DE45" w14:textId="77777777" w:rsidR="00E4519A" w:rsidRPr="006B4051" w:rsidRDefault="00E4519A" w:rsidP="00B30BCE">
            <w:pPr>
              <w:jc w:val="center"/>
              <w:rPr>
                <w:sz w:val="22"/>
                <w:szCs w:val="22"/>
                <w:lang w:eastAsia="ja-JP"/>
              </w:rPr>
            </w:pPr>
            <w:r>
              <w:rPr>
                <w:rFonts w:hint="eastAsia"/>
                <w:sz w:val="22"/>
                <w:szCs w:val="22"/>
                <w:lang w:eastAsia="ja-JP"/>
              </w:rPr>
              <w:t>0.158</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14F8E119" w14:textId="77777777" w:rsidR="00E4519A" w:rsidRPr="006B4051" w:rsidRDefault="00E4519A" w:rsidP="00B30BCE">
            <w:pPr>
              <w:jc w:val="center"/>
              <w:rPr>
                <w:sz w:val="22"/>
                <w:szCs w:val="22"/>
                <w:lang w:eastAsia="ja-JP"/>
              </w:rPr>
            </w:pPr>
            <w:r>
              <w:rPr>
                <w:rFonts w:hint="eastAsia"/>
                <w:sz w:val="22"/>
                <w:szCs w:val="22"/>
                <w:lang w:eastAsia="ja-JP"/>
              </w:rPr>
              <w:t>0.147</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2AE0425E" w14:textId="77777777" w:rsidR="00E4519A" w:rsidRPr="006B4051" w:rsidRDefault="00E4519A" w:rsidP="00B30BCE">
            <w:pPr>
              <w:jc w:val="center"/>
              <w:rPr>
                <w:sz w:val="22"/>
                <w:szCs w:val="22"/>
                <w:lang w:eastAsia="ja-JP"/>
              </w:rPr>
            </w:pPr>
            <w:r>
              <w:rPr>
                <w:rFonts w:hint="eastAsia"/>
                <w:sz w:val="22"/>
                <w:szCs w:val="22"/>
                <w:lang w:eastAsia="ja-JP"/>
              </w:rPr>
              <w:t>0.070</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785ED228" w14:textId="77777777" w:rsidR="00E4519A" w:rsidRPr="006B4051" w:rsidRDefault="00E4519A" w:rsidP="00B30BCE">
            <w:pPr>
              <w:jc w:val="center"/>
              <w:rPr>
                <w:sz w:val="22"/>
                <w:szCs w:val="22"/>
                <w:lang w:eastAsia="ja-JP"/>
              </w:rPr>
            </w:pPr>
            <w:r>
              <w:rPr>
                <w:rFonts w:hint="eastAsia"/>
                <w:sz w:val="22"/>
                <w:szCs w:val="22"/>
                <w:lang w:eastAsia="ja-JP"/>
              </w:rPr>
              <w:t>0.084</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68B149B5" w14:textId="77777777" w:rsidR="00E4519A" w:rsidRPr="006B4051" w:rsidRDefault="00E4519A" w:rsidP="00B30BCE">
            <w:pPr>
              <w:jc w:val="center"/>
              <w:rPr>
                <w:sz w:val="22"/>
                <w:szCs w:val="22"/>
                <w:lang w:eastAsia="ja-JP"/>
              </w:rPr>
            </w:pPr>
            <w:r>
              <w:rPr>
                <w:rFonts w:hint="eastAsia"/>
                <w:sz w:val="22"/>
                <w:szCs w:val="22"/>
                <w:lang w:eastAsia="ja-JP"/>
              </w:rPr>
              <w:t>0.083</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74658449" w14:textId="77777777" w:rsidR="00E4519A" w:rsidRPr="006B4051" w:rsidRDefault="00E4519A" w:rsidP="00B30BCE">
            <w:pPr>
              <w:jc w:val="center"/>
              <w:rPr>
                <w:sz w:val="22"/>
                <w:szCs w:val="22"/>
                <w:lang w:eastAsia="ja-JP"/>
              </w:rPr>
            </w:pPr>
            <w:r>
              <w:rPr>
                <w:rFonts w:hint="eastAsia"/>
                <w:sz w:val="22"/>
                <w:szCs w:val="22"/>
                <w:lang w:eastAsia="ja-JP"/>
              </w:rPr>
              <w:t>0.085</w:t>
            </w:r>
          </w:p>
        </w:tc>
        <w:tc>
          <w:tcPr>
            <w:tcW w:w="743" w:type="dxa"/>
            <w:tcBorders>
              <w:top w:val="single" w:sz="18" w:space="0" w:color="000000"/>
              <w:left w:val="dotted" w:sz="4" w:space="0" w:color="auto"/>
              <w:bottom w:val="single" w:sz="18" w:space="0" w:color="000000"/>
              <w:right w:val="single" w:sz="18" w:space="0" w:color="000000"/>
            </w:tcBorders>
            <w:shd w:val="pct10" w:color="auto" w:fill="auto"/>
            <w:vAlign w:val="center"/>
          </w:tcPr>
          <w:p w14:paraId="7590D50F" w14:textId="77777777" w:rsidR="00E4519A" w:rsidRPr="006B4051" w:rsidRDefault="00E4519A" w:rsidP="00B30BCE">
            <w:pPr>
              <w:jc w:val="center"/>
              <w:rPr>
                <w:sz w:val="22"/>
                <w:szCs w:val="22"/>
                <w:lang w:eastAsia="ja-JP"/>
              </w:rPr>
            </w:pPr>
            <w:r>
              <w:rPr>
                <w:rFonts w:hint="eastAsia"/>
                <w:sz w:val="22"/>
                <w:szCs w:val="22"/>
                <w:lang w:eastAsia="ja-JP"/>
              </w:rPr>
              <w:t>0.085</w:t>
            </w:r>
          </w:p>
        </w:tc>
      </w:tr>
      <w:tr w:rsidR="00E4519A" w:rsidRPr="0025160E" w14:paraId="5A940799" w14:textId="77777777" w:rsidTr="00B30BCE">
        <w:trPr>
          <w:trHeight w:val="499"/>
        </w:trPr>
        <w:tc>
          <w:tcPr>
            <w:tcW w:w="898" w:type="dxa"/>
            <w:tcBorders>
              <w:top w:val="single" w:sz="8" w:space="0" w:color="000000"/>
              <w:left w:val="single" w:sz="8" w:space="0" w:color="000000"/>
              <w:bottom w:val="single" w:sz="8" w:space="0" w:color="000000"/>
              <w:right w:val="single" w:sz="18" w:space="0" w:color="000000"/>
            </w:tcBorders>
            <w:vAlign w:val="center"/>
          </w:tcPr>
          <w:p w14:paraId="590503CB" w14:textId="77777777" w:rsidR="00E4519A" w:rsidRPr="00C306F8" w:rsidRDefault="00E4519A" w:rsidP="00B30BCE">
            <w:pPr>
              <w:jc w:val="center"/>
              <w:rPr>
                <w:b/>
                <w:sz w:val="24"/>
                <w:lang w:eastAsia="ja-JP"/>
              </w:rPr>
            </w:pPr>
            <w:r>
              <w:rPr>
                <w:rFonts w:hint="eastAsia"/>
                <w:b/>
                <w:sz w:val="24"/>
                <w:lang w:eastAsia="ja-JP"/>
              </w:rPr>
              <w:t>T2</w:t>
            </w:r>
          </w:p>
        </w:tc>
        <w:tc>
          <w:tcPr>
            <w:tcW w:w="744"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306F747D" w14:textId="77777777" w:rsidR="00E4519A" w:rsidRPr="006B4051" w:rsidRDefault="00E4519A" w:rsidP="00B30BCE">
            <w:pPr>
              <w:jc w:val="center"/>
              <w:rPr>
                <w:sz w:val="22"/>
                <w:szCs w:val="22"/>
                <w:lang w:eastAsia="ja-JP"/>
              </w:rPr>
            </w:pPr>
            <w:r>
              <w:rPr>
                <w:rFonts w:hint="eastAsia"/>
                <w:sz w:val="22"/>
                <w:szCs w:val="22"/>
                <w:lang w:eastAsia="ja-JP"/>
              </w:rPr>
              <w:t>0.596</w:t>
            </w:r>
          </w:p>
        </w:tc>
        <w:tc>
          <w:tcPr>
            <w:tcW w:w="744" w:type="dxa"/>
            <w:tcBorders>
              <w:top w:val="single" w:sz="18" w:space="0" w:color="000000"/>
              <w:left w:val="dotted" w:sz="4" w:space="0" w:color="auto"/>
              <w:bottom w:val="single" w:sz="18" w:space="0" w:color="000000"/>
              <w:right w:val="dotted" w:sz="4" w:space="0" w:color="auto"/>
            </w:tcBorders>
            <w:shd w:val="clear" w:color="auto" w:fill="auto"/>
            <w:vAlign w:val="center"/>
          </w:tcPr>
          <w:p w14:paraId="3ED4AEE9" w14:textId="77777777" w:rsidR="00E4519A" w:rsidRPr="006B4051" w:rsidRDefault="00E4519A" w:rsidP="00B30BCE">
            <w:pPr>
              <w:jc w:val="center"/>
              <w:rPr>
                <w:sz w:val="22"/>
                <w:szCs w:val="22"/>
                <w:lang w:eastAsia="ja-JP"/>
              </w:rPr>
            </w:pPr>
            <w:r>
              <w:rPr>
                <w:rFonts w:hint="eastAsia"/>
                <w:sz w:val="22"/>
                <w:szCs w:val="22"/>
                <w:lang w:eastAsia="ja-JP"/>
              </w:rPr>
              <w:t>0.425</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0046EFC6" w14:textId="77777777" w:rsidR="00E4519A" w:rsidRPr="006B4051" w:rsidRDefault="00E4519A" w:rsidP="00B30BCE">
            <w:pPr>
              <w:jc w:val="center"/>
              <w:rPr>
                <w:sz w:val="22"/>
                <w:szCs w:val="22"/>
                <w:lang w:eastAsia="ja-JP"/>
              </w:rPr>
            </w:pPr>
            <w:r>
              <w:rPr>
                <w:rFonts w:hint="eastAsia"/>
                <w:sz w:val="22"/>
                <w:szCs w:val="22"/>
                <w:lang w:eastAsia="ja-JP"/>
              </w:rPr>
              <w:t>0.299</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3C692B36" w14:textId="77777777" w:rsidR="00E4519A" w:rsidRPr="006B4051" w:rsidRDefault="00E4519A" w:rsidP="00B30BCE">
            <w:pPr>
              <w:jc w:val="center"/>
              <w:rPr>
                <w:sz w:val="22"/>
                <w:szCs w:val="22"/>
                <w:lang w:eastAsia="ja-JP"/>
              </w:rPr>
            </w:pPr>
            <w:r>
              <w:rPr>
                <w:rFonts w:hint="eastAsia"/>
                <w:sz w:val="22"/>
                <w:szCs w:val="22"/>
                <w:lang w:eastAsia="ja-JP"/>
              </w:rPr>
              <w:t>0.278</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29AB9DDF" w14:textId="77777777" w:rsidR="00E4519A" w:rsidRPr="006B4051" w:rsidRDefault="00E4519A" w:rsidP="00B30BCE">
            <w:pPr>
              <w:jc w:val="center"/>
              <w:rPr>
                <w:sz w:val="22"/>
                <w:szCs w:val="22"/>
                <w:lang w:eastAsia="ja-JP"/>
              </w:rPr>
            </w:pPr>
            <w:r>
              <w:rPr>
                <w:rFonts w:hint="eastAsia"/>
                <w:sz w:val="22"/>
                <w:szCs w:val="22"/>
                <w:lang w:eastAsia="ja-JP"/>
              </w:rPr>
              <w:t>0.503</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37D4416A" w14:textId="77777777" w:rsidR="00E4519A" w:rsidRPr="006B4051" w:rsidRDefault="00E4519A" w:rsidP="00B30BCE">
            <w:pPr>
              <w:jc w:val="center"/>
              <w:rPr>
                <w:sz w:val="22"/>
                <w:szCs w:val="22"/>
                <w:lang w:eastAsia="ja-JP"/>
              </w:rPr>
            </w:pPr>
            <w:r>
              <w:rPr>
                <w:rFonts w:hint="eastAsia"/>
                <w:sz w:val="22"/>
                <w:szCs w:val="22"/>
                <w:lang w:eastAsia="ja-JP"/>
              </w:rPr>
              <w:t>0.685</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64DE4B55" w14:textId="77777777" w:rsidR="00E4519A" w:rsidRPr="006B4051" w:rsidRDefault="00E4519A" w:rsidP="00B30BCE">
            <w:pPr>
              <w:jc w:val="center"/>
              <w:rPr>
                <w:sz w:val="22"/>
                <w:szCs w:val="22"/>
                <w:lang w:eastAsia="ja-JP"/>
              </w:rPr>
            </w:pPr>
            <w:r>
              <w:rPr>
                <w:rFonts w:hint="eastAsia"/>
                <w:sz w:val="22"/>
                <w:szCs w:val="22"/>
                <w:lang w:eastAsia="ja-JP"/>
              </w:rPr>
              <w:t>0.743</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3EFCF530" w14:textId="77777777" w:rsidR="00E4519A" w:rsidRPr="006B4051" w:rsidRDefault="00E4519A" w:rsidP="00B30BCE">
            <w:pPr>
              <w:jc w:val="center"/>
              <w:rPr>
                <w:sz w:val="22"/>
                <w:szCs w:val="22"/>
                <w:lang w:eastAsia="ja-JP"/>
              </w:rPr>
            </w:pPr>
            <w:r>
              <w:rPr>
                <w:rFonts w:hint="eastAsia"/>
                <w:sz w:val="22"/>
                <w:szCs w:val="22"/>
                <w:lang w:eastAsia="ja-JP"/>
              </w:rPr>
              <w:t>0.760</w:t>
            </w:r>
          </w:p>
        </w:tc>
        <w:tc>
          <w:tcPr>
            <w:tcW w:w="743" w:type="dxa"/>
            <w:tcBorders>
              <w:top w:val="single" w:sz="18" w:space="0" w:color="000000"/>
              <w:left w:val="single" w:sz="18" w:space="0" w:color="000000"/>
              <w:bottom w:val="single" w:sz="18" w:space="0" w:color="000000"/>
              <w:right w:val="dotted" w:sz="4" w:space="0" w:color="auto"/>
            </w:tcBorders>
            <w:shd w:val="pct10" w:color="auto" w:fill="auto"/>
            <w:vAlign w:val="center"/>
          </w:tcPr>
          <w:p w14:paraId="09570F34" w14:textId="77777777" w:rsidR="00E4519A" w:rsidRPr="006B4051" w:rsidRDefault="00E4519A" w:rsidP="00B30BCE">
            <w:pPr>
              <w:jc w:val="center"/>
              <w:rPr>
                <w:sz w:val="22"/>
                <w:szCs w:val="22"/>
                <w:lang w:eastAsia="ja-JP"/>
              </w:rPr>
            </w:pPr>
            <w:r>
              <w:rPr>
                <w:rFonts w:hint="eastAsia"/>
                <w:sz w:val="22"/>
                <w:szCs w:val="22"/>
                <w:lang w:eastAsia="ja-JP"/>
              </w:rPr>
              <w:t>0.342</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6BEEEC6B" w14:textId="77777777" w:rsidR="00E4519A" w:rsidRPr="006B4051" w:rsidRDefault="00E4519A" w:rsidP="00B30BCE">
            <w:pPr>
              <w:jc w:val="center"/>
              <w:rPr>
                <w:sz w:val="22"/>
                <w:szCs w:val="22"/>
                <w:lang w:eastAsia="ja-JP"/>
              </w:rPr>
            </w:pPr>
            <w:r>
              <w:rPr>
                <w:rFonts w:hint="eastAsia"/>
                <w:sz w:val="22"/>
                <w:szCs w:val="22"/>
                <w:lang w:eastAsia="ja-JP"/>
              </w:rPr>
              <w:t>0.352</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47F0BD5B" w14:textId="77777777" w:rsidR="00E4519A" w:rsidRPr="006B4051" w:rsidRDefault="00E4519A" w:rsidP="00B30BCE">
            <w:pPr>
              <w:jc w:val="center"/>
              <w:rPr>
                <w:sz w:val="22"/>
                <w:szCs w:val="22"/>
                <w:lang w:eastAsia="ja-JP"/>
              </w:rPr>
            </w:pPr>
            <w:r>
              <w:rPr>
                <w:rFonts w:hint="eastAsia"/>
                <w:sz w:val="22"/>
                <w:szCs w:val="22"/>
                <w:lang w:eastAsia="ja-JP"/>
              </w:rPr>
              <w:t>0.222</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799D28E4" w14:textId="77777777" w:rsidR="00E4519A" w:rsidRPr="006B4051" w:rsidRDefault="00E4519A" w:rsidP="00B30BCE">
            <w:pPr>
              <w:jc w:val="center"/>
              <w:rPr>
                <w:sz w:val="22"/>
                <w:szCs w:val="22"/>
                <w:lang w:eastAsia="ja-JP"/>
              </w:rPr>
            </w:pPr>
            <w:r>
              <w:rPr>
                <w:rFonts w:hint="eastAsia"/>
                <w:sz w:val="22"/>
                <w:szCs w:val="22"/>
                <w:lang w:eastAsia="ja-JP"/>
              </w:rPr>
              <w:t>0.146</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1D36B50E" w14:textId="77777777" w:rsidR="00E4519A" w:rsidRPr="006B4051" w:rsidRDefault="00E4519A" w:rsidP="00B30BCE">
            <w:pPr>
              <w:jc w:val="center"/>
              <w:rPr>
                <w:sz w:val="22"/>
                <w:szCs w:val="22"/>
                <w:lang w:eastAsia="ja-JP"/>
              </w:rPr>
            </w:pPr>
            <w:r>
              <w:rPr>
                <w:rFonts w:hint="eastAsia"/>
                <w:sz w:val="22"/>
                <w:szCs w:val="22"/>
                <w:lang w:eastAsia="ja-JP"/>
              </w:rPr>
              <w:t>0.071</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56CCA83C" w14:textId="77777777" w:rsidR="00E4519A" w:rsidRPr="006B4051" w:rsidRDefault="00E4519A" w:rsidP="00B30BCE">
            <w:pPr>
              <w:jc w:val="center"/>
              <w:rPr>
                <w:sz w:val="22"/>
                <w:szCs w:val="22"/>
                <w:lang w:eastAsia="ja-JP"/>
              </w:rPr>
            </w:pPr>
            <w:r>
              <w:rPr>
                <w:rFonts w:hint="eastAsia"/>
                <w:sz w:val="22"/>
                <w:szCs w:val="22"/>
                <w:lang w:eastAsia="ja-JP"/>
              </w:rPr>
              <w:t>0.053</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045EF0F3" w14:textId="77777777" w:rsidR="00E4519A" w:rsidRPr="006B4051" w:rsidRDefault="00E4519A" w:rsidP="00B30BCE">
            <w:pPr>
              <w:jc w:val="center"/>
              <w:rPr>
                <w:sz w:val="22"/>
                <w:szCs w:val="22"/>
                <w:lang w:eastAsia="ja-JP"/>
              </w:rPr>
            </w:pPr>
            <w:r>
              <w:rPr>
                <w:rFonts w:hint="eastAsia"/>
                <w:sz w:val="22"/>
                <w:szCs w:val="22"/>
                <w:lang w:eastAsia="ja-JP"/>
              </w:rPr>
              <w:t>0.085</w:t>
            </w:r>
          </w:p>
        </w:tc>
        <w:tc>
          <w:tcPr>
            <w:tcW w:w="743" w:type="dxa"/>
            <w:tcBorders>
              <w:top w:val="single" w:sz="18" w:space="0" w:color="000000"/>
              <w:left w:val="dotted" w:sz="4" w:space="0" w:color="auto"/>
              <w:bottom w:val="single" w:sz="18" w:space="0" w:color="000000"/>
              <w:right w:val="single" w:sz="18" w:space="0" w:color="000000"/>
            </w:tcBorders>
            <w:shd w:val="pct10" w:color="auto" w:fill="auto"/>
            <w:vAlign w:val="center"/>
          </w:tcPr>
          <w:p w14:paraId="494E4403" w14:textId="77777777" w:rsidR="00E4519A" w:rsidRPr="006B4051" w:rsidRDefault="00E4519A" w:rsidP="00B30BCE">
            <w:pPr>
              <w:jc w:val="center"/>
              <w:rPr>
                <w:sz w:val="22"/>
                <w:szCs w:val="22"/>
                <w:lang w:eastAsia="ja-JP"/>
              </w:rPr>
            </w:pPr>
            <w:r>
              <w:rPr>
                <w:rFonts w:hint="eastAsia"/>
                <w:sz w:val="22"/>
                <w:szCs w:val="22"/>
                <w:lang w:eastAsia="ja-JP"/>
              </w:rPr>
              <w:t>0.115</w:t>
            </w:r>
          </w:p>
        </w:tc>
      </w:tr>
      <w:tr w:rsidR="00E4519A" w:rsidRPr="004B0BFC" w14:paraId="1A76F819" w14:textId="77777777" w:rsidTr="00B30BCE">
        <w:trPr>
          <w:trHeight w:val="490"/>
        </w:trPr>
        <w:tc>
          <w:tcPr>
            <w:tcW w:w="898" w:type="dxa"/>
            <w:tcBorders>
              <w:top w:val="single" w:sz="8" w:space="0" w:color="000000"/>
              <w:left w:val="single" w:sz="8" w:space="0" w:color="000000"/>
              <w:bottom w:val="single" w:sz="8" w:space="0" w:color="000000"/>
              <w:right w:val="single" w:sz="18" w:space="0" w:color="000000"/>
            </w:tcBorders>
            <w:vAlign w:val="center"/>
          </w:tcPr>
          <w:p w14:paraId="7BF4509F" w14:textId="77777777" w:rsidR="00E4519A" w:rsidRPr="00C306F8" w:rsidRDefault="00E4519A" w:rsidP="00B30BCE">
            <w:pPr>
              <w:jc w:val="center"/>
              <w:rPr>
                <w:b/>
                <w:sz w:val="24"/>
                <w:lang w:eastAsia="ja-JP"/>
              </w:rPr>
            </w:pPr>
            <w:r>
              <w:rPr>
                <w:rFonts w:hint="eastAsia"/>
                <w:b/>
                <w:sz w:val="24"/>
                <w:lang w:eastAsia="ja-JP"/>
              </w:rPr>
              <w:t>T4</w:t>
            </w:r>
          </w:p>
        </w:tc>
        <w:tc>
          <w:tcPr>
            <w:tcW w:w="744" w:type="dxa"/>
            <w:tcBorders>
              <w:top w:val="single" w:sz="18" w:space="0" w:color="000000"/>
              <w:left w:val="single" w:sz="18" w:space="0" w:color="000000"/>
              <w:bottom w:val="single" w:sz="18" w:space="0" w:color="000000"/>
              <w:right w:val="dotted" w:sz="4" w:space="0" w:color="auto"/>
            </w:tcBorders>
            <w:vAlign w:val="center"/>
          </w:tcPr>
          <w:p w14:paraId="66C5CE02" w14:textId="77777777" w:rsidR="00E4519A" w:rsidRPr="006B4051" w:rsidRDefault="00E4519A" w:rsidP="00B30BCE">
            <w:pPr>
              <w:jc w:val="center"/>
              <w:rPr>
                <w:sz w:val="22"/>
                <w:szCs w:val="22"/>
                <w:lang w:eastAsia="ja-JP"/>
              </w:rPr>
            </w:pPr>
            <w:r>
              <w:rPr>
                <w:rFonts w:hint="eastAsia"/>
                <w:sz w:val="22"/>
                <w:szCs w:val="22"/>
                <w:lang w:eastAsia="ja-JP"/>
              </w:rPr>
              <w:t>0.385</w:t>
            </w:r>
          </w:p>
        </w:tc>
        <w:tc>
          <w:tcPr>
            <w:tcW w:w="744" w:type="dxa"/>
            <w:tcBorders>
              <w:top w:val="single" w:sz="18" w:space="0" w:color="000000"/>
              <w:left w:val="dotted" w:sz="4" w:space="0" w:color="auto"/>
              <w:bottom w:val="single" w:sz="18" w:space="0" w:color="000000"/>
              <w:right w:val="dotted" w:sz="4" w:space="0" w:color="auto"/>
            </w:tcBorders>
            <w:vAlign w:val="center"/>
          </w:tcPr>
          <w:p w14:paraId="4D7D1272" w14:textId="77777777" w:rsidR="00E4519A" w:rsidRPr="006B4051" w:rsidRDefault="00E4519A" w:rsidP="00B30BCE">
            <w:pPr>
              <w:jc w:val="center"/>
              <w:rPr>
                <w:sz w:val="22"/>
                <w:szCs w:val="22"/>
                <w:lang w:eastAsia="ja-JP"/>
              </w:rPr>
            </w:pPr>
            <w:r>
              <w:rPr>
                <w:rFonts w:hint="eastAsia"/>
                <w:sz w:val="22"/>
                <w:szCs w:val="22"/>
                <w:lang w:eastAsia="ja-JP"/>
              </w:rPr>
              <w:t>0.489</w:t>
            </w:r>
          </w:p>
        </w:tc>
        <w:tc>
          <w:tcPr>
            <w:tcW w:w="743" w:type="dxa"/>
            <w:tcBorders>
              <w:top w:val="single" w:sz="18" w:space="0" w:color="000000"/>
              <w:left w:val="dotted" w:sz="4" w:space="0" w:color="auto"/>
              <w:bottom w:val="single" w:sz="18" w:space="0" w:color="000000"/>
              <w:right w:val="dotted" w:sz="4" w:space="0" w:color="auto"/>
            </w:tcBorders>
            <w:vAlign w:val="center"/>
          </w:tcPr>
          <w:p w14:paraId="52397295" w14:textId="77777777" w:rsidR="00E4519A" w:rsidRPr="006B4051" w:rsidRDefault="00E4519A" w:rsidP="00B30BCE">
            <w:pPr>
              <w:jc w:val="center"/>
              <w:rPr>
                <w:sz w:val="22"/>
                <w:szCs w:val="22"/>
                <w:lang w:eastAsia="ja-JP"/>
              </w:rPr>
            </w:pPr>
            <w:r>
              <w:rPr>
                <w:rFonts w:hint="eastAsia"/>
                <w:sz w:val="22"/>
                <w:szCs w:val="22"/>
                <w:lang w:eastAsia="ja-JP"/>
              </w:rPr>
              <w:t>0.495</w:t>
            </w:r>
          </w:p>
        </w:tc>
        <w:tc>
          <w:tcPr>
            <w:tcW w:w="743" w:type="dxa"/>
            <w:tcBorders>
              <w:top w:val="single" w:sz="18" w:space="0" w:color="000000"/>
              <w:left w:val="dotted" w:sz="4" w:space="0" w:color="auto"/>
              <w:bottom w:val="single" w:sz="18" w:space="0" w:color="000000"/>
              <w:right w:val="single" w:sz="18" w:space="0" w:color="000000"/>
            </w:tcBorders>
            <w:vAlign w:val="center"/>
          </w:tcPr>
          <w:p w14:paraId="00EDAFCD" w14:textId="77777777" w:rsidR="00E4519A" w:rsidRPr="006B4051" w:rsidRDefault="00E4519A" w:rsidP="00B30BCE">
            <w:pPr>
              <w:jc w:val="center"/>
              <w:rPr>
                <w:sz w:val="22"/>
                <w:szCs w:val="22"/>
                <w:lang w:eastAsia="ja-JP"/>
              </w:rPr>
            </w:pPr>
            <w:r>
              <w:rPr>
                <w:rFonts w:hint="eastAsia"/>
                <w:sz w:val="22"/>
                <w:szCs w:val="22"/>
                <w:lang w:eastAsia="ja-JP"/>
              </w:rPr>
              <w:t>0.543</w:t>
            </w:r>
          </w:p>
        </w:tc>
        <w:tc>
          <w:tcPr>
            <w:tcW w:w="743" w:type="dxa"/>
            <w:tcBorders>
              <w:top w:val="single" w:sz="18" w:space="0" w:color="000000"/>
              <w:left w:val="single" w:sz="18" w:space="0" w:color="000000"/>
              <w:bottom w:val="single" w:sz="18" w:space="0" w:color="000000"/>
              <w:right w:val="dotted" w:sz="4" w:space="0" w:color="auto"/>
            </w:tcBorders>
            <w:vAlign w:val="center"/>
          </w:tcPr>
          <w:p w14:paraId="397DEDA4" w14:textId="77777777" w:rsidR="00E4519A" w:rsidRPr="006B4051" w:rsidRDefault="00E4519A" w:rsidP="00B30BCE">
            <w:pPr>
              <w:jc w:val="center"/>
              <w:rPr>
                <w:sz w:val="22"/>
                <w:szCs w:val="22"/>
                <w:lang w:eastAsia="ja-JP"/>
              </w:rPr>
            </w:pPr>
            <w:r>
              <w:rPr>
                <w:rFonts w:hint="eastAsia"/>
                <w:sz w:val="22"/>
                <w:szCs w:val="22"/>
                <w:lang w:eastAsia="ja-JP"/>
              </w:rPr>
              <w:t>0.517</w:t>
            </w:r>
          </w:p>
        </w:tc>
        <w:tc>
          <w:tcPr>
            <w:tcW w:w="743" w:type="dxa"/>
            <w:tcBorders>
              <w:top w:val="single" w:sz="18" w:space="0" w:color="000000"/>
              <w:left w:val="dotted" w:sz="4" w:space="0" w:color="auto"/>
              <w:bottom w:val="single" w:sz="18" w:space="0" w:color="000000"/>
              <w:right w:val="dotted" w:sz="4" w:space="0" w:color="auto"/>
            </w:tcBorders>
            <w:vAlign w:val="center"/>
          </w:tcPr>
          <w:p w14:paraId="2F127FD3" w14:textId="77777777" w:rsidR="00E4519A" w:rsidRPr="006B4051" w:rsidRDefault="00E4519A" w:rsidP="00B30BCE">
            <w:pPr>
              <w:jc w:val="center"/>
              <w:rPr>
                <w:sz w:val="22"/>
                <w:szCs w:val="22"/>
                <w:lang w:eastAsia="ja-JP"/>
              </w:rPr>
            </w:pPr>
            <w:r>
              <w:rPr>
                <w:rFonts w:hint="eastAsia"/>
                <w:sz w:val="22"/>
                <w:szCs w:val="22"/>
                <w:lang w:eastAsia="ja-JP"/>
              </w:rPr>
              <w:t>0.527</w:t>
            </w:r>
          </w:p>
        </w:tc>
        <w:tc>
          <w:tcPr>
            <w:tcW w:w="743" w:type="dxa"/>
            <w:tcBorders>
              <w:top w:val="single" w:sz="18" w:space="0" w:color="000000"/>
              <w:left w:val="dotted" w:sz="4" w:space="0" w:color="auto"/>
              <w:bottom w:val="single" w:sz="18" w:space="0" w:color="000000"/>
              <w:right w:val="dotted" w:sz="4" w:space="0" w:color="auto"/>
            </w:tcBorders>
            <w:vAlign w:val="center"/>
          </w:tcPr>
          <w:p w14:paraId="73BE9F63" w14:textId="77777777" w:rsidR="00E4519A" w:rsidRPr="006B4051" w:rsidRDefault="00E4519A" w:rsidP="00B30BCE">
            <w:pPr>
              <w:jc w:val="center"/>
              <w:rPr>
                <w:sz w:val="22"/>
                <w:szCs w:val="22"/>
                <w:lang w:eastAsia="ja-JP"/>
              </w:rPr>
            </w:pPr>
            <w:r>
              <w:rPr>
                <w:rFonts w:hint="eastAsia"/>
                <w:sz w:val="22"/>
                <w:szCs w:val="22"/>
                <w:lang w:eastAsia="ja-JP"/>
              </w:rPr>
              <w:t>0.556</w:t>
            </w:r>
          </w:p>
        </w:tc>
        <w:tc>
          <w:tcPr>
            <w:tcW w:w="743" w:type="dxa"/>
            <w:tcBorders>
              <w:top w:val="single" w:sz="18" w:space="0" w:color="000000"/>
              <w:left w:val="dotted" w:sz="4" w:space="0" w:color="auto"/>
              <w:bottom w:val="single" w:sz="18" w:space="0" w:color="000000"/>
              <w:right w:val="single" w:sz="18" w:space="0" w:color="000000"/>
            </w:tcBorders>
            <w:vAlign w:val="center"/>
          </w:tcPr>
          <w:p w14:paraId="72F57BB8" w14:textId="77777777" w:rsidR="00E4519A" w:rsidRPr="006B4051" w:rsidRDefault="00E4519A" w:rsidP="00B30BCE">
            <w:pPr>
              <w:jc w:val="center"/>
              <w:rPr>
                <w:sz w:val="22"/>
                <w:szCs w:val="22"/>
                <w:lang w:eastAsia="ja-JP"/>
              </w:rPr>
            </w:pPr>
            <w:r>
              <w:rPr>
                <w:rFonts w:hint="eastAsia"/>
                <w:sz w:val="22"/>
                <w:szCs w:val="22"/>
                <w:lang w:eastAsia="ja-JP"/>
              </w:rPr>
              <w:t>0.653</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4E982B44" w14:textId="77777777" w:rsidR="00E4519A" w:rsidRPr="006B4051" w:rsidRDefault="00E4519A" w:rsidP="00B30BCE">
            <w:pPr>
              <w:jc w:val="center"/>
              <w:rPr>
                <w:sz w:val="22"/>
                <w:szCs w:val="22"/>
                <w:lang w:eastAsia="ja-JP"/>
              </w:rPr>
            </w:pPr>
            <w:r>
              <w:rPr>
                <w:rFonts w:hint="eastAsia"/>
                <w:sz w:val="22"/>
                <w:szCs w:val="22"/>
                <w:lang w:eastAsia="ja-JP"/>
              </w:rPr>
              <w:t>0.535</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3EC0BF6C" w14:textId="77777777" w:rsidR="00E4519A" w:rsidRPr="006B4051" w:rsidRDefault="00E4519A" w:rsidP="00B30BCE">
            <w:pPr>
              <w:jc w:val="center"/>
              <w:rPr>
                <w:sz w:val="22"/>
                <w:szCs w:val="22"/>
                <w:lang w:eastAsia="ja-JP"/>
              </w:rPr>
            </w:pPr>
            <w:r>
              <w:rPr>
                <w:rFonts w:hint="eastAsia"/>
                <w:sz w:val="22"/>
                <w:szCs w:val="22"/>
                <w:lang w:eastAsia="ja-JP"/>
              </w:rPr>
              <w:t>0.530</w:t>
            </w:r>
          </w:p>
        </w:tc>
        <w:tc>
          <w:tcPr>
            <w:tcW w:w="743" w:type="dxa"/>
            <w:tcBorders>
              <w:top w:val="single" w:sz="18" w:space="0" w:color="000000"/>
              <w:left w:val="dotted" w:sz="4" w:space="0" w:color="auto"/>
              <w:bottom w:val="single" w:sz="18" w:space="0" w:color="000000"/>
              <w:right w:val="dotted" w:sz="4" w:space="0" w:color="auto"/>
            </w:tcBorders>
            <w:shd w:val="clear" w:color="auto" w:fill="auto"/>
            <w:vAlign w:val="center"/>
          </w:tcPr>
          <w:p w14:paraId="037C6569" w14:textId="77777777" w:rsidR="00E4519A" w:rsidRPr="006B4051" w:rsidRDefault="00E4519A" w:rsidP="00B30BCE">
            <w:pPr>
              <w:jc w:val="center"/>
              <w:rPr>
                <w:sz w:val="22"/>
                <w:szCs w:val="22"/>
                <w:lang w:eastAsia="ja-JP"/>
              </w:rPr>
            </w:pPr>
            <w:r>
              <w:rPr>
                <w:rFonts w:hint="eastAsia"/>
                <w:sz w:val="22"/>
                <w:szCs w:val="22"/>
                <w:lang w:eastAsia="ja-JP"/>
              </w:rPr>
              <w:t>0.511</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564B1215" w14:textId="77777777" w:rsidR="00E4519A" w:rsidRPr="006B4051" w:rsidRDefault="00E4519A" w:rsidP="00B30BCE">
            <w:pPr>
              <w:jc w:val="center"/>
              <w:rPr>
                <w:sz w:val="22"/>
                <w:szCs w:val="22"/>
                <w:lang w:eastAsia="ja-JP"/>
              </w:rPr>
            </w:pPr>
            <w:r>
              <w:rPr>
                <w:rFonts w:hint="eastAsia"/>
                <w:sz w:val="22"/>
                <w:szCs w:val="22"/>
                <w:lang w:eastAsia="ja-JP"/>
              </w:rPr>
              <w:t>0.459</w:t>
            </w:r>
          </w:p>
        </w:tc>
        <w:tc>
          <w:tcPr>
            <w:tcW w:w="743" w:type="dxa"/>
            <w:tcBorders>
              <w:top w:val="single" w:sz="18" w:space="0" w:color="000000"/>
              <w:left w:val="single" w:sz="18" w:space="0" w:color="000000"/>
              <w:bottom w:val="single" w:sz="18" w:space="0" w:color="000000"/>
              <w:right w:val="dotted" w:sz="4" w:space="0" w:color="auto"/>
            </w:tcBorders>
            <w:shd w:val="pct10" w:color="auto" w:fill="auto"/>
            <w:vAlign w:val="center"/>
          </w:tcPr>
          <w:p w14:paraId="19019E87" w14:textId="77777777" w:rsidR="00E4519A" w:rsidRPr="006B4051" w:rsidRDefault="00E4519A" w:rsidP="00B30BCE">
            <w:pPr>
              <w:jc w:val="center"/>
              <w:rPr>
                <w:sz w:val="22"/>
                <w:szCs w:val="22"/>
                <w:lang w:eastAsia="ja-JP"/>
              </w:rPr>
            </w:pPr>
            <w:r>
              <w:rPr>
                <w:rFonts w:hint="eastAsia"/>
                <w:sz w:val="22"/>
                <w:szCs w:val="22"/>
                <w:lang w:eastAsia="ja-JP"/>
              </w:rPr>
              <w:t>0.341</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6E2B4DEC" w14:textId="77777777" w:rsidR="00E4519A" w:rsidRPr="006B4051" w:rsidRDefault="00E4519A" w:rsidP="00B30BCE">
            <w:pPr>
              <w:jc w:val="center"/>
              <w:rPr>
                <w:sz w:val="22"/>
                <w:szCs w:val="22"/>
                <w:lang w:eastAsia="ja-JP"/>
              </w:rPr>
            </w:pPr>
            <w:r>
              <w:rPr>
                <w:rFonts w:hint="eastAsia"/>
                <w:sz w:val="22"/>
                <w:szCs w:val="22"/>
                <w:lang w:eastAsia="ja-JP"/>
              </w:rPr>
              <w:t>0.163</w:t>
            </w:r>
          </w:p>
        </w:tc>
        <w:tc>
          <w:tcPr>
            <w:tcW w:w="743" w:type="dxa"/>
            <w:tcBorders>
              <w:top w:val="single" w:sz="18" w:space="0" w:color="000000"/>
              <w:left w:val="dotted" w:sz="4" w:space="0" w:color="auto"/>
              <w:bottom w:val="single" w:sz="18" w:space="0" w:color="000000"/>
              <w:right w:val="dotted" w:sz="4" w:space="0" w:color="auto"/>
            </w:tcBorders>
            <w:shd w:val="pct10" w:color="auto" w:fill="auto"/>
            <w:vAlign w:val="center"/>
          </w:tcPr>
          <w:p w14:paraId="0E594F5F" w14:textId="77777777" w:rsidR="00E4519A" w:rsidRPr="006B4051" w:rsidRDefault="00E4519A" w:rsidP="00B30BCE">
            <w:pPr>
              <w:jc w:val="center"/>
              <w:rPr>
                <w:sz w:val="22"/>
                <w:szCs w:val="22"/>
                <w:lang w:eastAsia="ja-JP"/>
              </w:rPr>
            </w:pPr>
            <w:r>
              <w:rPr>
                <w:rFonts w:hint="eastAsia"/>
                <w:sz w:val="22"/>
                <w:szCs w:val="22"/>
                <w:lang w:eastAsia="ja-JP"/>
              </w:rPr>
              <w:t>0.110</w:t>
            </w:r>
          </w:p>
        </w:tc>
        <w:tc>
          <w:tcPr>
            <w:tcW w:w="743" w:type="dxa"/>
            <w:tcBorders>
              <w:top w:val="single" w:sz="18" w:space="0" w:color="000000"/>
              <w:left w:val="dotted" w:sz="4" w:space="0" w:color="auto"/>
              <w:bottom w:val="single" w:sz="18" w:space="0" w:color="000000"/>
              <w:right w:val="single" w:sz="18" w:space="0" w:color="000000"/>
            </w:tcBorders>
            <w:shd w:val="pct10" w:color="auto" w:fill="auto"/>
            <w:vAlign w:val="center"/>
          </w:tcPr>
          <w:p w14:paraId="1346B413" w14:textId="77777777" w:rsidR="00E4519A" w:rsidRPr="006B4051" w:rsidRDefault="00E4519A" w:rsidP="00B30BCE">
            <w:pPr>
              <w:jc w:val="center"/>
              <w:rPr>
                <w:sz w:val="22"/>
                <w:szCs w:val="22"/>
                <w:lang w:eastAsia="ja-JP"/>
              </w:rPr>
            </w:pPr>
            <w:r>
              <w:rPr>
                <w:rFonts w:hint="eastAsia"/>
                <w:sz w:val="22"/>
                <w:szCs w:val="22"/>
                <w:lang w:eastAsia="ja-JP"/>
              </w:rPr>
              <w:t>0.052</w:t>
            </w:r>
          </w:p>
        </w:tc>
      </w:tr>
      <w:tr w:rsidR="00E4519A" w:rsidRPr="004B0BFC" w14:paraId="261B5742" w14:textId="77777777" w:rsidTr="00B30BCE">
        <w:trPr>
          <w:trHeight w:val="499"/>
        </w:trPr>
        <w:tc>
          <w:tcPr>
            <w:tcW w:w="898" w:type="dxa"/>
            <w:tcBorders>
              <w:top w:val="single" w:sz="8" w:space="0" w:color="000000"/>
              <w:left w:val="single" w:sz="8" w:space="0" w:color="000000"/>
              <w:bottom w:val="single" w:sz="8" w:space="0" w:color="000000"/>
              <w:right w:val="single" w:sz="18" w:space="0" w:color="000000"/>
            </w:tcBorders>
            <w:vAlign w:val="center"/>
          </w:tcPr>
          <w:p w14:paraId="61189D96" w14:textId="77777777" w:rsidR="00E4519A" w:rsidRPr="004510F5" w:rsidRDefault="00E4519A" w:rsidP="00B30BCE">
            <w:pPr>
              <w:jc w:val="center"/>
              <w:rPr>
                <w:b/>
                <w:sz w:val="24"/>
                <w:lang w:eastAsia="ja-JP"/>
              </w:rPr>
            </w:pPr>
            <w:r w:rsidRPr="00377B05">
              <w:rPr>
                <w:b/>
                <w:sz w:val="24"/>
                <w:lang w:eastAsia="ja-JP"/>
              </w:rPr>
              <w:t>T8</w:t>
            </w:r>
          </w:p>
        </w:tc>
        <w:tc>
          <w:tcPr>
            <w:tcW w:w="744" w:type="dxa"/>
            <w:tcBorders>
              <w:top w:val="single" w:sz="18" w:space="0" w:color="000000"/>
              <w:left w:val="single" w:sz="18" w:space="0" w:color="000000"/>
              <w:bottom w:val="single" w:sz="18" w:space="0" w:color="000000"/>
              <w:right w:val="dotted" w:sz="4" w:space="0" w:color="auto"/>
            </w:tcBorders>
            <w:vAlign w:val="center"/>
          </w:tcPr>
          <w:p w14:paraId="086280C7" w14:textId="77777777" w:rsidR="00E4519A" w:rsidRPr="006B4051" w:rsidRDefault="00E4519A" w:rsidP="00B30BCE">
            <w:pPr>
              <w:jc w:val="center"/>
              <w:rPr>
                <w:sz w:val="22"/>
                <w:szCs w:val="22"/>
                <w:lang w:eastAsia="ja-JP"/>
              </w:rPr>
            </w:pPr>
            <w:r>
              <w:rPr>
                <w:rFonts w:hint="eastAsia"/>
                <w:sz w:val="22"/>
                <w:szCs w:val="22"/>
                <w:lang w:eastAsia="ja-JP"/>
              </w:rPr>
              <w:t>0.527</w:t>
            </w:r>
          </w:p>
        </w:tc>
        <w:tc>
          <w:tcPr>
            <w:tcW w:w="744" w:type="dxa"/>
            <w:tcBorders>
              <w:top w:val="single" w:sz="18" w:space="0" w:color="000000"/>
              <w:left w:val="dotted" w:sz="4" w:space="0" w:color="auto"/>
              <w:bottom w:val="single" w:sz="18" w:space="0" w:color="000000"/>
              <w:right w:val="single" w:sz="18" w:space="0" w:color="000000"/>
            </w:tcBorders>
            <w:vAlign w:val="center"/>
          </w:tcPr>
          <w:p w14:paraId="45F2FA61" w14:textId="77777777" w:rsidR="00E4519A" w:rsidRPr="006B4051" w:rsidRDefault="00E4519A" w:rsidP="00B30BCE">
            <w:pPr>
              <w:jc w:val="center"/>
              <w:rPr>
                <w:sz w:val="22"/>
                <w:szCs w:val="22"/>
                <w:lang w:eastAsia="ja-JP"/>
              </w:rPr>
            </w:pPr>
            <w:r>
              <w:rPr>
                <w:rFonts w:hint="eastAsia"/>
                <w:sz w:val="22"/>
                <w:szCs w:val="22"/>
                <w:lang w:eastAsia="ja-JP"/>
              </w:rPr>
              <w:t>0.214</w:t>
            </w:r>
          </w:p>
        </w:tc>
        <w:tc>
          <w:tcPr>
            <w:tcW w:w="743" w:type="dxa"/>
            <w:tcBorders>
              <w:top w:val="single" w:sz="18" w:space="0" w:color="000000"/>
              <w:left w:val="single" w:sz="18" w:space="0" w:color="000000"/>
              <w:bottom w:val="single" w:sz="18" w:space="0" w:color="000000"/>
              <w:right w:val="dotted" w:sz="4" w:space="0" w:color="auto"/>
            </w:tcBorders>
            <w:vAlign w:val="center"/>
          </w:tcPr>
          <w:p w14:paraId="157C3BE6" w14:textId="77777777" w:rsidR="00E4519A" w:rsidRPr="006B4051" w:rsidRDefault="00E4519A" w:rsidP="00B30BCE">
            <w:pPr>
              <w:jc w:val="center"/>
              <w:rPr>
                <w:sz w:val="22"/>
                <w:szCs w:val="22"/>
                <w:lang w:eastAsia="ja-JP"/>
              </w:rPr>
            </w:pPr>
            <w:r>
              <w:rPr>
                <w:rFonts w:hint="eastAsia"/>
                <w:sz w:val="22"/>
                <w:szCs w:val="22"/>
                <w:lang w:eastAsia="ja-JP"/>
              </w:rPr>
              <w:t>0.249</w:t>
            </w:r>
          </w:p>
        </w:tc>
        <w:tc>
          <w:tcPr>
            <w:tcW w:w="743" w:type="dxa"/>
            <w:tcBorders>
              <w:top w:val="single" w:sz="18" w:space="0" w:color="000000"/>
              <w:left w:val="dotted" w:sz="4" w:space="0" w:color="auto"/>
              <w:bottom w:val="single" w:sz="18" w:space="0" w:color="000000"/>
              <w:right w:val="single" w:sz="18" w:space="0" w:color="000000"/>
            </w:tcBorders>
            <w:vAlign w:val="center"/>
          </w:tcPr>
          <w:p w14:paraId="5A12A62B" w14:textId="77777777" w:rsidR="00E4519A" w:rsidRPr="006B4051" w:rsidRDefault="00E4519A" w:rsidP="00B30BCE">
            <w:pPr>
              <w:jc w:val="center"/>
              <w:rPr>
                <w:sz w:val="22"/>
                <w:szCs w:val="22"/>
                <w:lang w:eastAsia="ja-JP"/>
              </w:rPr>
            </w:pPr>
            <w:r>
              <w:rPr>
                <w:rFonts w:hint="eastAsia"/>
                <w:sz w:val="22"/>
                <w:szCs w:val="22"/>
                <w:lang w:eastAsia="ja-JP"/>
              </w:rPr>
              <w:t>0.398</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187DA1A1" w14:textId="77777777" w:rsidR="00E4519A" w:rsidRPr="006B4051" w:rsidRDefault="00E4519A" w:rsidP="00B30BCE">
            <w:pPr>
              <w:jc w:val="center"/>
              <w:rPr>
                <w:sz w:val="22"/>
                <w:szCs w:val="22"/>
                <w:lang w:eastAsia="ja-JP"/>
              </w:rPr>
            </w:pPr>
            <w:r>
              <w:rPr>
                <w:rFonts w:hint="eastAsia"/>
                <w:sz w:val="22"/>
                <w:szCs w:val="22"/>
                <w:lang w:eastAsia="ja-JP"/>
              </w:rPr>
              <w:t>0.315</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26AE6772" w14:textId="77777777" w:rsidR="00E4519A" w:rsidRPr="006B4051" w:rsidRDefault="00E4519A" w:rsidP="00B30BCE">
            <w:pPr>
              <w:jc w:val="center"/>
              <w:rPr>
                <w:sz w:val="22"/>
                <w:szCs w:val="22"/>
                <w:lang w:eastAsia="ja-JP"/>
              </w:rPr>
            </w:pPr>
            <w:r>
              <w:rPr>
                <w:rFonts w:hint="eastAsia"/>
                <w:sz w:val="22"/>
                <w:szCs w:val="22"/>
                <w:lang w:eastAsia="ja-JP"/>
              </w:rPr>
              <w:t>0.313</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0BC33E9C" w14:textId="77777777" w:rsidR="00E4519A" w:rsidRPr="006B4051" w:rsidRDefault="00E4519A" w:rsidP="00B30BCE">
            <w:pPr>
              <w:jc w:val="center"/>
              <w:rPr>
                <w:sz w:val="22"/>
                <w:szCs w:val="22"/>
                <w:lang w:eastAsia="ja-JP"/>
              </w:rPr>
            </w:pPr>
            <w:r>
              <w:rPr>
                <w:rFonts w:hint="eastAsia"/>
                <w:sz w:val="22"/>
                <w:szCs w:val="22"/>
                <w:lang w:eastAsia="ja-JP"/>
              </w:rPr>
              <w:t>0.355</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5C459101" w14:textId="77777777" w:rsidR="00E4519A" w:rsidRPr="006B4051" w:rsidRDefault="00E4519A" w:rsidP="00B30BCE">
            <w:pPr>
              <w:jc w:val="center"/>
              <w:rPr>
                <w:sz w:val="22"/>
                <w:szCs w:val="22"/>
                <w:lang w:eastAsia="ja-JP"/>
              </w:rPr>
            </w:pPr>
            <w:r>
              <w:rPr>
                <w:rFonts w:hint="eastAsia"/>
                <w:sz w:val="22"/>
                <w:szCs w:val="22"/>
                <w:lang w:eastAsia="ja-JP"/>
              </w:rPr>
              <w:t>0.499</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73D8C540" w14:textId="77777777" w:rsidR="00E4519A" w:rsidRPr="006B4051" w:rsidRDefault="00E4519A" w:rsidP="00B30BCE">
            <w:pPr>
              <w:jc w:val="center"/>
              <w:rPr>
                <w:sz w:val="22"/>
                <w:szCs w:val="22"/>
                <w:lang w:eastAsia="ja-JP"/>
              </w:rPr>
            </w:pPr>
            <w:r>
              <w:rPr>
                <w:rFonts w:hint="eastAsia"/>
                <w:sz w:val="22"/>
                <w:szCs w:val="22"/>
                <w:lang w:eastAsia="ja-JP"/>
              </w:rPr>
              <w:t>0.446</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5E142C0C" w14:textId="77777777" w:rsidR="00E4519A" w:rsidRPr="006B4051" w:rsidRDefault="00E4519A" w:rsidP="00B30BCE">
            <w:pPr>
              <w:jc w:val="center"/>
              <w:rPr>
                <w:sz w:val="22"/>
                <w:szCs w:val="22"/>
                <w:lang w:eastAsia="ja-JP"/>
              </w:rPr>
            </w:pPr>
            <w:r>
              <w:rPr>
                <w:rFonts w:hint="eastAsia"/>
                <w:sz w:val="22"/>
                <w:szCs w:val="22"/>
                <w:lang w:eastAsia="ja-JP"/>
              </w:rPr>
              <w:t>0.584</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46EAB5AE" w14:textId="77777777" w:rsidR="00E4519A" w:rsidRPr="006B4051" w:rsidRDefault="00E4519A" w:rsidP="00B30BCE">
            <w:pPr>
              <w:jc w:val="center"/>
              <w:rPr>
                <w:sz w:val="22"/>
                <w:szCs w:val="22"/>
                <w:lang w:eastAsia="ja-JP"/>
              </w:rPr>
            </w:pPr>
            <w:r>
              <w:rPr>
                <w:rFonts w:hint="eastAsia"/>
                <w:sz w:val="22"/>
                <w:szCs w:val="22"/>
                <w:lang w:eastAsia="ja-JP"/>
              </w:rPr>
              <w:t>0.628</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3548AE93" w14:textId="77777777" w:rsidR="00E4519A" w:rsidRPr="006B4051" w:rsidRDefault="00E4519A" w:rsidP="00B30BCE">
            <w:pPr>
              <w:jc w:val="center"/>
              <w:rPr>
                <w:sz w:val="22"/>
                <w:szCs w:val="22"/>
                <w:lang w:eastAsia="ja-JP"/>
              </w:rPr>
            </w:pPr>
            <w:r>
              <w:rPr>
                <w:rFonts w:hint="eastAsia"/>
                <w:sz w:val="22"/>
                <w:szCs w:val="22"/>
                <w:lang w:eastAsia="ja-JP"/>
              </w:rPr>
              <w:t>0.741</w:t>
            </w:r>
          </w:p>
        </w:tc>
        <w:tc>
          <w:tcPr>
            <w:tcW w:w="743" w:type="dxa"/>
            <w:tcBorders>
              <w:top w:val="single" w:sz="18" w:space="0" w:color="000000"/>
              <w:left w:val="single" w:sz="18" w:space="0" w:color="000000"/>
              <w:bottom w:val="single" w:sz="18" w:space="0" w:color="000000"/>
              <w:right w:val="dotted" w:sz="4" w:space="0" w:color="auto"/>
            </w:tcBorders>
            <w:shd w:val="clear" w:color="auto" w:fill="auto"/>
            <w:vAlign w:val="center"/>
          </w:tcPr>
          <w:p w14:paraId="405E197D" w14:textId="77777777" w:rsidR="00E4519A" w:rsidRPr="006B4051" w:rsidRDefault="00E4519A" w:rsidP="00B30BCE">
            <w:pPr>
              <w:jc w:val="center"/>
              <w:rPr>
                <w:sz w:val="22"/>
                <w:szCs w:val="22"/>
                <w:lang w:eastAsia="ja-JP"/>
              </w:rPr>
            </w:pPr>
            <w:r>
              <w:rPr>
                <w:rFonts w:hint="eastAsia"/>
                <w:sz w:val="22"/>
                <w:szCs w:val="22"/>
                <w:lang w:eastAsia="ja-JP"/>
              </w:rPr>
              <w:t>0.663</w:t>
            </w:r>
          </w:p>
        </w:tc>
        <w:tc>
          <w:tcPr>
            <w:tcW w:w="743" w:type="dxa"/>
            <w:tcBorders>
              <w:top w:val="single" w:sz="18" w:space="0" w:color="000000"/>
              <w:left w:val="dotted" w:sz="4" w:space="0" w:color="auto"/>
              <w:bottom w:val="single" w:sz="18" w:space="0" w:color="000000"/>
              <w:right w:val="single" w:sz="18" w:space="0" w:color="000000"/>
            </w:tcBorders>
            <w:shd w:val="clear" w:color="auto" w:fill="auto"/>
            <w:vAlign w:val="center"/>
          </w:tcPr>
          <w:p w14:paraId="7504B350" w14:textId="77777777" w:rsidR="00E4519A" w:rsidRPr="006B4051" w:rsidRDefault="00E4519A" w:rsidP="00B30BCE">
            <w:pPr>
              <w:jc w:val="center"/>
              <w:rPr>
                <w:sz w:val="22"/>
                <w:szCs w:val="22"/>
                <w:lang w:eastAsia="ja-JP"/>
              </w:rPr>
            </w:pPr>
            <w:r>
              <w:rPr>
                <w:rFonts w:hint="eastAsia"/>
                <w:sz w:val="22"/>
                <w:szCs w:val="22"/>
                <w:lang w:eastAsia="ja-JP"/>
              </w:rPr>
              <w:t>0.679</w:t>
            </w:r>
          </w:p>
        </w:tc>
        <w:tc>
          <w:tcPr>
            <w:tcW w:w="743" w:type="dxa"/>
            <w:tcBorders>
              <w:top w:val="single" w:sz="18" w:space="0" w:color="000000"/>
              <w:left w:val="single" w:sz="18" w:space="0" w:color="000000"/>
              <w:bottom w:val="single" w:sz="18" w:space="0" w:color="000000"/>
              <w:right w:val="dotted" w:sz="4" w:space="0" w:color="auto"/>
            </w:tcBorders>
            <w:shd w:val="pct10" w:color="auto" w:fill="auto"/>
            <w:vAlign w:val="center"/>
          </w:tcPr>
          <w:p w14:paraId="505FFB46" w14:textId="77777777" w:rsidR="00E4519A" w:rsidRPr="006B4051" w:rsidRDefault="00E4519A" w:rsidP="00B30BCE">
            <w:pPr>
              <w:jc w:val="center"/>
              <w:rPr>
                <w:sz w:val="22"/>
                <w:szCs w:val="22"/>
                <w:lang w:eastAsia="ja-JP"/>
              </w:rPr>
            </w:pPr>
            <w:r>
              <w:rPr>
                <w:rFonts w:hint="eastAsia"/>
                <w:sz w:val="22"/>
                <w:szCs w:val="22"/>
                <w:lang w:eastAsia="ja-JP"/>
              </w:rPr>
              <w:t>0.230</w:t>
            </w:r>
          </w:p>
        </w:tc>
        <w:tc>
          <w:tcPr>
            <w:tcW w:w="743" w:type="dxa"/>
            <w:tcBorders>
              <w:top w:val="single" w:sz="18" w:space="0" w:color="000000"/>
              <w:left w:val="dotted" w:sz="4" w:space="0" w:color="auto"/>
              <w:bottom w:val="single" w:sz="18" w:space="0" w:color="000000"/>
              <w:right w:val="single" w:sz="18" w:space="0" w:color="000000"/>
            </w:tcBorders>
            <w:shd w:val="pct10" w:color="auto" w:fill="auto"/>
            <w:vAlign w:val="center"/>
          </w:tcPr>
          <w:p w14:paraId="0D3785F9" w14:textId="77777777" w:rsidR="00E4519A" w:rsidRPr="006B4051" w:rsidRDefault="00E4519A" w:rsidP="00B30BCE">
            <w:pPr>
              <w:jc w:val="center"/>
              <w:rPr>
                <w:sz w:val="22"/>
                <w:szCs w:val="22"/>
                <w:lang w:eastAsia="ja-JP"/>
              </w:rPr>
            </w:pPr>
            <w:r>
              <w:rPr>
                <w:rFonts w:hint="eastAsia"/>
                <w:sz w:val="22"/>
                <w:szCs w:val="22"/>
                <w:lang w:eastAsia="ja-JP"/>
              </w:rPr>
              <w:t>0.066</w:t>
            </w:r>
          </w:p>
        </w:tc>
      </w:tr>
    </w:tbl>
    <w:p w14:paraId="01EF427E" w14:textId="77777777" w:rsidR="000E496B" w:rsidRDefault="00E4519A" w:rsidP="007B2FEF">
      <w:pPr>
        <w:spacing w:beforeLines="50" w:before="160"/>
        <w:ind w:leftChars="283" w:left="566"/>
        <w:rPr>
          <w:b/>
          <w:sz w:val="24"/>
          <w:lang w:eastAsia="ja-JP"/>
        </w:rPr>
      </w:pPr>
      <w:r w:rsidRPr="006C5B65">
        <w:rPr>
          <w:lang w:eastAsia="ja-JP"/>
        </w:rPr>
        <w:t xml:space="preserve">Notes: Cells shaded </w:t>
      </w:r>
      <w:proofErr w:type="gramStart"/>
      <w:r w:rsidRPr="006C5B65">
        <w:rPr>
          <w:lang w:eastAsia="ja-JP"/>
        </w:rPr>
        <w:t>grey are</w:t>
      </w:r>
      <w:proofErr w:type="gramEnd"/>
      <w:r w:rsidRPr="006C5B65">
        <w:rPr>
          <w:lang w:eastAsia="ja-JP"/>
        </w:rPr>
        <w:t xml:space="preserve"> periods where the last, dividend-collecting generation of </w:t>
      </w:r>
      <w:r w:rsidR="00440147">
        <w:rPr>
          <w:lang w:eastAsia="ja-JP"/>
        </w:rPr>
        <w:t>investor</w:t>
      </w:r>
      <w:r w:rsidRPr="006C5B65">
        <w:rPr>
          <w:lang w:eastAsia="ja-JP"/>
        </w:rPr>
        <w:t>s is present. In the other periods (no shading) only s</w:t>
      </w:r>
      <w:r w:rsidR="004E7BB2">
        <w:rPr>
          <w:rFonts w:hint="eastAsia"/>
          <w:lang w:eastAsia="ja-JP"/>
        </w:rPr>
        <w:t xml:space="preserve">peculating </w:t>
      </w:r>
      <w:r w:rsidR="00440147">
        <w:rPr>
          <w:rFonts w:hint="eastAsia"/>
          <w:lang w:eastAsia="ja-JP"/>
        </w:rPr>
        <w:t>investor</w:t>
      </w:r>
      <w:r w:rsidR="002F1A7C">
        <w:rPr>
          <w:rFonts w:hint="eastAsia"/>
          <w:lang w:eastAsia="ja-JP"/>
        </w:rPr>
        <w:t>s</w:t>
      </w:r>
      <w:r w:rsidRPr="006C5B65">
        <w:rPr>
          <w:lang w:eastAsia="ja-JP"/>
        </w:rPr>
        <w:t xml:space="preserve"> are present.</w:t>
      </w:r>
    </w:p>
    <w:p w14:paraId="52D68223" w14:textId="77777777" w:rsidR="000C50F0" w:rsidRPr="00596F2F" w:rsidRDefault="000C50F0" w:rsidP="00596F2F">
      <w:pPr>
        <w:jc w:val="center"/>
        <w:rPr>
          <w:b/>
          <w:sz w:val="12"/>
          <w:szCs w:val="16"/>
          <w:lang w:eastAsia="ja-JP"/>
        </w:rPr>
      </w:pPr>
    </w:p>
    <w:p w14:paraId="0A4B528F" w14:textId="77777777" w:rsidR="00FE559A" w:rsidRPr="007B48BC" w:rsidRDefault="00FE559A" w:rsidP="006C5B65">
      <w:pPr>
        <w:rPr>
          <w:rFonts w:eastAsia="Times New Roman"/>
        </w:rPr>
        <w:sectPr w:rsidR="00FE559A" w:rsidRPr="007B48BC" w:rsidSect="0045253B">
          <w:endnotePr>
            <w:numFmt w:val="decimal"/>
          </w:endnotePr>
          <w:pgSz w:w="16840" w:h="11907" w:orient="landscape" w:code="9"/>
          <w:pgMar w:top="851" w:right="2098" w:bottom="851" w:left="1440" w:header="851" w:footer="992" w:gutter="0"/>
          <w:cols w:space="425"/>
          <w:docGrid w:type="lines" w:linePitch="320"/>
        </w:sectPr>
      </w:pPr>
    </w:p>
    <w:p w14:paraId="06AAFA44" w14:textId="77777777" w:rsidR="00991EF0" w:rsidRDefault="00991EF0" w:rsidP="007B2FEF">
      <w:pPr>
        <w:spacing w:afterLines="100" w:after="240"/>
        <w:jc w:val="center"/>
      </w:pPr>
    </w:p>
    <w:p w14:paraId="684FACA9" w14:textId="4B4875D9" w:rsidR="00945011" w:rsidRDefault="00945011" w:rsidP="003D7783">
      <w:pPr>
        <w:spacing w:after="200" w:line="276" w:lineRule="auto"/>
        <w:jc w:val="center"/>
        <w:rPr>
          <w:b/>
          <w:sz w:val="24"/>
          <w:lang w:eastAsia="ja-JP"/>
        </w:rPr>
      </w:pPr>
      <w:r w:rsidRPr="009F1A7A">
        <w:rPr>
          <w:rFonts w:hint="eastAsia"/>
          <w:b/>
          <w:sz w:val="24"/>
          <w:lang w:eastAsia="ja-JP"/>
        </w:rPr>
        <w:t xml:space="preserve">Table </w:t>
      </w:r>
      <w:r w:rsidR="0065340C">
        <w:rPr>
          <w:b/>
          <w:sz w:val="24"/>
          <w:lang w:eastAsia="ja-JP"/>
        </w:rPr>
        <w:t>4</w:t>
      </w:r>
      <w:r w:rsidR="00996C78">
        <w:rPr>
          <w:rFonts w:hint="eastAsia"/>
          <w:b/>
          <w:sz w:val="24"/>
          <w:lang w:eastAsia="ja-JP"/>
        </w:rPr>
        <w:t xml:space="preserve">: Comparison of </w:t>
      </w:r>
      <w:r w:rsidR="009D751B">
        <w:rPr>
          <w:b/>
          <w:sz w:val="24"/>
          <w:lang w:eastAsia="ja-JP"/>
        </w:rPr>
        <w:t>A</w:t>
      </w:r>
      <w:r w:rsidR="009D751B" w:rsidRPr="009F1A7A">
        <w:rPr>
          <w:rFonts w:hint="eastAsia"/>
          <w:b/>
          <w:sz w:val="24"/>
          <w:lang w:eastAsia="ja-JP"/>
        </w:rPr>
        <w:t xml:space="preserve">verage </w:t>
      </w:r>
      <w:r w:rsidRPr="000304A8">
        <w:rPr>
          <w:rFonts w:hint="eastAsia"/>
          <w:b/>
          <w:i/>
          <w:sz w:val="24"/>
          <w:lang w:eastAsia="ja-JP"/>
        </w:rPr>
        <w:t>Period-RAD</w:t>
      </w:r>
      <w:r w:rsidRPr="009F1A7A">
        <w:rPr>
          <w:rFonts w:hint="eastAsia"/>
          <w:b/>
          <w:sz w:val="24"/>
          <w:lang w:eastAsia="ja-JP"/>
        </w:rPr>
        <w:t xml:space="preserve"> between </w:t>
      </w:r>
      <w:r w:rsidR="009D751B">
        <w:rPr>
          <w:b/>
          <w:sz w:val="24"/>
          <w:lang w:eastAsia="ja-JP"/>
        </w:rPr>
        <w:t>P</w:t>
      </w:r>
      <w:r w:rsidR="009D751B" w:rsidRPr="009F1A7A">
        <w:rPr>
          <w:rFonts w:hint="eastAsia"/>
          <w:b/>
          <w:sz w:val="24"/>
          <w:lang w:eastAsia="ja-JP"/>
        </w:rPr>
        <w:t xml:space="preserve">eriods </w:t>
      </w:r>
      <w:r w:rsidRPr="009F1A7A">
        <w:rPr>
          <w:rFonts w:hint="eastAsia"/>
          <w:b/>
          <w:sz w:val="24"/>
          <w:lang w:eastAsia="ja-JP"/>
        </w:rPr>
        <w:t xml:space="preserve">with </w:t>
      </w:r>
      <w:r w:rsidR="009D751B">
        <w:rPr>
          <w:b/>
          <w:sz w:val="24"/>
          <w:lang w:eastAsia="ja-JP"/>
        </w:rPr>
        <w:t>D</w:t>
      </w:r>
      <w:r w:rsidR="009D751B">
        <w:rPr>
          <w:rFonts w:hint="eastAsia"/>
          <w:b/>
          <w:sz w:val="24"/>
          <w:lang w:eastAsia="ja-JP"/>
        </w:rPr>
        <w:t>ividend</w:t>
      </w:r>
      <w:r w:rsidR="00D71403">
        <w:rPr>
          <w:b/>
          <w:sz w:val="24"/>
          <w:lang w:eastAsia="ja-JP"/>
        </w:rPr>
        <w:t>-</w:t>
      </w:r>
      <w:r w:rsidR="0013770E">
        <w:rPr>
          <w:rFonts w:hint="eastAsia"/>
          <w:b/>
          <w:sz w:val="24"/>
          <w:lang w:eastAsia="ja-JP"/>
        </w:rPr>
        <w:t xml:space="preserve">collecting </w:t>
      </w:r>
      <w:r w:rsidR="009D751B">
        <w:rPr>
          <w:b/>
          <w:sz w:val="24"/>
          <w:lang w:eastAsia="ja-JP"/>
        </w:rPr>
        <w:t>I</w:t>
      </w:r>
      <w:r w:rsidR="009D751B">
        <w:rPr>
          <w:rFonts w:hint="eastAsia"/>
          <w:b/>
          <w:sz w:val="24"/>
          <w:lang w:eastAsia="ja-JP"/>
        </w:rPr>
        <w:t>nvestors</w:t>
      </w:r>
      <w:r w:rsidR="009D751B" w:rsidRPr="009F1A7A">
        <w:rPr>
          <w:rFonts w:hint="eastAsia"/>
          <w:b/>
          <w:sz w:val="24"/>
          <w:lang w:eastAsia="ja-JP"/>
        </w:rPr>
        <w:t xml:space="preserve"> </w:t>
      </w:r>
      <w:r w:rsidRPr="009F1A7A">
        <w:rPr>
          <w:rFonts w:hint="eastAsia"/>
          <w:b/>
          <w:sz w:val="24"/>
          <w:lang w:eastAsia="ja-JP"/>
        </w:rPr>
        <w:t xml:space="preserve">and </w:t>
      </w:r>
      <w:r w:rsidR="009D751B">
        <w:rPr>
          <w:b/>
          <w:sz w:val="24"/>
          <w:lang w:eastAsia="ja-JP"/>
        </w:rPr>
        <w:t>P</w:t>
      </w:r>
      <w:r w:rsidR="009D751B" w:rsidRPr="009F1A7A">
        <w:rPr>
          <w:rFonts w:hint="eastAsia"/>
          <w:b/>
          <w:sz w:val="24"/>
          <w:lang w:eastAsia="ja-JP"/>
        </w:rPr>
        <w:t xml:space="preserve">eriods </w:t>
      </w:r>
      <w:r w:rsidRPr="009F1A7A">
        <w:rPr>
          <w:rFonts w:hint="eastAsia"/>
          <w:b/>
          <w:sz w:val="24"/>
          <w:lang w:eastAsia="ja-JP"/>
        </w:rPr>
        <w:t xml:space="preserve">with only </w:t>
      </w:r>
      <w:r w:rsidR="009D751B">
        <w:rPr>
          <w:b/>
          <w:sz w:val="24"/>
          <w:lang w:eastAsia="ja-JP"/>
        </w:rPr>
        <w:t>S</w:t>
      </w:r>
      <w:r w:rsidR="009D751B">
        <w:rPr>
          <w:rFonts w:hint="eastAsia"/>
          <w:b/>
          <w:sz w:val="24"/>
          <w:lang w:eastAsia="ja-JP"/>
        </w:rPr>
        <w:t xml:space="preserve">peculating </w:t>
      </w:r>
      <w:r w:rsidR="009D751B">
        <w:rPr>
          <w:b/>
          <w:sz w:val="24"/>
          <w:lang w:eastAsia="ja-JP"/>
        </w:rPr>
        <w:t>I</w:t>
      </w:r>
      <w:r w:rsidR="009D751B">
        <w:rPr>
          <w:rFonts w:hint="eastAsia"/>
          <w:b/>
          <w:sz w:val="24"/>
          <w:lang w:eastAsia="ja-JP"/>
        </w:rPr>
        <w:t>nvestors</w:t>
      </w:r>
    </w:p>
    <w:tbl>
      <w:tblPr>
        <w:tblStyle w:val="Tabellenraster"/>
        <w:tblW w:w="9464" w:type="dxa"/>
        <w:tblLook w:val="04A0" w:firstRow="1" w:lastRow="0" w:firstColumn="1" w:lastColumn="0" w:noHBand="0" w:noVBand="1"/>
      </w:tblPr>
      <w:tblGrid>
        <w:gridCol w:w="2518"/>
        <w:gridCol w:w="2552"/>
        <w:gridCol w:w="2409"/>
        <w:gridCol w:w="1985"/>
      </w:tblGrid>
      <w:tr w:rsidR="00945011" w14:paraId="5E3BDF1F" w14:textId="77777777" w:rsidTr="009D751B">
        <w:tc>
          <w:tcPr>
            <w:tcW w:w="2518" w:type="dxa"/>
            <w:vAlign w:val="center"/>
          </w:tcPr>
          <w:p w14:paraId="539FC4CE" w14:textId="77777777" w:rsidR="00991EF0" w:rsidRPr="002F1A7C" w:rsidRDefault="00991EF0" w:rsidP="007B2FEF">
            <w:pPr>
              <w:spacing w:beforeLines="50" w:before="120" w:afterLines="50" w:after="120"/>
              <w:jc w:val="center"/>
              <w:rPr>
                <w:sz w:val="24"/>
                <w:lang w:eastAsia="ja-JP"/>
              </w:rPr>
            </w:pPr>
          </w:p>
        </w:tc>
        <w:tc>
          <w:tcPr>
            <w:tcW w:w="2552" w:type="dxa"/>
            <w:vAlign w:val="center"/>
          </w:tcPr>
          <w:p w14:paraId="334E04E1" w14:textId="45760336" w:rsidR="00991EF0" w:rsidRDefault="00945011" w:rsidP="001A36A0">
            <w:pPr>
              <w:pStyle w:val="Listenabsatz"/>
              <w:numPr>
                <w:ilvl w:val="0"/>
                <w:numId w:val="30"/>
              </w:numPr>
              <w:spacing w:beforeLines="50" w:before="120" w:afterLines="50" w:after="120"/>
              <w:jc w:val="center"/>
              <w:rPr>
                <w:sz w:val="24"/>
                <w:lang w:eastAsia="ja-JP"/>
              </w:rPr>
            </w:pPr>
            <w:r w:rsidRPr="00D6750A">
              <w:rPr>
                <w:rFonts w:hint="eastAsia"/>
                <w:sz w:val="24"/>
                <w:lang w:eastAsia="ja-JP"/>
              </w:rPr>
              <w:t xml:space="preserve">Periods with </w:t>
            </w:r>
            <w:r w:rsidR="0013770E">
              <w:rPr>
                <w:rFonts w:hint="eastAsia"/>
                <w:sz w:val="24"/>
                <w:lang w:eastAsia="ja-JP"/>
              </w:rPr>
              <w:t>div</w:t>
            </w:r>
            <w:r w:rsidR="0013770E">
              <w:rPr>
                <w:rFonts w:hint="eastAsia"/>
                <w:sz w:val="24"/>
                <w:lang w:eastAsia="ja-JP"/>
              </w:rPr>
              <w:t>i</w:t>
            </w:r>
            <w:r w:rsidR="0013770E">
              <w:rPr>
                <w:rFonts w:hint="eastAsia"/>
                <w:sz w:val="24"/>
                <w:lang w:eastAsia="ja-JP"/>
              </w:rPr>
              <w:t>dend</w:t>
            </w:r>
            <w:r w:rsidR="00D71403">
              <w:rPr>
                <w:sz w:val="24"/>
                <w:lang w:eastAsia="ja-JP"/>
              </w:rPr>
              <w:t>-</w:t>
            </w:r>
            <w:r w:rsidR="0013770E">
              <w:rPr>
                <w:rFonts w:hint="eastAsia"/>
                <w:sz w:val="24"/>
                <w:lang w:eastAsia="ja-JP"/>
              </w:rPr>
              <w:t xml:space="preserve">collecting </w:t>
            </w:r>
            <w:r w:rsidR="00440147">
              <w:rPr>
                <w:rFonts w:hint="eastAsia"/>
                <w:sz w:val="24"/>
                <w:lang w:eastAsia="ja-JP"/>
              </w:rPr>
              <w:t>i</w:t>
            </w:r>
            <w:r w:rsidR="00440147">
              <w:rPr>
                <w:rFonts w:hint="eastAsia"/>
                <w:sz w:val="24"/>
                <w:lang w:eastAsia="ja-JP"/>
              </w:rPr>
              <w:t>n</w:t>
            </w:r>
            <w:r w:rsidR="00440147">
              <w:rPr>
                <w:rFonts w:hint="eastAsia"/>
                <w:sz w:val="24"/>
                <w:lang w:eastAsia="ja-JP"/>
              </w:rPr>
              <w:t>vestor</w:t>
            </w:r>
            <w:r w:rsidR="00E3111E">
              <w:rPr>
                <w:rFonts w:hint="eastAsia"/>
                <w:sz w:val="24"/>
                <w:lang w:eastAsia="ja-JP"/>
              </w:rPr>
              <w:t>s</w:t>
            </w:r>
            <w:r w:rsidR="001A36A0">
              <w:rPr>
                <w:sz w:val="24"/>
                <w:lang w:eastAsia="ja-JP"/>
              </w:rPr>
              <w:t xml:space="preserve"> present</w:t>
            </w:r>
          </w:p>
        </w:tc>
        <w:tc>
          <w:tcPr>
            <w:tcW w:w="2409" w:type="dxa"/>
            <w:vAlign w:val="center"/>
          </w:tcPr>
          <w:p w14:paraId="531DF0BF" w14:textId="25B81F5F" w:rsidR="00991EF0" w:rsidRDefault="00945011" w:rsidP="0016612E">
            <w:pPr>
              <w:pStyle w:val="Listenabsatz"/>
              <w:numPr>
                <w:ilvl w:val="0"/>
                <w:numId w:val="30"/>
              </w:numPr>
              <w:spacing w:beforeLines="50" w:before="120" w:afterLines="50" w:after="120"/>
              <w:jc w:val="center"/>
              <w:rPr>
                <w:sz w:val="24"/>
                <w:lang w:eastAsia="ja-JP"/>
              </w:rPr>
            </w:pPr>
            <w:r w:rsidRPr="00D6750A">
              <w:rPr>
                <w:rFonts w:hint="eastAsia"/>
                <w:sz w:val="24"/>
                <w:lang w:eastAsia="ja-JP"/>
              </w:rPr>
              <w:t>Period</w:t>
            </w:r>
            <w:r>
              <w:rPr>
                <w:rFonts w:hint="eastAsia"/>
                <w:sz w:val="24"/>
                <w:lang w:eastAsia="ja-JP"/>
              </w:rPr>
              <w:t>s</w:t>
            </w:r>
            <w:r w:rsidRPr="00D6750A">
              <w:rPr>
                <w:rFonts w:hint="eastAsia"/>
                <w:sz w:val="24"/>
                <w:lang w:eastAsia="ja-JP"/>
              </w:rPr>
              <w:t xml:space="preserve"> with</w:t>
            </w:r>
            <w:r w:rsidR="004F4BE2">
              <w:rPr>
                <w:rFonts w:hint="eastAsia"/>
                <w:sz w:val="24"/>
                <w:lang w:eastAsia="ja-JP"/>
              </w:rPr>
              <w:t xml:space="preserve"> </w:t>
            </w:r>
            <w:r w:rsidRPr="00D6750A">
              <w:rPr>
                <w:rFonts w:hint="eastAsia"/>
                <w:sz w:val="24"/>
                <w:lang w:eastAsia="ja-JP"/>
              </w:rPr>
              <w:t>only s</w:t>
            </w:r>
            <w:r w:rsidR="0013770E">
              <w:rPr>
                <w:rFonts w:hint="eastAsia"/>
                <w:sz w:val="24"/>
                <w:lang w:eastAsia="ja-JP"/>
              </w:rPr>
              <w:t xml:space="preserve">peculating </w:t>
            </w:r>
            <w:r w:rsidR="00440147">
              <w:rPr>
                <w:rFonts w:hint="eastAsia"/>
                <w:sz w:val="24"/>
                <w:lang w:eastAsia="ja-JP"/>
              </w:rPr>
              <w:t>inve</w:t>
            </w:r>
            <w:r w:rsidR="00440147">
              <w:rPr>
                <w:rFonts w:hint="eastAsia"/>
                <w:sz w:val="24"/>
                <w:lang w:eastAsia="ja-JP"/>
              </w:rPr>
              <w:t>s</w:t>
            </w:r>
            <w:r w:rsidR="00440147">
              <w:rPr>
                <w:rFonts w:hint="eastAsia"/>
                <w:sz w:val="24"/>
                <w:lang w:eastAsia="ja-JP"/>
              </w:rPr>
              <w:t>tor</w:t>
            </w:r>
            <w:r w:rsidR="00E3111E">
              <w:rPr>
                <w:rFonts w:hint="eastAsia"/>
                <w:sz w:val="24"/>
                <w:lang w:eastAsia="ja-JP"/>
              </w:rPr>
              <w:t>s</w:t>
            </w:r>
          </w:p>
        </w:tc>
        <w:tc>
          <w:tcPr>
            <w:tcW w:w="1985" w:type="dxa"/>
            <w:vAlign w:val="center"/>
          </w:tcPr>
          <w:p w14:paraId="3EA9B464" w14:textId="77777777" w:rsidR="00991EF0" w:rsidRDefault="00945011" w:rsidP="007B2FEF">
            <w:pPr>
              <w:spacing w:beforeLines="50" w:before="120" w:afterLines="50" w:after="120"/>
              <w:jc w:val="center"/>
              <w:rPr>
                <w:sz w:val="24"/>
                <w:lang w:eastAsia="ja-JP"/>
              </w:rPr>
            </w:pPr>
            <w:r>
              <w:rPr>
                <w:rFonts w:hint="eastAsia"/>
                <w:sz w:val="24"/>
                <w:lang w:eastAsia="ja-JP"/>
              </w:rPr>
              <w:t>Difference</w:t>
            </w:r>
          </w:p>
          <w:p w14:paraId="0F7A347A" w14:textId="77777777" w:rsidR="00991EF0" w:rsidRDefault="00945011" w:rsidP="007B2FEF">
            <w:pPr>
              <w:spacing w:beforeLines="50" w:before="120" w:afterLines="50" w:after="120"/>
              <w:jc w:val="center"/>
              <w:rPr>
                <w:sz w:val="24"/>
                <w:lang w:eastAsia="ja-JP"/>
              </w:rPr>
            </w:pPr>
            <w:r>
              <w:rPr>
                <w:rFonts w:hint="eastAsia"/>
                <w:sz w:val="24"/>
                <w:lang w:eastAsia="ja-JP"/>
              </w:rPr>
              <w:t>(2)</w:t>
            </w:r>
            <w:r>
              <w:rPr>
                <w:rFonts w:ascii="MS Mincho" w:hAnsi="MS Mincho" w:hint="eastAsia"/>
                <w:sz w:val="24"/>
                <w:lang w:eastAsia="ja-JP"/>
              </w:rPr>
              <w:t>-</w:t>
            </w:r>
            <w:r>
              <w:rPr>
                <w:rFonts w:hint="eastAsia"/>
                <w:sz w:val="24"/>
                <w:lang w:eastAsia="ja-JP"/>
              </w:rPr>
              <w:t>(1)</w:t>
            </w:r>
          </w:p>
        </w:tc>
      </w:tr>
      <w:tr w:rsidR="00945011" w14:paraId="7D5C68D4" w14:textId="77777777" w:rsidTr="009D751B">
        <w:tc>
          <w:tcPr>
            <w:tcW w:w="2518" w:type="dxa"/>
            <w:vAlign w:val="center"/>
          </w:tcPr>
          <w:p w14:paraId="39EB87F2" w14:textId="77777777" w:rsidR="00945011" w:rsidRPr="00D6750A" w:rsidRDefault="00945011" w:rsidP="007B2FEF">
            <w:pPr>
              <w:spacing w:beforeLines="50" w:before="120" w:afterLines="50" w:after="120"/>
              <w:jc w:val="center"/>
              <w:rPr>
                <w:sz w:val="24"/>
                <w:szCs w:val="24"/>
                <w:lang w:eastAsia="ja-JP"/>
              </w:rPr>
            </w:pPr>
            <w:r w:rsidRPr="00D6750A">
              <w:rPr>
                <w:rFonts w:hint="eastAsia"/>
                <w:sz w:val="24"/>
                <w:szCs w:val="24"/>
                <w:lang w:eastAsia="ja-JP"/>
              </w:rPr>
              <w:t>High liquidity Session</w:t>
            </w:r>
            <w:r>
              <w:rPr>
                <w:rFonts w:hint="eastAsia"/>
                <w:sz w:val="24"/>
                <w:szCs w:val="24"/>
                <w:lang w:eastAsia="ja-JP"/>
              </w:rPr>
              <w:t xml:space="preserve"> </w:t>
            </w:r>
            <w:r w:rsidR="00E11657">
              <w:rPr>
                <w:sz w:val="24"/>
                <w:szCs w:val="24"/>
                <w:lang w:eastAsia="ja-JP"/>
              </w:rPr>
              <w:t>(Treatment H)</w:t>
            </w:r>
          </w:p>
        </w:tc>
        <w:tc>
          <w:tcPr>
            <w:tcW w:w="2552" w:type="dxa"/>
            <w:vAlign w:val="center"/>
          </w:tcPr>
          <w:p w14:paraId="1BCB2708" w14:textId="77777777" w:rsidR="00991EF0" w:rsidRDefault="00945011" w:rsidP="007B2FEF">
            <w:pPr>
              <w:spacing w:beforeLines="50" w:before="120" w:afterLines="50" w:after="120"/>
              <w:jc w:val="center"/>
              <w:rPr>
                <w:sz w:val="24"/>
                <w:lang w:eastAsia="ja-JP"/>
              </w:rPr>
            </w:pPr>
            <w:r>
              <w:rPr>
                <w:rFonts w:hint="eastAsia"/>
                <w:sz w:val="24"/>
                <w:lang w:eastAsia="ja-JP"/>
              </w:rPr>
              <w:t>0.40</w:t>
            </w:r>
            <w:r w:rsidR="00C3004D">
              <w:rPr>
                <w:rFonts w:hint="eastAsia"/>
                <w:sz w:val="24"/>
                <w:lang w:eastAsia="ja-JP"/>
              </w:rPr>
              <w:t>1</w:t>
            </w:r>
          </w:p>
          <w:p w14:paraId="5BA528C2" w14:textId="77777777" w:rsidR="00991EF0" w:rsidRDefault="00945011" w:rsidP="007B2FEF">
            <w:pPr>
              <w:spacing w:beforeLines="50" w:before="120" w:afterLines="50" w:after="120"/>
              <w:jc w:val="center"/>
              <w:rPr>
                <w:sz w:val="24"/>
                <w:lang w:eastAsia="ja-JP"/>
              </w:rPr>
            </w:pPr>
            <w:r>
              <w:rPr>
                <w:rFonts w:hint="eastAsia"/>
                <w:sz w:val="24"/>
                <w:lang w:eastAsia="ja-JP"/>
              </w:rPr>
              <w:t>(177)</w:t>
            </w:r>
          </w:p>
        </w:tc>
        <w:tc>
          <w:tcPr>
            <w:tcW w:w="2409" w:type="dxa"/>
            <w:vAlign w:val="center"/>
          </w:tcPr>
          <w:p w14:paraId="6A1985EC" w14:textId="77777777" w:rsidR="00991EF0" w:rsidRDefault="00945011" w:rsidP="007B2FEF">
            <w:pPr>
              <w:spacing w:beforeLines="50" w:before="120" w:afterLines="50" w:after="120"/>
              <w:jc w:val="center"/>
              <w:rPr>
                <w:sz w:val="24"/>
                <w:lang w:eastAsia="ja-JP"/>
              </w:rPr>
            </w:pPr>
            <w:r>
              <w:rPr>
                <w:rFonts w:hint="eastAsia"/>
                <w:sz w:val="24"/>
                <w:lang w:eastAsia="ja-JP"/>
              </w:rPr>
              <w:t>1.024</w:t>
            </w:r>
          </w:p>
          <w:p w14:paraId="70339AB4" w14:textId="77777777" w:rsidR="00991EF0" w:rsidRDefault="00945011" w:rsidP="007B2FEF">
            <w:pPr>
              <w:spacing w:beforeLines="50" w:before="120" w:afterLines="50" w:after="120"/>
              <w:jc w:val="center"/>
              <w:rPr>
                <w:sz w:val="24"/>
                <w:lang w:eastAsia="ja-JP"/>
              </w:rPr>
            </w:pPr>
            <w:r>
              <w:rPr>
                <w:rFonts w:hint="eastAsia"/>
                <w:sz w:val="24"/>
                <w:lang w:eastAsia="ja-JP"/>
              </w:rPr>
              <w:t>(204)</w:t>
            </w:r>
          </w:p>
        </w:tc>
        <w:tc>
          <w:tcPr>
            <w:tcW w:w="1985" w:type="dxa"/>
            <w:vAlign w:val="center"/>
          </w:tcPr>
          <w:p w14:paraId="06C2E1C8" w14:textId="77777777" w:rsidR="00991EF0" w:rsidRDefault="00945011" w:rsidP="007B2FEF">
            <w:pPr>
              <w:spacing w:beforeLines="50" w:before="120" w:afterLines="50" w:after="120"/>
              <w:jc w:val="center"/>
              <w:rPr>
                <w:sz w:val="24"/>
                <w:lang w:eastAsia="ja-JP"/>
              </w:rPr>
            </w:pPr>
            <w:r>
              <w:rPr>
                <w:rFonts w:hint="eastAsia"/>
                <w:sz w:val="24"/>
                <w:lang w:eastAsia="ja-JP"/>
              </w:rPr>
              <w:t>0.62</w:t>
            </w:r>
            <w:r w:rsidR="00C3004D">
              <w:rPr>
                <w:rFonts w:hint="eastAsia"/>
                <w:sz w:val="24"/>
                <w:lang w:eastAsia="ja-JP"/>
              </w:rPr>
              <w:t>3</w:t>
            </w:r>
            <w:r>
              <w:rPr>
                <w:rFonts w:hint="eastAsia"/>
                <w:sz w:val="24"/>
                <w:lang w:eastAsia="ja-JP"/>
              </w:rPr>
              <w:t>***</w:t>
            </w:r>
          </w:p>
        </w:tc>
      </w:tr>
      <w:tr w:rsidR="00945011" w14:paraId="0E841D52" w14:textId="77777777" w:rsidTr="009D751B">
        <w:tc>
          <w:tcPr>
            <w:tcW w:w="2518" w:type="dxa"/>
            <w:tcBorders>
              <w:bottom w:val="single" w:sz="4" w:space="0" w:color="000000"/>
            </w:tcBorders>
            <w:vAlign w:val="center"/>
          </w:tcPr>
          <w:p w14:paraId="5D2E8F8A" w14:textId="77777777" w:rsidR="00945011" w:rsidRPr="00D6750A" w:rsidRDefault="00945011" w:rsidP="007B2FEF">
            <w:pPr>
              <w:spacing w:beforeLines="50" w:before="120" w:afterLines="50" w:after="120"/>
              <w:jc w:val="center"/>
              <w:rPr>
                <w:sz w:val="24"/>
                <w:szCs w:val="24"/>
                <w:lang w:eastAsia="ja-JP"/>
              </w:rPr>
            </w:pPr>
            <w:r w:rsidRPr="00D6750A">
              <w:rPr>
                <w:rFonts w:hint="eastAsia"/>
                <w:sz w:val="24"/>
                <w:szCs w:val="24"/>
                <w:lang w:eastAsia="ja-JP"/>
              </w:rPr>
              <w:t>Low liquidity Session</w:t>
            </w:r>
            <w:r>
              <w:rPr>
                <w:rFonts w:hint="eastAsia"/>
                <w:sz w:val="24"/>
                <w:szCs w:val="24"/>
                <w:lang w:eastAsia="ja-JP"/>
              </w:rPr>
              <w:t xml:space="preserve"> </w:t>
            </w:r>
            <w:r w:rsidR="00E11657">
              <w:rPr>
                <w:sz w:val="24"/>
                <w:szCs w:val="24"/>
                <w:lang w:eastAsia="ja-JP"/>
              </w:rPr>
              <w:t>(Treatment L)</w:t>
            </w:r>
          </w:p>
        </w:tc>
        <w:tc>
          <w:tcPr>
            <w:tcW w:w="2552" w:type="dxa"/>
            <w:tcBorders>
              <w:bottom w:val="single" w:sz="4" w:space="0" w:color="000000"/>
            </w:tcBorders>
            <w:vAlign w:val="center"/>
          </w:tcPr>
          <w:p w14:paraId="5E458B28" w14:textId="77777777" w:rsidR="00991EF0" w:rsidRDefault="00945011" w:rsidP="007B2FEF">
            <w:pPr>
              <w:spacing w:beforeLines="50" w:before="120" w:afterLines="50" w:after="120"/>
              <w:jc w:val="center"/>
              <w:rPr>
                <w:sz w:val="24"/>
                <w:lang w:eastAsia="ja-JP"/>
              </w:rPr>
            </w:pPr>
            <w:r>
              <w:rPr>
                <w:rFonts w:hint="eastAsia"/>
                <w:sz w:val="24"/>
                <w:lang w:eastAsia="ja-JP"/>
              </w:rPr>
              <w:t>0.140</w:t>
            </w:r>
          </w:p>
          <w:p w14:paraId="2CF85832" w14:textId="77777777" w:rsidR="00991EF0" w:rsidRDefault="00945011" w:rsidP="007B2FEF">
            <w:pPr>
              <w:spacing w:beforeLines="50" w:before="120" w:afterLines="50" w:after="120"/>
              <w:jc w:val="center"/>
              <w:rPr>
                <w:sz w:val="24"/>
                <w:lang w:eastAsia="ja-JP"/>
              </w:rPr>
            </w:pPr>
            <w:r>
              <w:rPr>
                <w:rFonts w:hint="eastAsia"/>
                <w:sz w:val="24"/>
                <w:lang w:eastAsia="ja-JP"/>
              </w:rPr>
              <w:t>(178)</w:t>
            </w:r>
          </w:p>
        </w:tc>
        <w:tc>
          <w:tcPr>
            <w:tcW w:w="2409" w:type="dxa"/>
            <w:tcBorders>
              <w:bottom w:val="single" w:sz="4" w:space="0" w:color="000000"/>
            </w:tcBorders>
            <w:vAlign w:val="center"/>
          </w:tcPr>
          <w:p w14:paraId="4E5C47C3" w14:textId="77777777" w:rsidR="00991EF0" w:rsidRDefault="00945011" w:rsidP="007B2FEF">
            <w:pPr>
              <w:spacing w:beforeLines="50" w:before="120" w:afterLines="50" w:after="120"/>
              <w:jc w:val="center"/>
              <w:rPr>
                <w:sz w:val="24"/>
                <w:lang w:eastAsia="ja-JP"/>
              </w:rPr>
            </w:pPr>
            <w:r>
              <w:rPr>
                <w:rFonts w:hint="eastAsia"/>
                <w:sz w:val="24"/>
                <w:lang w:eastAsia="ja-JP"/>
              </w:rPr>
              <w:t>0.502</w:t>
            </w:r>
          </w:p>
          <w:p w14:paraId="4539D643" w14:textId="77777777" w:rsidR="00991EF0" w:rsidRDefault="00945011" w:rsidP="007B2FEF">
            <w:pPr>
              <w:spacing w:beforeLines="50" w:before="120" w:afterLines="50" w:after="120"/>
              <w:jc w:val="center"/>
              <w:rPr>
                <w:sz w:val="24"/>
                <w:lang w:eastAsia="ja-JP"/>
              </w:rPr>
            </w:pPr>
            <w:r>
              <w:rPr>
                <w:rFonts w:hint="eastAsia"/>
                <w:sz w:val="24"/>
                <w:lang w:eastAsia="ja-JP"/>
              </w:rPr>
              <w:t>(203)</w:t>
            </w:r>
          </w:p>
        </w:tc>
        <w:tc>
          <w:tcPr>
            <w:tcW w:w="1985" w:type="dxa"/>
            <w:tcBorders>
              <w:bottom w:val="single" w:sz="4" w:space="0" w:color="000000"/>
            </w:tcBorders>
            <w:vAlign w:val="center"/>
          </w:tcPr>
          <w:p w14:paraId="56DD9AAF" w14:textId="77777777" w:rsidR="00991EF0" w:rsidRDefault="00945011" w:rsidP="007B2FEF">
            <w:pPr>
              <w:spacing w:beforeLines="50" w:before="120" w:afterLines="50" w:after="120"/>
              <w:jc w:val="center"/>
              <w:rPr>
                <w:sz w:val="24"/>
                <w:lang w:eastAsia="ja-JP"/>
              </w:rPr>
            </w:pPr>
            <w:r>
              <w:rPr>
                <w:rFonts w:hint="eastAsia"/>
                <w:sz w:val="24"/>
                <w:lang w:eastAsia="ja-JP"/>
              </w:rPr>
              <w:t>0.362***</w:t>
            </w:r>
          </w:p>
        </w:tc>
      </w:tr>
      <w:tr w:rsidR="00B6598E" w14:paraId="39500239" w14:textId="77777777" w:rsidTr="009D751B">
        <w:tc>
          <w:tcPr>
            <w:tcW w:w="9464" w:type="dxa"/>
            <w:gridSpan w:val="4"/>
            <w:tcBorders>
              <w:left w:val="nil"/>
              <w:bottom w:val="nil"/>
              <w:right w:val="nil"/>
            </w:tcBorders>
            <w:vAlign w:val="center"/>
          </w:tcPr>
          <w:p w14:paraId="7D657BEC" w14:textId="0E883522" w:rsidR="00B6598E" w:rsidRPr="00B6598E" w:rsidRDefault="00B6598E" w:rsidP="007B2FEF">
            <w:pPr>
              <w:spacing w:beforeLines="50" w:before="120" w:afterLines="50" w:after="120"/>
              <w:jc w:val="both"/>
              <w:rPr>
                <w:lang w:eastAsia="ja-JP"/>
              </w:rPr>
            </w:pPr>
            <w:r w:rsidRPr="00B6598E">
              <w:rPr>
                <w:lang w:eastAsia="ja-JP"/>
              </w:rPr>
              <w:t>Note</w:t>
            </w:r>
            <w:r>
              <w:rPr>
                <w:lang w:eastAsia="ja-JP"/>
              </w:rPr>
              <w:t>s</w:t>
            </w:r>
            <w:r w:rsidRPr="00B6598E">
              <w:rPr>
                <w:lang w:eastAsia="ja-JP"/>
              </w:rPr>
              <w:t>: Sample size is in parentheses.</w:t>
            </w:r>
            <w:r w:rsidR="008F36F3">
              <w:rPr>
                <w:lang w:eastAsia="ja-JP"/>
              </w:rPr>
              <w:t xml:space="preserve"> </w:t>
            </w:r>
            <w:r w:rsidRPr="00B6598E">
              <w:rPr>
                <w:lang w:eastAsia="ja-JP"/>
              </w:rPr>
              <w:t>*** indicates that the difference is statistically significant at 1% level by two-sided t-test.</w:t>
            </w:r>
          </w:p>
        </w:tc>
      </w:tr>
    </w:tbl>
    <w:p w14:paraId="4D72175A" w14:textId="77777777" w:rsidR="00B6598E" w:rsidRDefault="00B6598E" w:rsidP="00945011">
      <w:pPr>
        <w:spacing w:after="200" w:line="276" w:lineRule="auto"/>
        <w:rPr>
          <w:sz w:val="22"/>
          <w:szCs w:val="22"/>
          <w:lang w:eastAsia="ja-JP"/>
        </w:rPr>
      </w:pPr>
    </w:p>
    <w:p w14:paraId="020B20DF" w14:textId="056D442E" w:rsidR="00A179B2" w:rsidRDefault="00A179B2">
      <w:r>
        <w:br w:type="page"/>
      </w:r>
    </w:p>
    <w:p w14:paraId="4BDD45BE" w14:textId="77777777" w:rsidR="000800F9" w:rsidRDefault="000800F9" w:rsidP="007B2FEF">
      <w:pPr>
        <w:spacing w:afterLines="100" w:after="240"/>
        <w:jc w:val="center"/>
      </w:pPr>
    </w:p>
    <w:p w14:paraId="7FF8CF91" w14:textId="19D53270" w:rsidR="00991EF0" w:rsidRDefault="00C3004D" w:rsidP="003D7783">
      <w:pPr>
        <w:spacing w:after="120"/>
        <w:jc w:val="center"/>
        <w:rPr>
          <w:b/>
          <w:sz w:val="24"/>
          <w:lang w:eastAsia="ja-JP"/>
        </w:rPr>
      </w:pPr>
      <w:r w:rsidRPr="009F1A7A">
        <w:rPr>
          <w:rFonts w:hint="eastAsia"/>
          <w:b/>
          <w:sz w:val="24"/>
          <w:lang w:eastAsia="ja-JP"/>
        </w:rPr>
        <w:t xml:space="preserve">Table </w:t>
      </w:r>
      <w:r w:rsidR="0065340C">
        <w:rPr>
          <w:b/>
          <w:sz w:val="24"/>
          <w:lang w:eastAsia="ja-JP"/>
        </w:rPr>
        <w:t>5</w:t>
      </w:r>
      <w:r w:rsidRPr="009F1A7A">
        <w:rPr>
          <w:rFonts w:hint="eastAsia"/>
          <w:b/>
          <w:sz w:val="24"/>
          <w:lang w:eastAsia="ja-JP"/>
        </w:rPr>
        <w:t xml:space="preserve">: </w:t>
      </w:r>
      <w:r w:rsidR="003D7783">
        <w:rPr>
          <w:rFonts w:hint="eastAsia"/>
          <w:b/>
          <w:sz w:val="24"/>
          <w:lang w:eastAsia="ja-JP"/>
        </w:rPr>
        <w:t xml:space="preserve">Comparison of </w:t>
      </w:r>
      <w:r w:rsidR="003D7783">
        <w:rPr>
          <w:b/>
          <w:sz w:val="24"/>
          <w:lang w:eastAsia="ja-JP"/>
        </w:rPr>
        <w:t>A</w:t>
      </w:r>
      <w:r w:rsidR="003D7783" w:rsidRPr="009F1A7A">
        <w:rPr>
          <w:rFonts w:hint="eastAsia"/>
          <w:b/>
          <w:sz w:val="24"/>
          <w:lang w:eastAsia="ja-JP"/>
        </w:rPr>
        <w:t xml:space="preserve">verage </w:t>
      </w:r>
      <w:r w:rsidR="003D7783" w:rsidRPr="000304A8">
        <w:rPr>
          <w:rFonts w:hint="eastAsia"/>
          <w:b/>
          <w:i/>
          <w:sz w:val="24"/>
          <w:lang w:eastAsia="ja-JP"/>
        </w:rPr>
        <w:t>Period-RAD</w:t>
      </w:r>
      <w:r w:rsidR="003D7783" w:rsidRPr="009F1A7A">
        <w:rPr>
          <w:rFonts w:hint="eastAsia"/>
          <w:b/>
          <w:sz w:val="24"/>
          <w:lang w:eastAsia="ja-JP"/>
        </w:rPr>
        <w:t xml:space="preserve"> between</w:t>
      </w:r>
      <w:r w:rsidR="003D7783">
        <w:rPr>
          <w:b/>
          <w:sz w:val="24"/>
          <w:lang w:eastAsia="ja-JP"/>
        </w:rPr>
        <w:t xml:space="preserve"> Treatments with High and Low Liquidity.</w:t>
      </w:r>
    </w:p>
    <w:p w14:paraId="7BB6B638" w14:textId="0B0B83ED" w:rsidR="00A179B2" w:rsidRPr="00A179B2" w:rsidRDefault="00A179B2" w:rsidP="003D7783">
      <w:pPr>
        <w:spacing w:after="120"/>
        <w:jc w:val="center"/>
        <w:rPr>
          <w:b/>
          <w:i/>
          <w:sz w:val="24"/>
          <w:lang w:eastAsia="ja-JP"/>
        </w:rPr>
      </w:pPr>
      <w:r w:rsidRPr="00A179B2">
        <w:rPr>
          <w:rFonts w:hint="eastAsia"/>
          <w:b/>
          <w:sz w:val="24"/>
          <w:lang w:eastAsia="ja-JP"/>
        </w:rPr>
        <w:t xml:space="preserve">Panel </w:t>
      </w:r>
      <w:r w:rsidRPr="00A179B2">
        <w:rPr>
          <w:b/>
          <w:sz w:val="24"/>
          <w:lang w:eastAsia="ja-JP"/>
        </w:rPr>
        <w:t>A</w:t>
      </w:r>
      <w:r w:rsidRPr="00A179B2">
        <w:rPr>
          <w:rFonts w:hint="eastAsia"/>
          <w:b/>
          <w:sz w:val="24"/>
          <w:lang w:eastAsia="ja-JP"/>
        </w:rPr>
        <w:t xml:space="preserve">: </w:t>
      </w:r>
      <w:r w:rsidRPr="00A179B2">
        <w:rPr>
          <w:b/>
          <w:sz w:val="24"/>
          <w:lang w:eastAsia="ja-JP"/>
        </w:rPr>
        <w:t>A</w:t>
      </w:r>
      <w:r w:rsidRPr="00A179B2">
        <w:rPr>
          <w:rFonts w:hint="eastAsia"/>
          <w:b/>
          <w:sz w:val="24"/>
          <w:lang w:eastAsia="ja-JP"/>
        </w:rPr>
        <w:t xml:space="preserve">verage </w:t>
      </w:r>
      <w:r w:rsidRPr="00A179B2">
        <w:rPr>
          <w:rFonts w:hint="eastAsia"/>
          <w:b/>
          <w:i/>
          <w:sz w:val="24"/>
          <w:lang w:eastAsia="ja-JP"/>
        </w:rPr>
        <w:t xml:space="preserve">Period-RAD </w:t>
      </w:r>
      <w:r w:rsidRPr="00A179B2">
        <w:rPr>
          <w:b/>
          <w:sz w:val="24"/>
          <w:lang w:eastAsia="ja-JP"/>
        </w:rPr>
        <w:t>by Treatments</w:t>
      </w:r>
    </w:p>
    <w:tbl>
      <w:tblPr>
        <w:tblStyle w:val="Tabellenraster"/>
        <w:tblW w:w="0" w:type="auto"/>
        <w:tblLook w:val="04A0" w:firstRow="1" w:lastRow="0" w:firstColumn="1" w:lastColumn="0" w:noHBand="0" w:noVBand="1"/>
      </w:tblPr>
      <w:tblGrid>
        <w:gridCol w:w="1845"/>
        <w:gridCol w:w="1845"/>
        <w:gridCol w:w="1845"/>
        <w:gridCol w:w="1845"/>
        <w:gridCol w:w="1845"/>
      </w:tblGrid>
      <w:tr w:rsidR="00C3004D" w14:paraId="42E54C34" w14:textId="77777777" w:rsidTr="00E51EF0">
        <w:tc>
          <w:tcPr>
            <w:tcW w:w="1845" w:type="dxa"/>
            <w:vAlign w:val="center"/>
          </w:tcPr>
          <w:p w14:paraId="3BBDCC2B" w14:textId="77777777" w:rsidR="00991EF0" w:rsidRDefault="00C3004D" w:rsidP="007B2FEF">
            <w:pPr>
              <w:spacing w:beforeLines="50" w:before="120" w:afterLines="50" w:after="120"/>
              <w:jc w:val="center"/>
              <w:rPr>
                <w:sz w:val="21"/>
                <w:szCs w:val="21"/>
                <w:lang w:eastAsia="ja-JP"/>
              </w:rPr>
            </w:pPr>
            <w:r>
              <w:rPr>
                <w:rFonts w:hint="eastAsia"/>
                <w:sz w:val="24"/>
                <w:lang w:eastAsia="ja-JP"/>
              </w:rPr>
              <w:t>Treatment</w:t>
            </w:r>
          </w:p>
        </w:tc>
        <w:tc>
          <w:tcPr>
            <w:tcW w:w="1845" w:type="dxa"/>
            <w:vAlign w:val="center"/>
          </w:tcPr>
          <w:p w14:paraId="7B4E6270" w14:textId="5B65F845" w:rsidR="00991EF0" w:rsidRDefault="00C3004D" w:rsidP="000F754B">
            <w:pPr>
              <w:spacing w:beforeLines="50" w:before="120" w:afterLines="50" w:after="120"/>
              <w:jc w:val="center"/>
              <w:rPr>
                <w:sz w:val="24"/>
                <w:lang w:eastAsia="ja-JP"/>
              </w:rPr>
            </w:pPr>
            <w:r>
              <w:rPr>
                <w:rFonts w:hint="eastAsia"/>
                <w:sz w:val="24"/>
                <w:lang w:eastAsia="ja-JP"/>
              </w:rPr>
              <w:t>T1</w:t>
            </w:r>
          </w:p>
        </w:tc>
        <w:tc>
          <w:tcPr>
            <w:tcW w:w="1845" w:type="dxa"/>
            <w:vAlign w:val="center"/>
          </w:tcPr>
          <w:p w14:paraId="09235435" w14:textId="71F25E1B" w:rsidR="00991EF0" w:rsidRDefault="00C3004D" w:rsidP="000F754B">
            <w:pPr>
              <w:spacing w:beforeLines="50" w:before="120" w:afterLines="50" w:after="120"/>
              <w:jc w:val="center"/>
              <w:rPr>
                <w:sz w:val="24"/>
                <w:lang w:eastAsia="ja-JP"/>
              </w:rPr>
            </w:pPr>
            <w:r>
              <w:rPr>
                <w:rFonts w:hint="eastAsia"/>
                <w:sz w:val="24"/>
                <w:lang w:eastAsia="ja-JP"/>
              </w:rPr>
              <w:t>T2</w:t>
            </w:r>
          </w:p>
        </w:tc>
        <w:tc>
          <w:tcPr>
            <w:tcW w:w="1845" w:type="dxa"/>
            <w:vAlign w:val="center"/>
          </w:tcPr>
          <w:p w14:paraId="2B622FED" w14:textId="7A11395A" w:rsidR="00991EF0" w:rsidRDefault="00C3004D" w:rsidP="000F754B">
            <w:pPr>
              <w:spacing w:beforeLines="50" w:before="120" w:afterLines="50" w:after="120"/>
              <w:jc w:val="center"/>
              <w:rPr>
                <w:sz w:val="24"/>
                <w:lang w:eastAsia="ja-JP"/>
              </w:rPr>
            </w:pPr>
            <w:r>
              <w:rPr>
                <w:rFonts w:hint="eastAsia"/>
                <w:sz w:val="24"/>
                <w:lang w:eastAsia="ja-JP"/>
              </w:rPr>
              <w:t>T4</w:t>
            </w:r>
          </w:p>
        </w:tc>
        <w:tc>
          <w:tcPr>
            <w:tcW w:w="1845" w:type="dxa"/>
            <w:vAlign w:val="center"/>
          </w:tcPr>
          <w:p w14:paraId="70D55330" w14:textId="01D2222B" w:rsidR="00991EF0" w:rsidRDefault="00C3004D" w:rsidP="000F754B">
            <w:pPr>
              <w:spacing w:beforeLines="50" w:before="120" w:afterLines="50" w:after="120"/>
              <w:jc w:val="center"/>
              <w:rPr>
                <w:sz w:val="24"/>
                <w:lang w:eastAsia="ja-JP"/>
              </w:rPr>
            </w:pPr>
            <w:r>
              <w:rPr>
                <w:rFonts w:hint="eastAsia"/>
                <w:sz w:val="24"/>
                <w:lang w:eastAsia="ja-JP"/>
              </w:rPr>
              <w:t>T8</w:t>
            </w:r>
          </w:p>
        </w:tc>
      </w:tr>
      <w:tr w:rsidR="00C3004D" w14:paraId="5CEED215" w14:textId="77777777" w:rsidTr="00E51EF0">
        <w:tc>
          <w:tcPr>
            <w:tcW w:w="1845" w:type="dxa"/>
            <w:vAlign w:val="center"/>
          </w:tcPr>
          <w:p w14:paraId="71A932CA" w14:textId="23983743" w:rsidR="000E496B" w:rsidRDefault="00C3004D" w:rsidP="0016612E">
            <w:pPr>
              <w:spacing w:beforeLines="50" w:before="120" w:afterLines="50" w:after="120"/>
              <w:jc w:val="center"/>
              <w:rPr>
                <w:lang w:eastAsia="ja-JP"/>
              </w:rPr>
            </w:pPr>
            <w:r w:rsidRPr="00154738">
              <w:rPr>
                <w:rFonts w:hint="eastAsia"/>
                <w:lang w:eastAsia="ja-JP"/>
              </w:rPr>
              <w:t>High</w:t>
            </w:r>
            <w:r w:rsidR="00E4519A">
              <w:rPr>
                <w:rFonts w:hint="eastAsia"/>
                <w:lang w:eastAsia="ja-JP"/>
              </w:rPr>
              <w:t>-</w:t>
            </w:r>
            <w:r w:rsidRPr="00154738">
              <w:rPr>
                <w:rFonts w:hint="eastAsia"/>
                <w:lang w:eastAsia="ja-JP"/>
              </w:rPr>
              <w:t xml:space="preserve">liquidity </w:t>
            </w:r>
            <w:r w:rsidR="00E4519A">
              <w:rPr>
                <w:rFonts w:hint="eastAsia"/>
                <w:lang w:eastAsia="ja-JP"/>
              </w:rPr>
              <w:t>s</w:t>
            </w:r>
            <w:r w:rsidRPr="00154738">
              <w:rPr>
                <w:rFonts w:hint="eastAsia"/>
                <w:lang w:eastAsia="ja-JP"/>
              </w:rPr>
              <w:t>e</w:t>
            </w:r>
            <w:r w:rsidRPr="00154738">
              <w:rPr>
                <w:rFonts w:hint="eastAsia"/>
                <w:lang w:eastAsia="ja-JP"/>
              </w:rPr>
              <w:t>s</w:t>
            </w:r>
            <w:r w:rsidRPr="00154738">
              <w:rPr>
                <w:rFonts w:hint="eastAsia"/>
                <w:lang w:eastAsia="ja-JP"/>
              </w:rPr>
              <w:t>sion</w:t>
            </w:r>
            <w:r>
              <w:rPr>
                <w:rFonts w:hint="eastAsia"/>
                <w:lang w:eastAsia="ja-JP"/>
              </w:rPr>
              <w:t xml:space="preserve"> (H)</w:t>
            </w:r>
          </w:p>
        </w:tc>
        <w:tc>
          <w:tcPr>
            <w:tcW w:w="1845" w:type="dxa"/>
            <w:vAlign w:val="center"/>
          </w:tcPr>
          <w:p w14:paraId="030E6FAA" w14:textId="77777777" w:rsidR="00991EF0" w:rsidRDefault="00C3004D" w:rsidP="007B2FEF">
            <w:pPr>
              <w:spacing w:beforeLines="50" w:before="120" w:afterLines="50" w:after="120"/>
              <w:jc w:val="center"/>
              <w:rPr>
                <w:sz w:val="24"/>
                <w:lang w:eastAsia="ja-JP"/>
              </w:rPr>
            </w:pPr>
            <w:r>
              <w:rPr>
                <w:rFonts w:hint="eastAsia"/>
                <w:sz w:val="24"/>
                <w:lang w:eastAsia="ja-JP"/>
              </w:rPr>
              <w:t>0.421</w:t>
            </w:r>
          </w:p>
          <w:p w14:paraId="5BDE7F09" w14:textId="77777777" w:rsidR="00991EF0" w:rsidRDefault="00C3004D" w:rsidP="007B2FEF">
            <w:pPr>
              <w:spacing w:beforeLines="50" w:before="120" w:afterLines="50" w:after="120"/>
              <w:jc w:val="center"/>
              <w:rPr>
                <w:sz w:val="24"/>
                <w:lang w:eastAsia="ja-JP"/>
              </w:rPr>
            </w:pPr>
            <w:r>
              <w:rPr>
                <w:rFonts w:hint="eastAsia"/>
                <w:sz w:val="24"/>
                <w:lang w:eastAsia="ja-JP"/>
              </w:rPr>
              <w:t>(95)</w:t>
            </w:r>
          </w:p>
        </w:tc>
        <w:tc>
          <w:tcPr>
            <w:tcW w:w="1845" w:type="dxa"/>
            <w:vAlign w:val="center"/>
          </w:tcPr>
          <w:p w14:paraId="01BC518B" w14:textId="77777777" w:rsidR="00991EF0" w:rsidRDefault="00C3004D" w:rsidP="007B2FEF">
            <w:pPr>
              <w:spacing w:beforeLines="50" w:before="120" w:afterLines="50" w:after="120"/>
              <w:jc w:val="center"/>
              <w:rPr>
                <w:sz w:val="24"/>
                <w:lang w:eastAsia="ja-JP"/>
              </w:rPr>
            </w:pPr>
            <w:r>
              <w:rPr>
                <w:rFonts w:hint="eastAsia"/>
                <w:sz w:val="24"/>
                <w:lang w:eastAsia="ja-JP"/>
              </w:rPr>
              <w:t>0.586</w:t>
            </w:r>
          </w:p>
          <w:p w14:paraId="309100BD" w14:textId="77777777" w:rsidR="00991EF0" w:rsidRDefault="00C3004D" w:rsidP="007B2FEF">
            <w:pPr>
              <w:spacing w:beforeLines="50" w:before="120" w:afterLines="50" w:after="120"/>
              <w:jc w:val="center"/>
              <w:rPr>
                <w:sz w:val="24"/>
                <w:lang w:eastAsia="ja-JP"/>
              </w:rPr>
            </w:pPr>
            <w:r>
              <w:rPr>
                <w:rFonts w:hint="eastAsia"/>
                <w:sz w:val="24"/>
                <w:lang w:eastAsia="ja-JP"/>
              </w:rPr>
              <w:t>(94)</w:t>
            </w:r>
          </w:p>
        </w:tc>
        <w:tc>
          <w:tcPr>
            <w:tcW w:w="1845" w:type="dxa"/>
            <w:vAlign w:val="center"/>
          </w:tcPr>
          <w:p w14:paraId="45D611D4" w14:textId="77777777" w:rsidR="00991EF0" w:rsidRDefault="00C3004D" w:rsidP="007B2FEF">
            <w:pPr>
              <w:spacing w:beforeLines="50" w:before="120" w:afterLines="50" w:after="120"/>
              <w:jc w:val="center"/>
              <w:rPr>
                <w:sz w:val="24"/>
                <w:lang w:eastAsia="ja-JP"/>
              </w:rPr>
            </w:pPr>
            <w:r>
              <w:rPr>
                <w:rFonts w:hint="eastAsia"/>
                <w:sz w:val="24"/>
                <w:lang w:eastAsia="ja-JP"/>
              </w:rPr>
              <w:t>0.739</w:t>
            </w:r>
          </w:p>
          <w:p w14:paraId="4076C137" w14:textId="77777777" w:rsidR="00991EF0" w:rsidRDefault="00C3004D" w:rsidP="007B2FEF">
            <w:pPr>
              <w:spacing w:beforeLines="50" w:before="120" w:afterLines="50" w:after="120"/>
              <w:jc w:val="center"/>
              <w:rPr>
                <w:sz w:val="24"/>
                <w:lang w:eastAsia="ja-JP"/>
              </w:rPr>
            </w:pPr>
            <w:r>
              <w:rPr>
                <w:rFonts w:hint="eastAsia"/>
                <w:sz w:val="24"/>
                <w:lang w:eastAsia="ja-JP"/>
              </w:rPr>
              <w:t>(96)</w:t>
            </w:r>
          </w:p>
        </w:tc>
        <w:tc>
          <w:tcPr>
            <w:tcW w:w="1845" w:type="dxa"/>
            <w:vAlign w:val="center"/>
          </w:tcPr>
          <w:p w14:paraId="26DF3499" w14:textId="77777777" w:rsidR="00991EF0" w:rsidRDefault="00C3004D" w:rsidP="007B2FEF">
            <w:pPr>
              <w:spacing w:beforeLines="50" w:before="120" w:afterLines="50" w:after="120"/>
              <w:jc w:val="center"/>
              <w:rPr>
                <w:sz w:val="24"/>
                <w:lang w:eastAsia="ja-JP"/>
              </w:rPr>
            </w:pPr>
            <w:r>
              <w:rPr>
                <w:rFonts w:hint="eastAsia"/>
                <w:sz w:val="24"/>
                <w:lang w:eastAsia="ja-JP"/>
              </w:rPr>
              <w:t>1.187</w:t>
            </w:r>
          </w:p>
          <w:p w14:paraId="5BF18E59" w14:textId="77777777" w:rsidR="00991EF0" w:rsidRDefault="00C3004D" w:rsidP="007B2FEF">
            <w:pPr>
              <w:spacing w:beforeLines="50" w:before="120" w:afterLines="50" w:after="120"/>
              <w:jc w:val="center"/>
              <w:rPr>
                <w:sz w:val="24"/>
                <w:lang w:eastAsia="ja-JP"/>
              </w:rPr>
            </w:pPr>
            <w:r>
              <w:rPr>
                <w:rFonts w:hint="eastAsia"/>
                <w:sz w:val="24"/>
                <w:lang w:eastAsia="ja-JP"/>
              </w:rPr>
              <w:t>(96)</w:t>
            </w:r>
          </w:p>
        </w:tc>
      </w:tr>
      <w:tr w:rsidR="00C3004D" w14:paraId="17B29EDD" w14:textId="77777777" w:rsidTr="00E51EF0">
        <w:tc>
          <w:tcPr>
            <w:tcW w:w="1845" w:type="dxa"/>
            <w:vAlign w:val="center"/>
          </w:tcPr>
          <w:p w14:paraId="50FE6318" w14:textId="2F69F24A" w:rsidR="000E496B" w:rsidRDefault="00C3004D" w:rsidP="0016612E">
            <w:pPr>
              <w:spacing w:beforeLines="50" w:before="120" w:afterLines="50" w:after="120"/>
              <w:jc w:val="center"/>
              <w:rPr>
                <w:sz w:val="24"/>
                <w:lang w:eastAsia="ja-JP"/>
              </w:rPr>
            </w:pPr>
            <w:r>
              <w:rPr>
                <w:rFonts w:hint="eastAsia"/>
                <w:lang w:eastAsia="ja-JP"/>
              </w:rPr>
              <w:t>Low</w:t>
            </w:r>
            <w:r w:rsidR="00E4519A">
              <w:rPr>
                <w:rFonts w:hint="eastAsia"/>
                <w:lang w:eastAsia="ja-JP"/>
              </w:rPr>
              <w:t>-</w:t>
            </w:r>
            <w:r w:rsidRPr="00154738">
              <w:rPr>
                <w:rFonts w:hint="eastAsia"/>
                <w:lang w:eastAsia="ja-JP"/>
              </w:rPr>
              <w:t>liquidity</w:t>
            </w:r>
            <w:r w:rsidR="00E4519A">
              <w:rPr>
                <w:rFonts w:hint="eastAsia"/>
                <w:lang w:eastAsia="ja-JP"/>
              </w:rPr>
              <w:t xml:space="preserve"> s</w:t>
            </w:r>
            <w:r w:rsidRPr="00154738">
              <w:rPr>
                <w:rFonts w:hint="eastAsia"/>
                <w:lang w:eastAsia="ja-JP"/>
              </w:rPr>
              <w:t>e</w:t>
            </w:r>
            <w:r w:rsidRPr="00154738">
              <w:rPr>
                <w:rFonts w:hint="eastAsia"/>
                <w:lang w:eastAsia="ja-JP"/>
              </w:rPr>
              <w:t>s</w:t>
            </w:r>
            <w:r w:rsidRPr="00154738">
              <w:rPr>
                <w:rFonts w:hint="eastAsia"/>
                <w:lang w:eastAsia="ja-JP"/>
              </w:rPr>
              <w:t>sion</w:t>
            </w:r>
            <w:r>
              <w:rPr>
                <w:rFonts w:hint="eastAsia"/>
                <w:lang w:eastAsia="ja-JP"/>
              </w:rPr>
              <w:t xml:space="preserve"> (L)</w:t>
            </w:r>
          </w:p>
        </w:tc>
        <w:tc>
          <w:tcPr>
            <w:tcW w:w="1845" w:type="dxa"/>
            <w:vAlign w:val="center"/>
          </w:tcPr>
          <w:p w14:paraId="4A2C6609" w14:textId="77777777" w:rsidR="00991EF0" w:rsidRDefault="00C3004D" w:rsidP="007B2FEF">
            <w:pPr>
              <w:spacing w:beforeLines="50" w:before="120" w:afterLines="50" w:after="120"/>
              <w:jc w:val="center"/>
              <w:rPr>
                <w:sz w:val="24"/>
                <w:lang w:eastAsia="ja-JP"/>
              </w:rPr>
            </w:pPr>
            <w:r>
              <w:rPr>
                <w:rFonts w:hint="eastAsia"/>
                <w:sz w:val="24"/>
                <w:lang w:eastAsia="ja-JP"/>
              </w:rPr>
              <w:t>0.116</w:t>
            </w:r>
          </w:p>
          <w:p w14:paraId="24534AB4" w14:textId="77777777" w:rsidR="00991EF0" w:rsidRDefault="00C3004D" w:rsidP="007B2FEF">
            <w:pPr>
              <w:spacing w:beforeLines="50" w:before="120" w:afterLines="50" w:after="120"/>
              <w:jc w:val="center"/>
              <w:rPr>
                <w:sz w:val="24"/>
                <w:lang w:eastAsia="ja-JP"/>
              </w:rPr>
            </w:pPr>
            <w:r>
              <w:rPr>
                <w:rFonts w:hint="eastAsia"/>
                <w:sz w:val="24"/>
                <w:lang w:eastAsia="ja-JP"/>
              </w:rPr>
              <w:t>(94)</w:t>
            </w:r>
          </w:p>
        </w:tc>
        <w:tc>
          <w:tcPr>
            <w:tcW w:w="1845" w:type="dxa"/>
            <w:vAlign w:val="center"/>
          </w:tcPr>
          <w:p w14:paraId="2A65904B" w14:textId="77777777" w:rsidR="00991EF0" w:rsidRDefault="00C3004D" w:rsidP="007B2FEF">
            <w:pPr>
              <w:spacing w:beforeLines="50" w:before="120" w:afterLines="50" w:after="120"/>
              <w:jc w:val="center"/>
              <w:rPr>
                <w:sz w:val="24"/>
                <w:lang w:eastAsia="ja-JP"/>
              </w:rPr>
            </w:pPr>
            <w:r>
              <w:rPr>
                <w:rFonts w:hint="eastAsia"/>
                <w:sz w:val="24"/>
                <w:lang w:eastAsia="ja-JP"/>
              </w:rPr>
              <w:t>0.355</w:t>
            </w:r>
          </w:p>
          <w:p w14:paraId="155D49DE" w14:textId="77777777" w:rsidR="00991EF0" w:rsidRDefault="00C3004D" w:rsidP="007B2FEF">
            <w:pPr>
              <w:spacing w:beforeLines="50" w:before="120" w:afterLines="50" w:after="120"/>
              <w:jc w:val="center"/>
              <w:rPr>
                <w:sz w:val="24"/>
                <w:lang w:eastAsia="ja-JP"/>
              </w:rPr>
            </w:pPr>
            <w:r>
              <w:rPr>
                <w:rFonts w:hint="eastAsia"/>
                <w:sz w:val="24"/>
                <w:lang w:eastAsia="ja-JP"/>
              </w:rPr>
              <w:t>(96)</w:t>
            </w:r>
          </w:p>
        </w:tc>
        <w:tc>
          <w:tcPr>
            <w:tcW w:w="1845" w:type="dxa"/>
            <w:vAlign w:val="center"/>
          </w:tcPr>
          <w:p w14:paraId="36E77B1A" w14:textId="77777777" w:rsidR="00991EF0" w:rsidRDefault="00C3004D" w:rsidP="007B2FEF">
            <w:pPr>
              <w:spacing w:beforeLines="50" w:before="120" w:afterLines="50" w:after="120"/>
              <w:jc w:val="center"/>
              <w:rPr>
                <w:sz w:val="24"/>
                <w:lang w:eastAsia="ja-JP"/>
              </w:rPr>
            </w:pPr>
            <w:r>
              <w:rPr>
                <w:rFonts w:hint="eastAsia"/>
                <w:sz w:val="24"/>
                <w:lang w:eastAsia="ja-JP"/>
              </w:rPr>
              <w:t>0.429</w:t>
            </w:r>
          </w:p>
          <w:p w14:paraId="696A69C9" w14:textId="77777777" w:rsidR="00991EF0" w:rsidRDefault="00C3004D" w:rsidP="007B2FEF">
            <w:pPr>
              <w:spacing w:beforeLines="50" w:before="120" w:afterLines="50" w:after="120"/>
              <w:jc w:val="center"/>
              <w:rPr>
                <w:sz w:val="24"/>
                <w:lang w:eastAsia="ja-JP"/>
              </w:rPr>
            </w:pPr>
            <w:r>
              <w:rPr>
                <w:rFonts w:hint="eastAsia"/>
                <w:sz w:val="24"/>
                <w:lang w:eastAsia="ja-JP"/>
              </w:rPr>
              <w:t>(96)</w:t>
            </w:r>
          </w:p>
        </w:tc>
        <w:tc>
          <w:tcPr>
            <w:tcW w:w="1845" w:type="dxa"/>
            <w:vAlign w:val="center"/>
          </w:tcPr>
          <w:p w14:paraId="32693FF4" w14:textId="77777777" w:rsidR="00991EF0" w:rsidRDefault="00C3004D" w:rsidP="007B2FEF">
            <w:pPr>
              <w:spacing w:beforeLines="50" w:before="120" w:afterLines="50" w:after="120"/>
              <w:jc w:val="center"/>
              <w:rPr>
                <w:sz w:val="24"/>
                <w:lang w:eastAsia="ja-JP"/>
              </w:rPr>
            </w:pPr>
            <w:r>
              <w:rPr>
                <w:rFonts w:hint="eastAsia"/>
                <w:sz w:val="24"/>
                <w:lang w:eastAsia="ja-JP"/>
              </w:rPr>
              <w:t>0.429</w:t>
            </w:r>
          </w:p>
          <w:p w14:paraId="0AC737C1" w14:textId="77777777" w:rsidR="00991EF0" w:rsidRDefault="00C3004D" w:rsidP="007B2FEF">
            <w:pPr>
              <w:spacing w:beforeLines="50" w:before="120" w:afterLines="50" w:after="120"/>
              <w:jc w:val="center"/>
              <w:rPr>
                <w:sz w:val="24"/>
                <w:lang w:eastAsia="ja-JP"/>
              </w:rPr>
            </w:pPr>
            <w:r>
              <w:rPr>
                <w:rFonts w:hint="eastAsia"/>
                <w:sz w:val="24"/>
                <w:lang w:eastAsia="ja-JP"/>
              </w:rPr>
              <w:t>(95)</w:t>
            </w:r>
          </w:p>
        </w:tc>
      </w:tr>
    </w:tbl>
    <w:p w14:paraId="605741E7" w14:textId="09626A47" w:rsidR="008F36F3" w:rsidRPr="003D580D" w:rsidRDefault="008F36F3" w:rsidP="008F36F3">
      <w:pPr>
        <w:spacing w:beforeLines="50" w:before="120" w:afterLines="50" w:after="120"/>
        <w:rPr>
          <w:rFonts w:eastAsia="Times New Roman"/>
          <w:szCs w:val="24"/>
          <w:lang w:eastAsia="ja-JP"/>
        </w:rPr>
      </w:pPr>
      <w:r w:rsidRPr="003D580D">
        <w:rPr>
          <w:rFonts w:eastAsia="Times New Roman"/>
          <w:szCs w:val="24"/>
          <w:lang w:eastAsia="ja-JP"/>
        </w:rPr>
        <w:t xml:space="preserve">Notes: Sample size is in parentheses. </w:t>
      </w:r>
    </w:p>
    <w:p w14:paraId="1A6B0749" w14:textId="77777777" w:rsidR="008F36F3" w:rsidRDefault="008F36F3" w:rsidP="007B2FEF">
      <w:pPr>
        <w:spacing w:beforeLines="50" w:before="120"/>
        <w:jc w:val="both"/>
        <w:rPr>
          <w:sz w:val="22"/>
          <w:szCs w:val="22"/>
          <w:lang w:eastAsia="ja-JP"/>
        </w:rPr>
      </w:pPr>
    </w:p>
    <w:p w14:paraId="0FE3141C" w14:textId="77777777" w:rsidR="00991EF0" w:rsidRPr="00A179B2" w:rsidRDefault="00C3004D" w:rsidP="007B2FEF">
      <w:pPr>
        <w:spacing w:afterLines="100" w:after="240"/>
        <w:jc w:val="center"/>
        <w:rPr>
          <w:b/>
          <w:sz w:val="24"/>
          <w:lang w:eastAsia="ja-JP"/>
        </w:rPr>
      </w:pPr>
      <w:r w:rsidRPr="00A179B2">
        <w:rPr>
          <w:rFonts w:hint="eastAsia"/>
          <w:b/>
          <w:sz w:val="24"/>
          <w:lang w:eastAsia="ja-JP"/>
        </w:rPr>
        <w:t>Panel B</w:t>
      </w:r>
      <w:r w:rsidR="000C50F0" w:rsidRPr="00A179B2">
        <w:rPr>
          <w:rFonts w:hint="eastAsia"/>
          <w:b/>
          <w:sz w:val="24"/>
          <w:lang w:eastAsia="ja-JP"/>
        </w:rPr>
        <w:t xml:space="preserve">: </w:t>
      </w:r>
      <w:r w:rsidR="000C50F0" w:rsidRPr="00A179B2">
        <w:rPr>
          <w:b/>
          <w:sz w:val="24"/>
          <w:lang w:eastAsia="ja-JP"/>
        </w:rPr>
        <w:t xml:space="preserve">Differences between </w:t>
      </w:r>
      <w:r w:rsidR="00D71403" w:rsidRPr="00A179B2">
        <w:rPr>
          <w:b/>
          <w:sz w:val="24"/>
          <w:lang w:eastAsia="ja-JP"/>
        </w:rPr>
        <w:t>A</w:t>
      </w:r>
      <w:r w:rsidR="00D71403" w:rsidRPr="00A179B2">
        <w:rPr>
          <w:rFonts w:hint="eastAsia"/>
          <w:b/>
          <w:sz w:val="24"/>
          <w:lang w:eastAsia="ja-JP"/>
        </w:rPr>
        <w:t xml:space="preserve">verage </w:t>
      </w:r>
      <w:r w:rsidR="004631CE" w:rsidRPr="00A179B2">
        <w:rPr>
          <w:rFonts w:hint="eastAsia"/>
          <w:b/>
          <w:i/>
          <w:sz w:val="24"/>
          <w:lang w:eastAsia="ja-JP"/>
        </w:rPr>
        <w:t xml:space="preserve">Period-RAD </w:t>
      </w:r>
      <w:r w:rsidR="000C50F0" w:rsidRPr="00A179B2">
        <w:rPr>
          <w:b/>
          <w:sz w:val="24"/>
          <w:lang w:eastAsia="ja-JP"/>
        </w:rPr>
        <w:t xml:space="preserve">across </w:t>
      </w:r>
      <w:r w:rsidR="00D71403" w:rsidRPr="00A179B2">
        <w:rPr>
          <w:b/>
          <w:sz w:val="24"/>
          <w:lang w:eastAsia="ja-JP"/>
        </w:rPr>
        <w:t>Treatments</w:t>
      </w:r>
    </w:p>
    <w:tbl>
      <w:tblPr>
        <w:tblStyle w:val="Tabellenraster"/>
        <w:tblW w:w="0" w:type="auto"/>
        <w:jc w:val="center"/>
        <w:tblLook w:val="04A0" w:firstRow="1" w:lastRow="0" w:firstColumn="1" w:lastColumn="0" w:noHBand="0" w:noVBand="1"/>
      </w:tblPr>
      <w:tblGrid>
        <w:gridCol w:w="2306"/>
        <w:gridCol w:w="2306"/>
        <w:gridCol w:w="2306"/>
        <w:gridCol w:w="2307"/>
      </w:tblGrid>
      <w:tr w:rsidR="004631CE" w:rsidRPr="00A179B2" w14:paraId="7FA2DC76" w14:textId="77777777" w:rsidTr="00121434">
        <w:trPr>
          <w:jc w:val="center"/>
        </w:trPr>
        <w:tc>
          <w:tcPr>
            <w:tcW w:w="9225" w:type="dxa"/>
            <w:gridSpan w:val="4"/>
            <w:vAlign w:val="center"/>
          </w:tcPr>
          <w:p w14:paraId="15873903" w14:textId="77777777" w:rsidR="00991EF0" w:rsidRPr="00A179B2" w:rsidRDefault="00F85140" w:rsidP="007B2FEF">
            <w:pPr>
              <w:spacing w:afterLines="50" w:after="120"/>
              <w:jc w:val="center"/>
              <w:rPr>
                <w:sz w:val="24"/>
                <w:lang w:eastAsia="ja-JP"/>
              </w:rPr>
            </w:pPr>
            <w:r w:rsidRPr="00A179B2">
              <w:rPr>
                <w:sz w:val="24"/>
                <w:lang w:eastAsia="ja-JP"/>
              </w:rPr>
              <w:t>High-liquidity</w:t>
            </w:r>
            <w:r w:rsidR="00926D3D" w:rsidRPr="00A179B2">
              <w:rPr>
                <w:sz w:val="24"/>
                <w:lang w:eastAsia="ja-JP"/>
              </w:rPr>
              <w:t xml:space="preserve"> Session (H)</w:t>
            </w:r>
          </w:p>
        </w:tc>
      </w:tr>
      <w:tr w:rsidR="004631CE" w:rsidRPr="00A179B2" w14:paraId="1951799A" w14:textId="77777777" w:rsidTr="00121434">
        <w:trPr>
          <w:jc w:val="center"/>
        </w:trPr>
        <w:tc>
          <w:tcPr>
            <w:tcW w:w="2306" w:type="dxa"/>
            <w:vAlign w:val="center"/>
          </w:tcPr>
          <w:p w14:paraId="25F099CC" w14:textId="77777777" w:rsidR="00E9154C" w:rsidRPr="00A179B2" w:rsidRDefault="00E9154C" w:rsidP="007B2FEF">
            <w:pPr>
              <w:spacing w:afterLines="50" w:after="120"/>
              <w:jc w:val="center"/>
              <w:rPr>
                <w:sz w:val="24"/>
                <w:lang w:eastAsia="ja-JP"/>
              </w:rPr>
            </w:pPr>
          </w:p>
        </w:tc>
        <w:tc>
          <w:tcPr>
            <w:tcW w:w="2306" w:type="dxa"/>
            <w:vAlign w:val="center"/>
          </w:tcPr>
          <w:p w14:paraId="1A48F590" w14:textId="77777777" w:rsidR="00991EF0" w:rsidRPr="00A179B2" w:rsidRDefault="00926D3D" w:rsidP="007B2FEF">
            <w:pPr>
              <w:spacing w:afterLines="50" w:after="120"/>
              <w:jc w:val="center"/>
              <w:rPr>
                <w:sz w:val="24"/>
                <w:lang w:eastAsia="ja-JP"/>
              </w:rPr>
            </w:pPr>
            <w:r w:rsidRPr="00A179B2">
              <w:rPr>
                <w:sz w:val="24"/>
                <w:lang w:eastAsia="ja-JP"/>
              </w:rPr>
              <w:t>T2</w:t>
            </w:r>
          </w:p>
        </w:tc>
        <w:tc>
          <w:tcPr>
            <w:tcW w:w="2306" w:type="dxa"/>
            <w:vAlign w:val="center"/>
          </w:tcPr>
          <w:p w14:paraId="7C014F9A" w14:textId="77777777" w:rsidR="00991EF0" w:rsidRPr="00A179B2" w:rsidRDefault="00926D3D" w:rsidP="007B2FEF">
            <w:pPr>
              <w:spacing w:afterLines="50" w:after="120"/>
              <w:jc w:val="center"/>
              <w:rPr>
                <w:sz w:val="24"/>
                <w:lang w:eastAsia="ja-JP"/>
              </w:rPr>
            </w:pPr>
            <w:r w:rsidRPr="00A179B2">
              <w:rPr>
                <w:sz w:val="24"/>
                <w:lang w:eastAsia="ja-JP"/>
              </w:rPr>
              <w:t>T4</w:t>
            </w:r>
          </w:p>
        </w:tc>
        <w:tc>
          <w:tcPr>
            <w:tcW w:w="2307" w:type="dxa"/>
            <w:vAlign w:val="center"/>
          </w:tcPr>
          <w:p w14:paraId="5957D349" w14:textId="77777777" w:rsidR="00991EF0" w:rsidRPr="00A179B2" w:rsidRDefault="00926D3D" w:rsidP="007B2FEF">
            <w:pPr>
              <w:spacing w:afterLines="50" w:after="120"/>
              <w:jc w:val="center"/>
              <w:rPr>
                <w:sz w:val="24"/>
                <w:lang w:eastAsia="ja-JP"/>
              </w:rPr>
            </w:pPr>
            <w:r w:rsidRPr="00A179B2">
              <w:rPr>
                <w:sz w:val="24"/>
                <w:lang w:eastAsia="ja-JP"/>
              </w:rPr>
              <w:t>T8</w:t>
            </w:r>
          </w:p>
        </w:tc>
      </w:tr>
      <w:tr w:rsidR="004631CE" w:rsidRPr="00A179B2" w14:paraId="217A36E3" w14:textId="77777777" w:rsidTr="00121434">
        <w:trPr>
          <w:jc w:val="center"/>
        </w:trPr>
        <w:tc>
          <w:tcPr>
            <w:tcW w:w="2306" w:type="dxa"/>
            <w:vAlign w:val="center"/>
          </w:tcPr>
          <w:p w14:paraId="65B2D9DE" w14:textId="77777777" w:rsidR="00E9154C" w:rsidRPr="00A179B2" w:rsidRDefault="00926D3D" w:rsidP="007B2FEF">
            <w:pPr>
              <w:spacing w:afterLines="50" w:after="120"/>
              <w:jc w:val="center"/>
              <w:rPr>
                <w:sz w:val="24"/>
                <w:lang w:eastAsia="ja-JP"/>
              </w:rPr>
            </w:pPr>
            <w:r w:rsidRPr="00A179B2">
              <w:rPr>
                <w:sz w:val="24"/>
                <w:lang w:eastAsia="ja-JP"/>
              </w:rPr>
              <w:t>T1</w:t>
            </w:r>
          </w:p>
        </w:tc>
        <w:tc>
          <w:tcPr>
            <w:tcW w:w="2306" w:type="dxa"/>
            <w:vAlign w:val="center"/>
          </w:tcPr>
          <w:p w14:paraId="195CFA15" w14:textId="77777777" w:rsidR="00991EF0" w:rsidRPr="00A179B2" w:rsidRDefault="009973AD" w:rsidP="007B2FEF">
            <w:pPr>
              <w:spacing w:afterLines="50" w:after="120"/>
              <w:jc w:val="center"/>
              <w:rPr>
                <w:sz w:val="24"/>
                <w:szCs w:val="24"/>
                <w:lang w:eastAsia="ja-JP"/>
              </w:rPr>
            </w:pPr>
            <w:r w:rsidRPr="00A179B2">
              <w:rPr>
                <w:sz w:val="24"/>
                <w:szCs w:val="24"/>
                <w:lang w:eastAsia="ja-JP"/>
              </w:rPr>
              <w:t xml:space="preserve"> </w:t>
            </w:r>
            <w:r w:rsidR="00926D3D" w:rsidRPr="00A179B2">
              <w:rPr>
                <w:sz w:val="24"/>
                <w:szCs w:val="24"/>
                <w:lang w:eastAsia="ja-JP"/>
              </w:rPr>
              <w:t>0.16</w:t>
            </w:r>
            <w:r w:rsidR="00C3004D" w:rsidRPr="00A179B2">
              <w:rPr>
                <w:rFonts w:hint="eastAsia"/>
                <w:sz w:val="24"/>
                <w:szCs w:val="24"/>
                <w:lang w:eastAsia="ja-JP"/>
              </w:rPr>
              <w:t>5</w:t>
            </w:r>
            <w:r w:rsidR="00926D3D" w:rsidRPr="00A179B2">
              <w:rPr>
                <w:rFonts w:eastAsia="Times New Roman"/>
                <w:sz w:val="24"/>
                <w:szCs w:val="24"/>
              </w:rPr>
              <w:t>*</w:t>
            </w:r>
          </w:p>
        </w:tc>
        <w:tc>
          <w:tcPr>
            <w:tcW w:w="2306" w:type="dxa"/>
            <w:vAlign w:val="center"/>
          </w:tcPr>
          <w:p w14:paraId="1EF2C8B4" w14:textId="77777777" w:rsidR="00991EF0" w:rsidRPr="00A179B2" w:rsidRDefault="004631CE" w:rsidP="007B2FEF">
            <w:pPr>
              <w:spacing w:afterLines="50" w:after="120"/>
              <w:jc w:val="center"/>
              <w:rPr>
                <w:sz w:val="24"/>
                <w:szCs w:val="24"/>
                <w:lang w:eastAsia="ja-JP"/>
              </w:rPr>
            </w:pPr>
            <w:r w:rsidRPr="00A179B2">
              <w:rPr>
                <w:rFonts w:hint="eastAsia"/>
                <w:sz w:val="24"/>
                <w:szCs w:val="24"/>
                <w:lang w:eastAsia="ja-JP"/>
              </w:rPr>
              <w:t xml:space="preserve">      </w:t>
            </w:r>
            <w:r w:rsidR="009973AD" w:rsidRPr="00A179B2">
              <w:rPr>
                <w:sz w:val="24"/>
                <w:szCs w:val="24"/>
                <w:lang w:eastAsia="ja-JP"/>
              </w:rPr>
              <w:t xml:space="preserve"> </w:t>
            </w:r>
            <w:r w:rsidR="00926D3D" w:rsidRPr="00A179B2">
              <w:rPr>
                <w:sz w:val="24"/>
                <w:szCs w:val="24"/>
                <w:lang w:eastAsia="ja-JP"/>
              </w:rPr>
              <w:t>0.318</w:t>
            </w:r>
            <w:r w:rsidR="00926D3D" w:rsidRPr="00A179B2">
              <w:rPr>
                <w:rFonts w:eastAsia="Times New Roman"/>
                <w:sz w:val="24"/>
                <w:szCs w:val="24"/>
              </w:rPr>
              <w:t>***</w:t>
            </w:r>
          </w:p>
        </w:tc>
        <w:tc>
          <w:tcPr>
            <w:tcW w:w="2307" w:type="dxa"/>
            <w:vAlign w:val="center"/>
          </w:tcPr>
          <w:p w14:paraId="630A6965" w14:textId="77777777" w:rsidR="00991EF0" w:rsidRPr="00A179B2" w:rsidRDefault="004631CE" w:rsidP="007B2FEF">
            <w:pPr>
              <w:spacing w:afterLines="50" w:after="120"/>
              <w:jc w:val="center"/>
              <w:rPr>
                <w:sz w:val="24"/>
                <w:szCs w:val="24"/>
                <w:lang w:eastAsia="ja-JP"/>
              </w:rPr>
            </w:pPr>
            <w:r w:rsidRPr="00A179B2">
              <w:rPr>
                <w:rFonts w:hint="eastAsia"/>
                <w:sz w:val="24"/>
                <w:szCs w:val="24"/>
                <w:lang w:eastAsia="ja-JP"/>
              </w:rPr>
              <w:t xml:space="preserve">    </w:t>
            </w:r>
            <w:r w:rsidR="00926D3D" w:rsidRPr="00A179B2">
              <w:rPr>
                <w:sz w:val="24"/>
                <w:szCs w:val="24"/>
                <w:lang w:eastAsia="ja-JP"/>
              </w:rPr>
              <w:t>0.766</w:t>
            </w:r>
            <w:r w:rsidR="00926D3D" w:rsidRPr="00A179B2">
              <w:rPr>
                <w:rFonts w:eastAsia="Times New Roman"/>
                <w:sz w:val="24"/>
                <w:szCs w:val="24"/>
              </w:rPr>
              <w:t>***</w:t>
            </w:r>
          </w:p>
        </w:tc>
      </w:tr>
      <w:tr w:rsidR="004631CE" w:rsidRPr="00A179B2" w14:paraId="78555C3E" w14:textId="77777777" w:rsidTr="00121434">
        <w:trPr>
          <w:jc w:val="center"/>
        </w:trPr>
        <w:tc>
          <w:tcPr>
            <w:tcW w:w="2306" w:type="dxa"/>
            <w:vAlign w:val="center"/>
          </w:tcPr>
          <w:p w14:paraId="68986B38" w14:textId="77777777" w:rsidR="00E9154C" w:rsidRPr="00A179B2" w:rsidRDefault="00926D3D" w:rsidP="007B2FEF">
            <w:pPr>
              <w:spacing w:afterLines="50" w:after="120"/>
              <w:jc w:val="center"/>
              <w:rPr>
                <w:sz w:val="24"/>
                <w:lang w:eastAsia="ja-JP"/>
              </w:rPr>
            </w:pPr>
            <w:r w:rsidRPr="00A179B2">
              <w:rPr>
                <w:sz w:val="24"/>
                <w:lang w:eastAsia="ja-JP"/>
              </w:rPr>
              <w:t>T2</w:t>
            </w:r>
          </w:p>
        </w:tc>
        <w:tc>
          <w:tcPr>
            <w:tcW w:w="2306" w:type="dxa"/>
            <w:vAlign w:val="center"/>
          </w:tcPr>
          <w:p w14:paraId="3A562B7F" w14:textId="77777777" w:rsidR="00991EF0" w:rsidRPr="00A179B2" w:rsidRDefault="00991EF0" w:rsidP="007B2FEF">
            <w:pPr>
              <w:spacing w:afterLines="50" w:after="120"/>
              <w:jc w:val="center"/>
              <w:rPr>
                <w:sz w:val="24"/>
                <w:szCs w:val="24"/>
                <w:lang w:eastAsia="ja-JP"/>
              </w:rPr>
            </w:pPr>
          </w:p>
        </w:tc>
        <w:tc>
          <w:tcPr>
            <w:tcW w:w="2306" w:type="dxa"/>
            <w:vAlign w:val="center"/>
          </w:tcPr>
          <w:p w14:paraId="16CF6D0C" w14:textId="77777777" w:rsidR="00991EF0" w:rsidRPr="00A179B2" w:rsidRDefault="004631CE" w:rsidP="007B2FEF">
            <w:pPr>
              <w:spacing w:afterLines="50" w:after="120"/>
              <w:jc w:val="center"/>
              <w:rPr>
                <w:sz w:val="24"/>
                <w:szCs w:val="24"/>
                <w:lang w:eastAsia="ja-JP"/>
              </w:rPr>
            </w:pPr>
            <w:r w:rsidRPr="00A179B2">
              <w:rPr>
                <w:rFonts w:hint="eastAsia"/>
                <w:sz w:val="24"/>
                <w:szCs w:val="24"/>
                <w:lang w:eastAsia="ja-JP"/>
              </w:rPr>
              <w:t xml:space="preserve"> </w:t>
            </w:r>
            <w:r w:rsidR="00926D3D" w:rsidRPr="00A179B2">
              <w:rPr>
                <w:sz w:val="24"/>
                <w:szCs w:val="24"/>
                <w:lang w:eastAsia="ja-JP"/>
              </w:rPr>
              <w:t>0.15</w:t>
            </w:r>
            <w:r w:rsidR="00C3004D" w:rsidRPr="00A179B2">
              <w:rPr>
                <w:rFonts w:hint="eastAsia"/>
                <w:sz w:val="24"/>
                <w:szCs w:val="24"/>
                <w:lang w:eastAsia="ja-JP"/>
              </w:rPr>
              <w:t>3</w:t>
            </w:r>
          </w:p>
        </w:tc>
        <w:tc>
          <w:tcPr>
            <w:tcW w:w="2307" w:type="dxa"/>
            <w:vAlign w:val="center"/>
          </w:tcPr>
          <w:p w14:paraId="2E972AE5" w14:textId="77777777" w:rsidR="00991EF0" w:rsidRPr="00A179B2" w:rsidRDefault="004631CE" w:rsidP="007B2FEF">
            <w:pPr>
              <w:spacing w:afterLines="50" w:after="120"/>
              <w:jc w:val="center"/>
              <w:rPr>
                <w:sz w:val="24"/>
                <w:szCs w:val="24"/>
                <w:lang w:eastAsia="ja-JP"/>
              </w:rPr>
            </w:pPr>
            <w:r w:rsidRPr="00A179B2">
              <w:rPr>
                <w:rFonts w:hint="eastAsia"/>
                <w:sz w:val="24"/>
                <w:szCs w:val="24"/>
                <w:lang w:eastAsia="ja-JP"/>
              </w:rPr>
              <w:t xml:space="preserve">    </w:t>
            </w:r>
            <w:r w:rsidR="00926D3D" w:rsidRPr="00A179B2">
              <w:rPr>
                <w:sz w:val="24"/>
                <w:szCs w:val="24"/>
                <w:lang w:eastAsia="ja-JP"/>
              </w:rPr>
              <w:t>0.</w:t>
            </w:r>
            <w:r w:rsidR="00C3004D" w:rsidRPr="00A179B2">
              <w:rPr>
                <w:rFonts w:hint="eastAsia"/>
                <w:sz w:val="24"/>
                <w:szCs w:val="24"/>
                <w:lang w:eastAsia="ja-JP"/>
              </w:rPr>
              <w:t>601</w:t>
            </w:r>
            <w:r w:rsidR="00926D3D" w:rsidRPr="00A179B2">
              <w:rPr>
                <w:sz w:val="24"/>
                <w:szCs w:val="24"/>
                <w:lang w:eastAsia="ja-JP"/>
              </w:rPr>
              <w:t>***</w:t>
            </w:r>
          </w:p>
        </w:tc>
      </w:tr>
      <w:tr w:rsidR="004631CE" w:rsidRPr="00A179B2" w14:paraId="3F5844AA" w14:textId="77777777" w:rsidTr="00121434">
        <w:trPr>
          <w:jc w:val="center"/>
        </w:trPr>
        <w:tc>
          <w:tcPr>
            <w:tcW w:w="2306" w:type="dxa"/>
            <w:vAlign w:val="center"/>
          </w:tcPr>
          <w:p w14:paraId="7DC0BA8B" w14:textId="77777777" w:rsidR="00E9154C" w:rsidRPr="00A179B2" w:rsidRDefault="00926D3D" w:rsidP="007B2FEF">
            <w:pPr>
              <w:spacing w:afterLines="50" w:after="120"/>
              <w:jc w:val="center"/>
              <w:rPr>
                <w:sz w:val="24"/>
                <w:lang w:eastAsia="ja-JP"/>
              </w:rPr>
            </w:pPr>
            <w:r w:rsidRPr="00A179B2">
              <w:rPr>
                <w:sz w:val="24"/>
                <w:lang w:eastAsia="ja-JP"/>
              </w:rPr>
              <w:t>T4</w:t>
            </w:r>
          </w:p>
        </w:tc>
        <w:tc>
          <w:tcPr>
            <w:tcW w:w="2306" w:type="dxa"/>
            <w:vAlign w:val="center"/>
          </w:tcPr>
          <w:p w14:paraId="65C168CB" w14:textId="77777777" w:rsidR="00991EF0" w:rsidRPr="00A179B2" w:rsidRDefault="00991EF0" w:rsidP="007B2FEF">
            <w:pPr>
              <w:spacing w:afterLines="50" w:after="120"/>
              <w:jc w:val="center"/>
              <w:rPr>
                <w:sz w:val="24"/>
                <w:szCs w:val="24"/>
                <w:lang w:eastAsia="ja-JP"/>
              </w:rPr>
            </w:pPr>
          </w:p>
        </w:tc>
        <w:tc>
          <w:tcPr>
            <w:tcW w:w="2306" w:type="dxa"/>
            <w:vAlign w:val="center"/>
          </w:tcPr>
          <w:p w14:paraId="47DE2F27" w14:textId="77777777" w:rsidR="00991EF0" w:rsidRPr="00A179B2" w:rsidRDefault="00991EF0" w:rsidP="007B2FEF">
            <w:pPr>
              <w:spacing w:afterLines="50" w:after="120"/>
              <w:jc w:val="center"/>
              <w:rPr>
                <w:sz w:val="24"/>
                <w:szCs w:val="24"/>
                <w:lang w:eastAsia="ja-JP"/>
              </w:rPr>
            </w:pPr>
          </w:p>
        </w:tc>
        <w:tc>
          <w:tcPr>
            <w:tcW w:w="2307" w:type="dxa"/>
            <w:vAlign w:val="center"/>
          </w:tcPr>
          <w:p w14:paraId="31C3CB3A" w14:textId="77777777" w:rsidR="00991EF0" w:rsidRPr="00A179B2" w:rsidRDefault="004631CE" w:rsidP="007B2FEF">
            <w:pPr>
              <w:spacing w:afterLines="50" w:after="120"/>
              <w:jc w:val="center"/>
              <w:rPr>
                <w:sz w:val="24"/>
                <w:szCs w:val="24"/>
                <w:lang w:eastAsia="ja-JP"/>
              </w:rPr>
            </w:pPr>
            <w:r w:rsidRPr="00A179B2">
              <w:rPr>
                <w:rFonts w:hint="eastAsia"/>
                <w:sz w:val="24"/>
                <w:szCs w:val="24"/>
                <w:lang w:eastAsia="ja-JP"/>
              </w:rPr>
              <w:t xml:space="preserve">    </w:t>
            </w:r>
            <w:r w:rsidR="00926D3D" w:rsidRPr="00A179B2">
              <w:rPr>
                <w:sz w:val="24"/>
                <w:szCs w:val="24"/>
                <w:lang w:eastAsia="ja-JP"/>
              </w:rPr>
              <w:t>0.448***</w:t>
            </w:r>
          </w:p>
        </w:tc>
      </w:tr>
      <w:tr w:rsidR="004631CE" w:rsidRPr="00A179B2" w14:paraId="4B4DA578" w14:textId="77777777" w:rsidTr="00121434">
        <w:trPr>
          <w:jc w:val="center"/>
        </w:trPr>
        <w:tc>
          <w:tcPr>
            <w:tcW w:w="9225" w:type="dxa"/>
            <w:gridSpan w:val="4"/>
            <w:vAlign w:val="center"/>
          </w:tcPr>
          <w:p w14:paraId="384F0A5F" w14:textId="77777777" w:rsidR="00E9154C" w:rsidRPr="00A179B2" w:rsidRDefault="00F85140" w:rsidP="007B2FEF">
            <w:pPr>
              <w:spacing w:afterLines="50" w:after="120"/>
              <w:jc w:val="center"/>
              <w:rPr>
                <w:sz w:val="24"/>
                <w:lang w:eastAsia="ja-JP"/>
              </w:rPr>
            </w:pPr>
            <w:r w:rsidRPr="00A179B2">
              <w:rPr>
                <w:sz w:val="24"/>
                <w:lang w:eastAsia="ja-JP"/>
              </w:rPr>
              <w:t>Low-liquidity</w:t>
            </w:r>
            <w:r w:rsidR="00926D3D" w:rsidRPr="00A179B2">
              <w:rPr>
                <w:sz w:val="24"/>
                <w:lang w:eastAsia="ja-JP"/>
              </w:rPr>
              <w:t xml:space="preserve"> Session (L)</w:t>
            </w:r>
          </w:p>
        </w:tc>
      </w:tr>
      <w:tr w:rsidR="004631CE" w:rsidRPr="00A179B2" w14:paraId="787A45CA" w14:textId="77777777" w:rsidTr="00121434">
        <w:trPr>
          <w:jc w:val="center"/>
        </w:trPr>
        <w:tc>
          <w:tcPr>
            <w:tcW w:w="2306" w:type="dxa"/>
            <w:vAlign w:val="center"/>
          </w:tcPr>
          <w:p w14:paraId="7CD1C6F4" w14:textId="77777777" w:rsidR="00E9154C" w:rsidRPr="00A179B2" w:rsidRDefault="00E9154C" w:rsidP="007B2FEF">
            <w:pPr>
              <w:spacing w:afterLines="50" w:after="120"/>
              <w:jc w:val="center"/>
              <w:rPr>
                <w:sz w:val="24"/>
                <w:lang w:eastAsia="ja-JP"/>
              </w:rPr>
            </w:pPr>
          </w:p>
        </w:tc>
        <w:tc>
          <w:tcPr>
            <w:tcW w:w="2306" w:type="dxa"/>
            <w:vAlign w:val="center"/>
          </w:tcPr>
          <w:p w14:paraId="16CA8118" w14:textId="77777777" w:rsidR="00991EF0" w:rsidRPr="00A179B2" w:rsidRDefault="004631CE" w:rsidP="007B2FEF">
            <w:pPr>
              <w:spacing w:afterLines="50" w:after="120"/>
              <w:jc w:val="center"/>
              <w:rPr>
                <w:sz w:val="24"/>
                <w:lang w:eastAsia="ja-JP"/>
              </w:rPr>
            </w:pPr>
            <w:r w:rsidRPr="00A179B2">
              <w:rPr>
                <w:rFonts w:hint="eastAsia"/>
                <w:sz w:val="24"/>
                <w:lang w:eastAsia="ja-JP"/>
              </w:rPr>
              <w:t>T2</w:t>
            </w:r>
          </w:p>
        </w:tc>
        <w:tc>
          <w:tcPr>
            <w:tcW w:w="2306" w:type="dxa"/>
            <w:vAlign w:val="center"/>
          </w:tcPr>
          <w:p w14:paraId="71C73255" w14:textId="77777777" w:rsidR="00991EF0" w:rsidRPr="00A179B2" w:rsidRDefault="004631CE" w:rsidP="007B2FEF">
            <w:pPr>
              <w:spacing w:afterLines="50" w:after="120"/>
              <w:jc w:val="center"/>
              <w:rPr>
                <w:sz w:val="24"/>
                <w:lang w:eastAsia="ja-JP"/>
              </w:rPr>
            </w:pPr>
            <w:r w:rsidRPr="00A179B2">
              <w:rPr>
                <w:rFonts w:hint="eastAsia"/>
                <w:sz w:val="24"/>
                <w:lang w:eastAsia="ja-JP"/>
              </w:rPr>
              <w:t>T4</w:t>
            </w:r>
          </w:p>
        </w:tc>
        <w:tc>
          <w:tcPr>
            <w:tcW w:w="2307" w:type="dxa"/>
            <w:vAlign w:val="center"/>
          </w:tcPr>
          <w:p w14:paraId="01E2E510" w14:textId="77777777" w:rsidR="00991EF0" w:rsidRPr="00A179B2" w:rsidRDefault="004631CE" w:rsidP="007B2FEF">
            <w:pPr>
              <w:spacing w:afterLines="50" w:after="120"/>
              <w:jc w:val="center"/>
              <w:rPr>
                <w:sz w:val="24"/>
                <w:lang w:eastAsia="ja-JP"/>
              </w:rPr>
            </w:pPr>
            <w:r w:rsidRPr="00A179B2">
              <w:rPr>
                <w:rFonts w:hint="eastAsia"/>
                <w:sz w:val="24"/>
                <w:lang w:eastAsia="ja-JP"/>
              </w:rPr>
              <w:t>T8</w:t>
            </w:r>
          </w:p>
        </w:tc>
      </w:tr>
      <w:tr w:rsidR="004631CE" w:rsidRPr="00A179B2" w14:paraId="7D45E393" w14:textId="77777777" w:rsidTr="00121434">
        <w:trPr>
          <w:jc w:val="center"/>
        </w:trPr>
        <w:tc>
          <w:tcPr>
            <w:tcW w:w="2306" w:type="dxa"/>
            <w:vAlign w:val="center"/>
          </w:tcPr>
          <w:p w14:paraId="05D45252" w14:textId="77777777" w:rsidR="00E9154C" w:rsidRPr="00A179B2" w:rsidRDefault="004631CE" w:rsidP="007B2FEF">
            <w:pPr>
              <w:spacing w:afterLines="50" w:after="120"/>
              <w:jc w:val="center"/>
              <w:rPr>
                <w:sz w:val="24"/>
                <w:lang w:eastAsia="ja-JP"/>
              </w:rPr>
            </w:pPr>
            <w:r w:rsidRPr="00A179B2">
              <w:rPr>
                <w:rFonts w:hint="eastAsia"/>
                <w:sz w:val="24"/>
                <w:lang w:eastAsia="ja-JP"/>
              </w:rPr>
              <w:t>T1</w:t>
            </w:r>
          </w:p>
        </w:tc>
        <w:tc>
          <w:tcPr>
            <w:tcW w:w="2306" w:type="dxa"/>
            <w:vAlign w:val="center"/>
          </w:tcPr>
          <w:p w14:paraId="3D66C89D" w14:textId="77777777" w:rsidR="00991EF0" w:rsidRPr="00A179B2" w:rsidRDefault="004631CE" w:rsidP="007B2FEF">
            <w:pPr>
              <w:spacing w:afterLines="50" w:after="120"/>
              <w:jc w:val="center"/>
              <w:rPr>
                <w:sz w:val="24"/>
                <w:szCs w:val="24"/>
                <w:lang w:eastAsia="ja-JP"/>
              </w:rPr>
            </w:pPr>
            <w:r w:rsidRPr="00A179B2">
              <w:rPr>
                <w:rFonts w:hint="eastAsia"/>
                <w:sz w:val="24"/>
                <w:szCs w:val="24"/>
                <w:lang w:eastAsia="ja-JP"/>
              </w:rPr>
              <w:t xml:space="preserve">   </w:t>
            </w:r>
            <w:r w:rsidR="00926D3D" w:rsidRPr="00A179B2">
              <w:rPr>
                <w:sz w:val="24"/>
                <w:szCs w:val="24"/>
                <w:lang w:eastAsia="ja-JP"/>
              </w:rPr>
              <w:t>0.239***</w:t>
            </w:r>
          </w:p>
        </w:tc>
        <w:tc>
          <w:tcPr>
            <w:tcW w:w="2306" w:type="dxa"/>
            <w:vAlign w:val="center"/>
          </w:tcPr>
          <w:p w14:paraId="2B2B0B0C" w14:textId="77777777" w:rsidR="00991EF0" w:rsidRPr="00A179B2" w:rsidRDefault="004631CE" w:rsidP="007B2FEF">
            <w:pPr>
              <w:spacing w:afterLines="50" w:after="120"/>
              <w:jc w:val="center"/>
              <w:rPr>
                <w:sz w:val="24"/>
                <w:szCs w:val="24"/>
                <w:lang w:eastAsia="ja-JP"/>
              </w:rPr>
            </w:pPr>
            <w:r w:rsidRPr="00A179B2">
              <w:rPr>
                <w:rFonts w:hint="eastAsia"/>
                <w:sz w:val="24"/>
                <w:szCs w:val="24"/>
                <w:lang w:eastAsia="ja-JP"/>
              </w:rPr>
              <w:t xml:space="preserve">       </w:t>
            </w:r>
            <w:r w:rsidR="00926D3D" w:rsidRPr="00A179B2">
              <w:rPr>
                <w:sz w:val="24"/>
                <w:szCs w:val="24"/>
                <w:lang w:eastAsia="ja-JP"/>
              </w:rPr>
              <w:t>0.</w:t>
            </w:r>
            <w:r w:rsidR="00926D3D" w:rsidRPr="00A179B2">
              <w:rPr>
                <w:rFonts w:eastAsia="Times New Roman"/>
                <w:sz w:val="24"/>
                <w:szCs w:val="24"/>
              </w:rPr>
              <w:t>31</w:t>
            </w:r>
            <w:r w:rsidR="00926D3D" w:rsidRPr="00A179B2">
              <w:rPr>
                <w:sz w:val="24"/>
                <w:szCs w:val="24"/>
                <w:lang w:eastAsia="ja-JP"/>
              </w:rPr>
              <w:t>3***</w:t>
            </w:r>
          </w:p>
        </w:tc>
        <w:tc>
          <w:tcPr>
            <w:tcW w:w="2307" w:type="dxa"/>
            <w:vAlign w:val="center"/>
          </w:tcPr>
          <w:p w14:paraId="2D53A74C" w14:textId="77777777" w:rsidR="00991EF0" w:rsidRPr="00A179B2" w:rsidRDefault="004631CE" w:rsidP="007B2FEF">
            <w:pPr>
              <w:spacing w:afterLines="50" w:after="120"/>
              <w:jc w:val="center"/>
              <w:rPr>
                <w:sz w:val="24"/>
                <w:szCs w:val="24"/>
                <w:lang w:eastAsia="ja-JP"/>
              </w:rPr>
            </w:pPr>
            <w:r w:rsidRPr="00A179B2">
              <w:rPr>
                <w:rFonts w:hint="eastAsia"/>
                <w:sz w:val="24"/>
                <w:szCs w:val="24"/>
                <w:lang w:eastAsia="ja-JP"/>
              </w:rPr>
              <w:t xml:space="preserve">     </w:t>
            </w:r>
            <w:r w:rsidR="00926D3D" w:rsidRPr="00A179B2">
              <w:rPr>
                <w:sz w:val="24"/>
                <w:szCs w:val="24"/>
                <w:lang w:eastAsia="ja-JP"/>
              </w:rPr>
              <w:t>0.313</w:t>
            </w:r>
            <w:r w:rsidR="00926D3D" w:rsidRPr="00A179B2">
              <w:rPr>
                <w:rFonts w:eastAsia="Times New Roman"/>
                <w:sz w:val="24"/>
                <w:szCs w:val="24"/>
              </w:rPr>
              <w:t>*</w:t>
            </w:r>
            <w:r w:rsidR="00926D3D" w:rsidRPr="00A179B2">
              <w:rPr>
                <w:sz w:val="24"/>
                <w:szCs w:val="24"/>
                <w:lang w:eastAsia="ja-JP"/>
              </w:rPr>
              <w:t>**</w:t>
            </w:r>
          </w:p>
        </w:tc>
      </w:tr>
      <w:tr w:rsidR="004631CE" w:rsidRPr="00A179B2" w14:paraId="6E913883" w14:textId="77777777" w:rsidTr="00121434">
        <w:trPr>
          <w:jc w:val="center"/>
        </w:trPr>
        <w:tc>
          <w:tcPr>
            <w:tcW w:w="2306" w:type="dxa"/>
            <w:vAlign w:val="center"/>
          </w:tcPr>
          <w:p w14:paraId="7D387DDA" w14:textId="77777777" w:rsidR="00E9154C" w:rsidRPr="00A179B2" w:rsidRDefault="004631CE" w:rsidP="007B2FEF">
            <w:pPr>
              <w:spacing w:afterLines="50" w:after="120"/>
              <w:jc w:val="center"/>
              <w:rPr>
                <w:sz w:val="24"/>
                <w:lang w:eastAsia="ja-JP"/>
              </w:rPr>
            </w:pPr>
            <w:r w:rsidRPr="00A179B2">
              <w:rPr>
                <w:rFonts w:hint="eastAsia"/>
                <w:sz w:val="24"/>
                <w:lang w:eastAsia="ja-JP"/>
              </w:rPr>
              <w:t>T2</w:t>
            </w:r>
          </w:p>
        </w:tc>
        <w:tc>
          <w:tcPr>
            <w:tcW w:w="2306" w:type="dxa"/>
            <w:vAlign w:val="center"/>
          </w:tcPr>
          <w:p w14:paraId="7B411358" w14:textId="77777777" w:rsidR="00991EF0" w:rsidRPr="00A179B2" w:rsidRDefault="00991EF0" w:rsidP="007B2FEF">
            <w:pPr>
              <w:spacing w:afterLines="50" w:after="120"/>
              <w:jc w:val="center"/>
              <w:rPr>
                <w:sz w:val="24"/>
                <w:szCs w:val="24"/>
                <w:lang w:eastAsia="ja-JP"/>
              </w:rPr>
            </w:pPr>
          </w:p>
        </w:tc>
        <w:tc>
          <w:tcPr>
            <w:tcW w:w="2306" w:type="dxa"/>
            <w:vAlign w:val="center"/>
          </w:tcPr>
          <w:p w14:paraId="0A90209E" w14:textId="77777777" w:rsidR="00991EF0" w:rsidRPr="00A179B2" w:rsidRDefault="004631CE" w:rsidP="007B2FEF">
            <w:pPr>
              <w:spacing w:afterLines="50" w:after="120"/>
              <w:jc w:val="center"/>
              <w:rPr>
                <w:sz w:val="24"/>
                <w:szCs w:val="24"/>
                <w:lang w:eastAsia="ja-JP"/>
              </w:rPr>
            </w:pPr>
            <w:r w:rsidRPr="00A179B2">
              <w:rPr>
                <w:rFonts w:hint="eastAsia"/>
                <w:sz w:val="24"/>
                <w:szCs w:val="24"/>
                <w:lang w:eastAsia="ja-JP"/>
              </w:rPr>
              <w:t xml:space="preserve"> </w:t>
            </w:r>
            <w:r w:rsidR="00926D3D" w:rsidRPr="00A179B2">
              <w:rPr>
                <w:sz w:val="24"/>
                <w:szCs w:val="24"/>
                <w:lang w:eastAsia="ja-JP"/>
              </w:rPr>
              <w:t>0.075</w:t>
            </w:r>
          </w:p>
        </w:tc>
        <w:tc>
          <w:tcPr>
            <w:tcW w:w="2307" w:type="dxa"/>
            <w:vAlign w:val="center"/>
          </w:tcPr>
          <w:p w14:paraId="563FF46F" w14:textId="77777777" w:rsidR="00991EF0" w:rsidRPr="00A179B2" w:rsidRDefault="00926D3D" w:rsidP="007B2FEF">
            <w:pPr>
              <w:spacing w:afterLines="50" w:after="120"/>
              <w:jc w:val="center"/>
              <w:rPr>
                <w:sz w:val="24"/>
                <w:szCs w:val="24"/>
                <w:lang w:eastAsia="ja-JP"/>
              </w:rPr>
            </w:pPr>
            <w:r w:rsidRPr="00A179B2">
              <w:rPr>
                <w:sz w:val="24"/>
                <w:szCs w:val="24"/>
                <w:lang w:eastAsia="ja-JP"/>
              </w:rPr>
              <w:t>0.074</w:t>
            </w:r>
          </w:p>
        </w:tc>
      </w:tr>
      <w:tr w:rsidR="004631CE" w:rsidRPr="00A179B2" w14:paraId="4100D4AF" w14:textId="77777777" w:rsidTr="009973AD">
        <w:trPr>
          <w:jc w:val="center"/>
        </w:trPr>
        <w:tc>
          <w:tcPr>
            <w:tcW w:w="2306" w:type="dxa"/>
            <w:tcBorders>
              <w:bottom w:val="single" w:sz="4" w:space="0" w:color="000000"/>
            </w:tcBorders>
            <w:vAlign w:val="center"/>
          </w:tcPr>
          <w:p w14:paraId="5431F2E6" w14:textId="77777777" w:rsidR="00E9154C" w:rsidRPr="00A179B2" w:rsidRDefault="004631CE" w:rsidP="007B2FEF">
            <w:pPr>
              <w:spacing w:afterLines="50" w:after="120"/>
              <w:jc w:val="center"/>
              <w:rPr>
                <w:sz w:val="24"/>
                <w:lang w:eastAsia="ja-JP"/>
              </w:rPr>
            </w:pPr>
            <w:r w:rsidRPr="00A179B2">
              <w:rPr>
                <w:rFonts w:hint="eastAsia"/>
                <w:sz w:val="24"/>
                <w:lang w:eastAsia="ja-JP"/>
              </w:rPr>
              <w:t>T4</w:t>
            </w:r>
          </w:p>
        </w:tc>
        <w:tc>
          <w:tcPr>
            <w:tcW w:w="2306" w:type="dxa"/>
            <w:tcBorders>
              <w:bottom w:val="single" w:sz="4" w:space="0" w:color="000000"/>
            </w:tcBorders>
            <w:vAlign w:val="center"/>
          </w:tcPr>
          <w:p w14:paraId="1B403E65" w14:textId="77777777" w:rsidR="00991EF0" w:rsidRPr="00A179B2" w:rsidRDefault="00991EF0" w:rsidP="007B2FEF">
            <w:pPr>
              <w:spacing w:afterLines="50" w:after="120"/>
              <w:jc w:val="center"/>
              <w:rPr>
                <w:sz w:val="24"/>
                <w:szCs w:val="24"/>
                <w:lang w:eastAsia="ja-JP"/>
              </w:rPr>
            </w:pPr>
          </w:p>
        </w:tc>
        <w:tc>
          <w:tcPr>
            <w:tcW w:w="2306" w:type="dxa"/>
            <w:tcBorders>
              <w:bottom w:val="single" w:sz="4" w:space="0" w:color="000000"/>
            </w:tcBorders>
            <w:vAlign w:val="center"/>
          </w:tcPr>
          <w:p w14:paraId="0AA65E32" w14:textId="77777777" w:rsidR="00991EF0" w:rsidRPr="00A179B2" w:rsidRDefault="00991EF0" w:rsidP="007B2FEF">
            <w:pPr>
              <w:spacing w:afterLines="50" w:after="120"/>
              <w:jc w:val="center"/>
              <w:rPr>
                <w:sz w:val="24"/>
                <w:szCs w:val="24"/>
                <w:lang w:eastAsia="ja-JP"/>
              </w:rPr>
            </w:pPr>
          </w:p>
        </w:tc>
        <w:tc>
          <w:tcPr>
            <w:tcW w:w="2307" w:type="dxa"/>
            <w:tcBorders>
              <w:bottom w:val="single" w:sz="4" w:space="0" w:color="000000"/>
            </w:tcBorders>
            <w:vAlign w:val="center"/>
          </w:tcPr>
          <w:p w14:paraId="2B784BCD" w14:textId="77777777" w:rsidR="00991EF0" w:rsidRPr="00A179B2" w:rsidRDefault="00926D3D" w:rsidP="007B2FEF">
            <w:pPr>
              <w:spacing w:afterLines="50" w:after="120"/>
              <w:jc w:val="center"/>
              <w:rPr>
                <w:sz w:val="24"/>
                <w:szCs w:val="24"/>
                <w:lang w:eastAsia="ja-JP"/>
              </w:rPr>
            </w:pPr>
            <w:r w:rsidRPr="00A179B2">
              <w:rPr>
                <w:sz w:val="24"/>
                <w:szCs w:val="24"/>
                <w:lang w:eastAsia="ja-JP"/>
              </w:rPr>
              <w:t>0.000</w:t>
            </w:r>
          </w:p>
        </w:tc>
      </w:tr>
      <w:tr w:rsidR="009973AD" w:rsidRPr="00A179B2" w14:paraId="171191C5" w14:textId="77777777" w:rsidTr="009973AD">
        <w:trPr>
          <w:jc w:val="center"/>
        </w:trPr>
        <w:tc>
          <w:tcPr>
            <w:tcW w:w="9225" w:type="dxa"/>
            <w:gridSpan w:val="4"/>
            <w:tcBorders>
              <w:left w:val="nil"/>
              <w:bottom w:val="nil"/>
              <w:right w:val="nil"/>
            </w:tcBorders>
            <w:vAlign w:val="center"/>
          </w:tcPr>
          <w:p w14:paraId="57EC15EA" w14:textId="77777777" w:rsidR="009973AD" w:rsidRPr="00A179B2" w:rsidRDefault="009973AD" w:rsidP="007B2FEF">
            <w:pPr>
              <w:spacing w:beforeLines="50" w:before="120"/>
              <w:jc w:val="both"/>
              <w:rPr>
                <w:lang w:eastAsia="ja-JP"/>
              </w:rPr>
            </w:pPr>
            <w:r w:rsidRPr="00A179B2">
              <w:rPr>
                <w:rFonts w:hint="eastAsia"/>
                <w:lang w:eastAsia="ja-JP"/>
              </w:rPr>
              <w:t>N</w:t>
            </w:r>
            <w:r w:rsidRPr="00A179B2">
              <w:rPr>
                <w:lang w:eastAsia="ja-JP"/>
              </w:rPr>
              <w:t>o</w:t>
            </w:r>
            <w:r w:rsidRPr="00A179B2">
              <w:rPr>
                <w:rFonts w:hint="eastAsia"/>
                <w:lang w:eastAsia="ja-JP"/>
              </w:rPr>
              <w:t>te</w:t>
            </w:r>
            <w:r w:rsidRPr="00A179B2">
              <w:rPr>
                <w:lang w:eastAsia="ja-JP"/>
              </w:rPr>
              <w:t>s</w:t>
            </w:r>
            <w:r w:rsidRPr="00A179B2">
              <w:rPr>
                <w:rFonts w:hint="eastAsia"/>
                <w:lang w:eastAsia="ja-JP"/>
              </w:rPr>
              <w:t>: T</w:t>
            </w:r>
            <w:r w:rsidRPr="00A179B2">
              <w:rPr>
                <w:lang w:eastAsia="ja-JP"/>
              </w:rPr>
              <w:t xml:space="preserve">wo-sided </w:t>
            </w:r>
            <w:r w:rsidRPr="00A179B2">
              <w:rPr>
                <w:rFonts w:hint="eastAsia"/>
                <w:lang w:eastAsia="ja-JP"/>
              </w:rPr>
              <w:t>t</w:t>
            </w:r>
            <w:r w:rsidRPr="00A179B2">
              <w:rPr>
                <w:lang w:eastAsia="ja-JP"/>
              </w:rPr>
              <w:t>-</w:t>
            </w:r>
            <w:r w:rsidRPr="00A179B2">
              <w:rPr>
                <w:rFonts w:hint="eastAsia"/>
                <w:lang w:eastAsia="ja-JP"/>
              </w:rPr>
              <w:t>t</w:t>
            </w:r>
            <w:r w:rsidRPr="00A179B2">
              <w:rPr>
                <w:lang w:eastAsia="ja-JP"/>
              </w:rPr>
              <w:t>est significance levels * (10%), ** (5%) and *** (1%).</w:t>
            </w:r>
          </w:p>
        </w:tc>
      </w:tr>
    </w:tbl>
    <w:p w14:paraId="732E3EDB" w14:textId="77777777" w:rsidR="00945011" w:rsidRPr="00A179B2" w:rsidRDefault="00945011" w:rsidP="00121434">
      <w:pPr>
        <w:spacing w:after="240" w:line="276" w:lineRule="auto"/>
        <w:rPr>
          <w:b/>
          <w:sz w:val="24"/>
          <w:lang w:eastAsia="ja-JP"/>
        </w:rPr>
      </w:pPr>
    </w:p>
    <w:p w14:paraId="6A43959D" w14:textId="3DCF94C2" w:rsidR="00F15CFA" w:rsidRDefault="00F15CFA">
      <w:pPr>
        <w:rPr>
          <w:b/>
          <w:sz w:val="24"/>
          <w:lang w:eastAsia="ja-JP"/>
        </w:rPr>
      </w:pPr>
      <w:r>
        <w:rPr>
          <w:b/>
          <w:sz w:val="24"/>
          <w:lang w:eastAsia="ja-JP"/>
        </w:rPr>
        <w:br w:type="page"/>
      </w:r>
    </w:p>
    <w:p w14:paraId="502E4003" w14:textId="0850433B" w:rsidR="00E9154C" w:rsidRDefault="000C50F0" w:rsidP="003D7783">
      <w:pPr>
        <w:spacing w:after="240" w:line="276" w:lineRule="auto"/>
        <w:jc w:val="center"/>
        <w:rPr>
          <w:b/>
          <w:sz w:val="24"/>
          <w:lang w:eastAsia="ja-JP"/>
        </w:rPr>
      </w:pPr>
      <w:r w:rsidRPr="009F1A7A">
        <w:rPr>
          <w:rFonts w:hint="eastAsia"/>
          <w:b/>
          <w:sz w:val="24"/>
          <w:lang w:eastAsia="ja-JP"/>
        </w:rPr>
        <w:lastRenderedPageBreak/>
        <w:t xml:space="preserve">Table </w:t>
      </w:r>
      <w:r w:rsidR="0065340C">
        <w:rPr>
          <w:b/>
          <w:sz w:val="24"/>
          <w:lang w:eastAsia="ja-JP"/>
        </w:rPr>
        <w:t>6</w:t>
      </w:r>
      <w:r w:rsidRPr="009F1A7A">
        <w:rPr>
          <w:rFonts w:hint="eastAsia"/>
          <w:b/>
          <w:sz w:val="24"/>
          <w:lang w:eastAsia="ja-JP"/>
        </w:rPr>
        <w:t xml:space="preserve">: Comparison of </w:t>
      </w:r>
      <w:r w:rsidR="00D71403">
        <w:rPr>
          <w:b/>
          <w:sz w:val="24"/>
          <w:lang w:eastAsia="ja-JP"/>
        </w:rPr>
        <w:t>A</w:t>
      </w:r>
      <w:r w:rsidR="00D71403" w:rsidRPr="009F1A7A">
        <w:rPr>
          <w:rFonts w:hint="eastAsia"/>
          <w:b/>
          <w:sz w:val="24"/>
          <w:lang w:eastAsia="ja-JP"/>
        </w:rPr>
        <w:t xml:space="preserve">verage </w:t>
      </w:r>
      <w:r w:rsidRPr="000304A8">
        <w:rPr>
          <w:rFonts w:hint="eastAsia"/>
          <w:b/>
          <w:i/>
          <w:sz w:val="24"/>
          <w:lang w:eastAsia="ja-JP"/>
        </w:rPr>
        <w:t>Period-RD</w:t>
      </w:r>
      <w:r w:rsidRPr="009F1A7A">
        <w:rPr>
          <w:rFonts w:hint="eastAsia"/>
          <w:b/>
          <w:sz w:val="24"/>
          <w:lang w:eastAsia="ja-JP"/>
        </w:rPr>
        <w:t xml:space="preserve"> between </w:t>
      </w:r>
      <w:r w:rsidR="00D71403">
        <w:rPr>
          <w:b/>
          <w:sz w:val="24"/>
          <w:lang w:eastAsia="ja-JP"/>
        </w:rPr>
        <w:t>P</w:t>
      </w:r>
      <w:r w:rsidR="00D71403" w:rsidRPr="009F1A7A">
        <w:rPr>
          <w:rFonts w:hint="eastAsia"/>
          <w:b/>
          <w:sz w:val="24"/>
          <w:lang w:eastAsia="ja-JP"/>
        </w:rPr>
        <w:t xml:space="preserve">eriods </w:t>
      </w:r>
      <w:r w:rsidRPr="009F1A7A">
        <w:rPr>
          <w:rFonts w:hint="eastAsia"/>
          <w:b/>
          <w:sz w:val="24"/>
          <w:lang w:eastAsia="ja-JP"/>
        </w:rPr>
        <w:t xml:space="preserve">with </w:t>
      </w:r>
      <w:r w:rsidR="009A33D7">
        <w:rPr>
          <w:b/>
          <w:sz w:val="24"/>
          <w:lang w:eastAsia="ja-JP"/>
        </w:rPr>
        <w:t>D</w:t>
      </w:r>
      <w:r w:rsidR="0013770E">
        <w:rPr>
          <w:rFonts w:hint="eastAsia"/>
          <w:b/>
          <w:sz w:val="24"/>
          <w:lang w:eastAsia="ja-JP"/>
        </w:rPr>
        <w:t>ividend</w:t>
      </w:r>
      <w:r w:rsidR="00D71403">
        <w:rPr>
          <w:b/>
          <w:sz w:val="24"/>
          <w:lang w:eastAsia="ja-JP"/>
        </w:rPr>
        <w:t>-</w:t>
      </w:r>
      <w:r w:rsidR="009A33D7">
        <w:rPr>
          <w:b/>
          <w:sz w:val="24"/>
          <w:lang w:eastAsia="ja-JP"/>
        </w:rPr>
        <w:t>C</w:t>
      </w:r>
      <w:r w:rsidR="0013770E">
        <w:rPr>
          <w:rFonts w:hint="eastAsia"/>
          <w:b/>
          <w:sz w:val="24"/>
          <w:lang w:eastAsia="ja-JP"/>
        </w:rPr>
        <w:t xml:space="preserve">ollecting </w:t>
      </w:r>
      <w:r w:rsidR="00D71403">
        <w:rPr>
          <w:b/>
          <w:sz w:val="24"/>
          <w:lang w:eastAsia="ja-JP"/>
        </w:rPr>
        <w:t>I</w:t>
      </w:r>
      <w:r w:rsidR="00440147">
        <w:rPr>
          <w:rFonts w:hint="eastAsia"/>
          <w:b/>
          <w:sz w:val="24"/>
          <w:lang w:eastAsia="ja-JP"/>
        </w:rPr>
        <w:t>nvestor</w:t>
      </w:r>
      <w:r w:rsidR="00755EC2">
        <w:rPr>
          <w:rFonts w:hint="eastAsia"/>
          <w:b/>
          <w:sz w:val="24"/>
          <w:lang w:eastAsia="ja-JP"/>
        </w:rPr>
        <w:t>s</w:t>
      </w:r>
      <w:r w:rsidR="00C85734" w:rsidRPr="009F1A7A">
        <w:rPr>
          <w:rFonts w:hint="eastAsia"/>
          <w:b/>
          <w:sz w:val="24"/>
          <w:lang w:eastAsia="ja-JP"/>
        </w:rPr>
        <w:t xml:space="preserve"> </w:t>
      </w:r>
      <w:r w:rsidRPr="009F1A7A">
        <w:rPr>
          <w:rFonts w:hint="eastAsia"/>
          <w:b/>
          <w:sz w:val="24"/>
          <w:lang w:eastAsia="ja-JP"/>
        </w:rPr>
        <w:t xml:space="preserve">and </w:t>
      </w:r>
      <w:r w:rsidR="00D71403">
        <w:rPr>
          <w:b/>
          <w:sz w:val="24"/>
          <w:lang w:eastAsia="ja-JP"/>
        </w:rPr>
        <w:t>P</w:t>
      </w:r>
      <w:r w:rsidR="00C85734" w:rsidRPr="009F1A7A">
        <w:rPr>
          <w:rFonts w:hint="eastAsia"/>
          <w:b/>
          <w:sz w:val="24"/>
          <w:lang w:eastAsia="ja-JP"/>
        </w:rPr>
        <w:t xml:space="preserve">eriods </w:t>
      </w:r>
      <w:r w:rsidRPr="009F1A7A">
        <w:rPr>
          <w:rFonts w:hint="eastAsia"/>
          <w:b/>
          <w:sz w:val="24"/>
          <w:lang w:eastAsia="ja-JP"/>
        </w:rPr>
        <w:t xml:space="preserve">with only </w:t>
      </w:r>
      <w:r w:rsidR="00D71403">
        <w:rPr>
          <w:b/>
          <w:sz w:val="24"/>
          <w:lang w:eastAsia="ja-JP"/>
        </w:rPr>
        <w:t>S</w:t>
      </w:r>
      <w:r w:rsidR="0013770E">
        <w:rPr>
          <w:rFonts w:hint="eastAsia"/>
          <w:b/>
          <w:sz w:val="24"/>
          <w:lang w:eastAsia="ja-JP"/>
        </w:rPr>
        <w:t xml:space="preserve">peculating </w:t>
      </w:r>
      <w:r w:rsidR="00D71403">
        <w:rPr>
          <w:b/>
          <w:sz w:val="24"/>
          <w:lang w:eastAsia="ja-JP"/>
        </w:rPr>
        <w:t>I</w:t>
      </w:r>
      <w:r w:rsidR="00440147">
        <w:rPr>
          <w:rFonts w:hint="eastAsia"/>
          <w:b/>
          <w:sz w:val="24"/>
          <w:lang w:eastAsia="ja-JP"/>
        </w:rPr>
        <w:t>nvestor</w:t>
      </w:r>
      <w:r w:rsidR="00755EC2">
        <w:rPr>
          <w:rFonts w:hint="eastAsia"/>
          <w:b/>
          <w:sz w:val="24"/>
          <w:lang w:eastAsia="ja-JP"/>
        </w:rPr>
        <w:t>s</w:t>
      </w:r>
    </w:p>
    <w:tbl>
      <w:tblPr>
        <w:tblStyle w:val="Tabellenraster"/>
        <w:tblW w:w="9464" w:type="dxa"/>
        <w:tblLook w:val="04A0" w:firstRow="1" w:lastRow="0" w:firstColumn="1" w:lastColumn="0" w:noHBand="0" w:noVBand="1"/>
      </w:tblPr>
      <w:tblGrid>
        <w:gridCol w:w="2376"/>
        <w:gridCol w:w="2552"/>
        <w:gridCol w:w="2410"/>
        <w:gridCol w:w="2126"/>
      </w:tblGrid>
      <w:tr w:rsidR="000C50F0" w14:paraId="564D9882" w14:textId="77777777" w:rsidTr="009D751B">
        <w:tc>
          <w:tcPr>
            <w:tcW w:w="2376" w:type="dxa"/>
            <w:vAlign w:val="center"/>
          </w:tcPr>
          <w:p w14:paraId="195A8597" w14:textId="77777777" w:rsidR="00991EF0" w:rsidRDefault="00991EF0" w:rsidP="007B2FEF">
            <w:pPr>
              <w:spacing w:beforeLines="50" w:before="120" w:afterLines="50" w:after="120"/>
              <w:jc w:val="center"/>
              <w:rPr>
                <w:sz w:val="24"/>
                <w:lang w:eastAsia="ja-JP"/>
              </w:rPr>
            </w:pPr>
          </w:p>
        </w:tc>
        <w:tc>
          <w:tcPr>
            <w:tcW w:w="2552" w:type="dxa"/>
            <w:vAlign w:val="center"/>
          </w:tcPr>
          <w:p w14:paraId="40C3A4CF" w14:textId="2485199E" w:rsidR="00991EF0" w:rsidRDefault="000C50F0" w:rsidP="007B2FEF">
            <w:pPr>
              <w:pStyle w:val="Listenabsatz"/>
              <w:numPr>
                <w:ilvl w:val="0"/>
                <w:numId w:val="31"/>
              </w:numPr>
              <w:spacing w:beforeLines="50" w:before="120" w:afterLines="50" w:after="120"/>
              <w:jc w:val="center"/>
              <w:rPr>
                <w:sz w:val="24"/>
                <w:lang w:eastAsia="ja-JP"/>
              </w:rPr>
            </w:pPr>
            <w:r w:rsidRPr="0055283D">
              <w:rPr>
                <w:rFonts w:hint="eastAsia"/>
                <w:sz w:val="24"/>
                <w:lang w:eastAsia="ja-JP"/>
              </w:rPr>
              <w:t>Periods with</w:t>
            </w:r>
            <w:r w:rsidR="00AB0C9D">
              <w:rPr>
                <w:rFonts w:hint="eastAsia"/>
                <w:sz w:val="24"/>
                <w:lang w:eastAsia="ja-JP"/>
              </w:rPr>
              <w:t xml:space="preserve">  </w:t>
            </w:r>
            <w:r w:rsidR="00AD153B">
              <w:rPr>
                <w:sz w:val="24"/>
                <w:lang w:eastAsia="ja-JP"/>
              </w:rPr>
              <w:t xml:space="preserve"> </w:t>
            </w:r>
            <w:r w:rsidR="00AB0C9D">
              <w:rPr>
                <w:rFonts w:hint="eastAsia"/>
                <w:sz w:val="24"/>
                <w:lang w:eastAsia="ja-JP"/>
              </w:rPr>
              <w:t xml:space="preserve">   </w:t>
            </w:r>
            <w:r w:rsidRPr="0055283D">
              <w:rPr>
                <w:rFonts w:hint="eastAsia"/>
                <w:sz w:val="24"/>
                <w:lang w:eastAsia="ja-JP"/>
              </w:rPr>
              <w:t xml:space="preserve"> </w:t>
            </w:r>
            <w:r w:rsidR="0013770E">
              <w:rPr>
                <w:rFonts w:hint="eastAsia"/>
                <w:sz w:val="24"/>
                <w:lang w:eastAsia="ja-JP"/>
              </w:rPr>
              <w:t>dividend</w:t>
            </w:r>
            <w:r w:rsidR="00D71403">
              <w:rPr>
                <w:sz w:val="24"/>
                <w:lang w:eastAsia="ja-JP"/>
              </w:rPr>
              <w:t>-</w:t>
            </w:r>
            <w:r w:rsidR="0013770E">
              <w:rPr>
                <w:rFonts w:hint="eastAsia"/>
                <w:sz w:val="24"/>
                <w:lang w:eastAsia="ja-JP"/>
              </w:rPr>
              <w:t>collecting</w:t>
            </w:r>
            <w:r w:rsidR="00755EC2">
              <w:rPr>
                <w:rFonts w:hint="eastAsia"/>
                <w:sz w:val="24"/>
                <w:lang w:eastAsia="ja-JP"/>
              </w:rPr>
              <w:t xml:space="preserve"> </w:t>
            </w:r>
            <w:r w:rsidR="00440147">
              <w:rPr>
                <w:rFonts w:hint="eastAsia"/>
                <w:sz w:val="24"/>
                <w:lang w:eastAsia="ja-JP"/>
              </w:rPr>
              <w:t>investor</w:t>
            </w:r>
            <w:r w:rsidR="00755EC2">
              <w:rPr>
                <w:rFonts w:hint="eastAsia"/>
                <w:sz w:val="24"/>
                <w:lang w:eastAsia="ja-JP"/>
              </w:rPr>
              <w:t>s</w:t>
            </w:r>
            <w:r w:rsidR="00AB5934">
              <w:rPr>
                <w:sz w:val="24"/>
                <w:lang w:eastAsia="ja-JP"/>
              </w:rPr>
              <w:t xml:space="preserve"> present</w:t>
            </w:r>
          </w:p>
        </w:tc>
        <w:tc>
          <w:tcPr>
            <w:tcW w:w="2410" w:type="dxa"/>
            <w:vAlign w:val="center"/>
          </w:tcPr>
          <w:p w14:paraId="2C966075" w14:textId="77777777" w:rsidR="00991EF0" w:rsidRDefault="000C50F0" w:rsidP="007B2FEF">
            <w:pPr>
              <w:pStyle w:val="Listenabsatz"/>
              <w:numPr>
                <w:ilvl w:val="0"/>
                <w:numId w:val="31"/>
              </w:numPr>
              <w:spacing w:beforeLines="50" w:before="120" w:afterLines="50" w:after="120"/>
              <w:jc w:val="center"/>
              <w:rPr>
                <w:sz w:val="24"/>
                <w:lang w:eastAsia="ja-JP"/>
              </w:rPr>
            </w:pPr>
            <w:r w:rsidRPr="0055283D">
              <w:rPr>
                <w:rFonts w:hint="eastAsia"/>
                <w:sz w:val="24"/>
                <w:lang w:eastAsia="ja-JP"/>
              </w:rPr>
              <w:t>Periods with</w:t>
            </w:r>
            <w:r w:rsidR="00AB0C9D">
              <w:rPr>
                <w:rFonts w:hint="eastAsia"/>
                <w:sz w:val="24"/>
                <w:lang w:eastAsia="ja-JP"/>
              </w:rPr>
              <w:t xml:space="preserve">   </w:t>
            </w:r>
            <w:r w:rsidRPr="0055283D">
              <w:rPr>
                <w:rFonts w:hint="eastAsia"/>
                <w:sz w:val="24"/>
                <w:lang w:eastAsia="ja-JP"/>
              </w:rPr>
              <w:t xml:space="preserve"> only </w:t>
            </w:r>
            <w:r w:rsidR="00333B7E">
              <w:rPr>
                <w:rFonts w:hint="eastAsia"/>
                <w:sz w:val="24"/>
                <w:lang w:eastAsia="ja-JP"/>
              </w:rPr>
              <w:t>speculating</w:t>
            </w:r>
            <w:r w:rsidR="00755EC2">
              <w:rPr>
                <w:rFonts w:hint="eastAsia"/>
                <w:sz w:val="24"/>
                <w:lang w:eastAsia="ja-JP"/>
              </w:rPr>
              <w:t xml:space="preserve"> </w:t>
            </w:r>
            <w:r w:rsidR="00440147">
              <w:rPr>
                <w:rFonts w:hint="eastAsia"/>
                <w:sz w:val="24"/>
                <w:lang w:eastAsia="ja-JP"/>
              </w:rPr>
              <w:t>investor</w:t>
            </w:r>
            <w:r w:rsidR="00755EC2">
              <w:rPr>
                <w:rFonts w:hint="eastAsia"/>
                <w:sz w:val="24"/>
                <w:lang w:eastAsia="ja-JP"/>
              </w:rPr>
              <w:t>s</w:t>
            </w:r>
          </w:p>
        </w:tc>
        <w:tc>
          <w:tcPr>
            <w:tcW w:w="2126" w:type="dxa"/>
            <w:vAlign w:val="center"/>
          </w:tcPr>
          <w:p w14:paraId="1FFF3861" w14:textId="77777777" w:rsidR="00991EF0" w:rsidRDefault="000C50F0" w:rsidP="007B2FEF">
            <w:pPr>
              <w:spacing w:beforeLines="50" w:before="120" w:afterLines="50" w:after="120"/>
              <w:jc w:val="center"/>
              <w:rPr>
                <w:sz w:val="24"/>
                <w:lang w:eastAsia="ja-JP"/>
              </w:rPr>
            </w:pPr>
            <w:r>
              <w:rPr>
                <w:rFonts w:hint="eastAsia"/>
                <w:sz w:val="24"/>
                <w:lang w:eastAsia="ja-JP"/>
              </w:rPr>
              <w:t>Difference</w:t>
            </w:r>
          </w:p>
          <w:p w14:paraId="1D22ACD8" w14:textId="77777777" w:rsidR="00991EF0" w:rsidRDefault="000C50F0" w:rsidP="007B2FEF">
            <w:pPr>
              <w:spacing w:beforeLines="50" w:before="120" w:afterLines="50" w:after="120"/>
              <w:jc w:val="center"/>
              <w:rPr>
                <w:sz w:val="24"/>
                <w:lang w:eastAsia="ja-JP"/>
              </w:rPr>
            </w:pPr>
            <w:r>
              <w:rPr>
                <w:rFonts w:hint="eastAsia"/>
                <w:sz w:val="24"/>
                <w:lang w:eastAsia="ja-JP"/>
              </w:rPr>
              <w:t>(2)</w:t>
            </w:r>
            <w:r>
              <w:rPr>
                <w:rFonts w:ascii="MS Mincho" w:hAnsi="MS Mincho" w:hint="eastAsia"/>
                <w:sz w:val="24"/>
                <w:lang w:eastAsia="ja-JP"/>
              </w:rPr>
              <w:t>-</w:t>
            </w:r>
            <w:r>
              <w:rPr>
                <w:rFonts w:hint="eastAsia"/>
                <w:sz w:val="24"/>
                <w:lang w:eastAsia="ja-JP"/>
              </w:rPr>
              <w:t>(1)</w:t>
            </w:r>
          </w:p>
        </w:tc>
      </w:tr>
      <w:tr w:rsidR="000C50F0" w14:paraId="7CFE6D26" w14:textId="77777777" w:rsidTr="009D751B">
        <w:tc>
          <w:tcPr>
            <w:tcW w:w="2376" w:type="dxa"/>
            <w:vAlign w:val="center"/>
          </w:tcPr>
          <w:p w14:paraId="79E09C59" w14:textId="77777777" w:rsidR="00E9154C" w:rsidRDefault="00F85140" w:rsidP="007B2FEF">
            <w:pPr>
              <w:spacing w:beforeLines="50" w:before="120" w:afterLines="50" w:after="120"/>
              <w:jc w:val="center"/>
              <w:rPr>
                <w:sz w:val="24"/>
                <w:szCs w:val="24"/>
                <w:lang w:eastAsia="ja-JP"/>
              </w:rPr>
            </w:pPr>
            <w:r>
              <w:rPr>
                <w:rFonts w:hint="eastAsia"/>
                <w:sz w:val="24"/>
                <w:szCs w:val="24"/>
                <w:lang w:eastAsia="ja-JP"/>
              </w:rPr>
              <w:t>High-liquidity</w:t>
            </w:r>
            <w:r w:rsidR="000C50F0" w:rsidRPr="00D6750A">
              <w:rPr>
                <w:rFonts w:hint="eastAsia"/>
                <w:sz w:val="24"/>
                <w:szCs w:val="24"/>
                <w:lang w:eastAsia="ja-JP"/>
              </w:rPr>
              <w:t xml:space="preserve"> </w:t>
            </w:r>
            <w:r w:rsidR="00CB3B53">
              <w:rPr>
                <w:sz w:val="24"/>
                <w:szCs w:val="24"/>
                <w:lang w:eastAsia="ja-JP"/>
              </w:rPr>
              <w:t>s</w:t>
            </w:r>
            <w:r w:rsidR="000C50F0" w:rsidRPr="00D6750A">
              <w:rPr>
                <w:rFonts w:hint="eastAsia"/>
                <w:sz w:val="24"/>
                <w:szCs w:val="24"/>
                <w:lang w:eastAsia="ja-JP"/>
              </w:rPr>
              <w:t>ession</w:t>
            </w:r>
            <w:r w:rsidR="00CB3B53">
              <w:rPr>
                <w:sz w:val="24"/>
                <w:szCs w:val="24"/>
                <w:lang w:eastAsia="ja-JP"/>
              </w:rPr>
              <w:t xml:space="preserve"> (Treatment H)</w:t>
            </w:r>
          </w:p>
        </w:tc>
        <w:tc>
          <w:tcPr>
            <w:tcW w:w="2552" w:type="dxa"/>
            <w:vAlign w:val="center"/>
          </w:tcPr>
          <w:p w14:paraId="38DAFC77" w14:textId="77777777" w:rsidR="00991EF0" w:rsidRDefault="000C50F0" w:rsidP="007B2FEF">
            <w:pPr>
              <w:spacing w:beforeLines="50" w:before="120" w:afterLines="50" w:after="120"/>
              <w:jc w:val="center"/>
              <w:rPr>
                <w:sz w:val="24"/>
                <w:lang w:eastAsia="ja-JP"/>
              </w:rPr>
            </w:pPr>
            <w:r>
              <w:rPr>
                <w:rFonts w:hint="eastAsia"/>
                <w:sz w:val="24"/>
                <w:lang w:eastAsia="ja-JP"/>
              </w:rPr>
              <w:t>0.29</w:t>
            </w:r>
            <w:r w:rsidR="00C3004D">
              <w:rPr>
                <w:rFonts w:hint="eastAsia"/>
                <w:sz w:val="24"/>
                <w:lang w:eastAsia="ja-JP"/>
              </w:rPr>
              <w:t>5</w:t>
            </w:r>
          </w:p>
          <w:p w14:paraId="44143E11" w14:textId="77777777" w:rsidR="00991EF0" w:rsidRDefault="000C50F0" w:rsidP="007B2FEF">
            <w:pPr>
              <w:spacing w:beforeLines="50" w:before="120" w:afterLines="50" w:after="120"/>
              <w:jc w:val="center"/>
              <w:rPr>
                <w:sz w:val="24"/>
                <w:lang w:eastAsia="ja-JP"/>
              </w:rPr>
            </w:pPr>
            <w:r>
              <w:rPr>
                <w:rFonts w:hint="eastAsia"/>
                <w:sz w:val="24"/>
                <w:lang w:eastAsia="ja-JP"/>
              </w:rPr>
              <w:t>(177)</w:t>
            </w:r>
          </w:p>
        </w:tc>
        <w:tc>
          <w:tcPr>
            <w:tcW w:w="2410" w:type="dxa"/>
            <w:vAlign w:val="center"/>
          </w:tcPr>
          <w:p w14:paraId="579DEE09" w14:textId="77777777" w:rsidR="00991EF0" w:rsidRDefault="000C50F0" w:rsidP="007B2FEF">
            <w:pPr>
              <w:spacing w:beforeLines="50" w:before="120" w:afterLines="50" w:after="120"/>
              <w:jc w:val="center"/>
              <w:rPr>
                <w:sz w:val="24"/>
                <w:lang w:eastAsia="ja-JP"/>
              </w:rPr>
            </w:pPr>
            <w:r>
              <w:rPr>
                <w:rFonts w:hint="eastAsia"/>
                <w:sz w:val="24"/>
                <w:lang w:eastAsia="ja-JP"/>
              </w:rPr>
              <w:t>0.741</w:t>
            </w:r>
          </w:p>
          <w:p w14:paraId="60C1C3A2" w14:textId="77777777" w:rsidR="00991EF0" w:rsidRDefault="000C50F0" w:rsidP="007B2FEF">
            <w:pPr>
              <w:spacing w:beforeLines="50" w:before="120" w:afterLines="50" w:after="120"/>
              <w:jc w:val="center"/>
              <w:rPr>
                <w:sz w:val="24"/>
                <w:lang w:eastAsia="ja-JP"/>
              </w:rPr>
            </w:pPr>
            <w:r>
              <w:rPr>
                <w:rFonts w:hint="eastAsia"/>
                <w:sz w:val="24"/>
                <w:lang w:eastAsia="ja-JP"/>
              </w:rPr>
              <w:t>(204)</w:t>
            </w:r>
          </w:p>
        </w:tc>
        <w:tc>
          <w:tcPr>
            <w:tcW w:w="2126" w:type="dxa"/>
            <w:vAlign w:val="center"/>
          </w:tcPr>
          <w:p w14:paraId="047AFB11" w14:textId="629D76FC" w:rsidR="00991EF0" w:rsidRDefault="000C50F0" w:rsidP="007B2FEF">
            <w:pPr>
              <w:spacing w:beforeLines="50" w:before="120" w:afterLines="50" w:after="120"/>
              <w:jc w:val="center"/>
              <w:rPr>
                <w:sz w:val="24"/>
                <w:lang w:eastAsia="ja-JP"/>
              </w:rPr>
            </w:pPr>
            <w:r>
              <w:rPr>
                <w:rFonts w:hint="eastAsia"/>
                <w:sz w:val="24"/>
                <w:lang w:eastAsia="ja-JP"/>
              </w:rPr>
              <w:t>0.44</w:t>
            </w:r>
            <w:r w:rsidR="00C3004D">
              <w:rPr>
                <w:rFonts w:hint="eastAsia"/>
                <w:sz w:val="24"/>
                <w:lang w:eastAsia="ja-JP"/>
              </w:rPr>
              <w:t>6</w:t>
            </w:r>
            <w:r>
              <w:rPr>
                <w:rFonts w:hint="eastAsia"/>
                <w:sz w:val="24"/>
                <w:lang w:eastAsia="ja-JP"/>
              </w:rPr>
              <w:t>***</w:t>
            </w:r>
          </w:p>
        </w:tc>
      </w:tr>
      <w:tr w:rsidR="000C50F0" w14:paraId="6507CD74" w14:textId="77777777" w:rsidTr="009D751B">
        <w:tc>
          <w:tcPr>
            <w:tcW w:w="2376" w:type="dxa"/>
            <w:tcBorders>
              <w:bottom w:val="single" w:sz="4" w:space="0" w:color="000000"/>
            </w:tcBorders>
            <w:vAlign w:val="center"/>
          </w:tcPr>
          <w:p w14:paraId="47AE50ED" w14:textId="77777777" w:rsidR="00E9154C" w:rsidRDefault="00F85140" w:rsidP="007B2FEF">
            <w:pPr>
              <w:spacing w:beforeLines="50" w:before="120" w:afterLines="50" w:after="120"/>
              <w:jc w:val="center"/>
              <w:rPr>
                <w:sz w:val="24"/>
                <w:szCs w:val="24"/>
                <w:lang w:eastAsia="ja-JP"/>
              </w:rPr>
            </w:pPr>
            <w:r>
              <w:rPr>
                <w:rFonts w:hint="eastAsia"/>
                <w:sz w:val="24"/>
                <w:szCs w:val="24"/>
                <w:lang w:eastAsia="ja-JP"/>
              </w:rPr>
              <w:t>Low-liquidity</w:t>
            </w:r>
            <w:r w:rsidR="000C50F0" w:rsidRPr="00D6750A">
              <w:rPr>
                <w:rFonts w:hint="eastAsia"/>
                <w:sz w:val="24"/>
                <w:szCs w:val="24"/>
                <w:lang w:eastAsia="ja-JP"/>
              </w:rPr>
              <w:t xml:space="preserve"> </w:t>
            </w:r>
            <w:r w:rsidR="00CB3B53">
              <w:rPr>
                <w:sz w:val="24"/>
                <w:szCs w:val="24"/>
                <w:lang w:eastAsia="ja-JP"/>
              </w:rPr>
              <w:t>s</w:t>
            </w:r>
            <w:r w:rsidR="000C50F0" w:rsidRPr="00D6750A">
              <w:rPr>
                <w:rFonts w:hint="eastAsia"/>
                <w:sz w:val="24"/>
                <w:szCs w:val="24"/>
                <w:lang w:eastAsia="ja-JP"/>
              </w:rPr>
              <w:t>ession</w:t>
            </w:r>
            <w:r w:rsidR="00CB3B53">
              <w:rPr>
                <w:sz w:val="24"/>
                <w:szCs w:val="24"/>
                <w:lang w:eastAsia="ja-JP"/>
              </w:rPr>
              <w:t xml:space="preserve"> (Treatment L)</w:t>
            </w:r>
          </w:p>
        </w:tc>
        <w:tc>
          <w:tcPr>
            <w:tcW w:w="2552" w:type="dxa"/>
            <w:tcBorders>
              <w:bottom w:val="single" w:sz="4" w:space="0" w:color="000000"/>
            </w:tcBorders>
            <w:vAlign w:val="center"/>
          </w:tcPr>
          <w:p w14:paraId="05637356" w14:textId="77777777" w:rsidR="00991EF0" w:rsidRDefault="000C50F0" w:rsidP="007B2FEF">
            <w:pPr>
              <w:spacing w:beforeLines="50" w:before="120" w:afterLines="50" w:after="120"/>
              <w:jc w:val="center"/>
              <w:rPr>
                <w:sz w:val="24"/>
                <w:lang w:eastAsia="ja-JP"/>
              </w:rPr>
            </w:pPr>
            <w:r>
              <w:rPr>
                <w:rFonts w:ascii="MS Mincho" w:hAnsi="MS Mincho" w:hint="eastAsia"/>
                <w:sz w:val="24"/>
                <w:lang w:eastAsia="ja-JP"/>
              </w:rPr>
              <w:t>-</w:t>
            </w:r>
            <w:r>
              <w:rPr>
                <w:rFonts w:hint="eastAsia"/>
                <w:sz w:val="24"/>
                <w:lang w:eastAsia="ja-JP"/>
              </w:rPr>
              <w:t>0.087</w:t>
            </w:r>
          </w:p>
          <w:p w14:paraId="534C588C" w14:textId="77777777" w:rsidR="00991EF0" w:rsidRDefault="000C50F0" w:rsidP="007B2FEF">
            <w:pPr>
              <w:spacing w:beforeLines="50" w:before="120" w:afterLines="50" w:after="120"/>
              <w:jc w:val="center"/>
              <w:rPr>
                <w:sz w:val="24"/>
                <w:lang w:eastAsia="ja-JP"/>
              </w:rPr>
            </w:pPr>
            <w:r>
              <w:rPr>
                <w:rFonts w:hint="eastAsia"/>
                <w:sz w:val="24"/>
                <w:lang w:eastAsia="ja-JP"/>
              </w:rPr>
              <w:t>(178)</w:t>
            </w:r>
          </w:p>
        </w:tc>
        <w:tc>
          <w:tcPr>
            <w:tcW w:w="2410" w:type="dxa"/>
            <w:tcBorders>
              <w:bottom w:val="single" w:sz="4" w:space="0" w:color="000000"/>
            </w:tcBorders>
            <w:vAlign w:val="center"/>
          </w:tcPr>
          <w:p w14:paraId="32EDD671" w14:textId="77777777" w:rsidR="00991EF0" w:rsidRDefault="000C50F0" w:rsidP="007B2FEF">
            <w:pPr>
              <w:spacing w:beforeLines="50" w:before="120" w:afterLines="50" w:after="120"/>
              <w:jc w:val="center"/>
              <w:rPr>
                <w:sz w:val="24"/>
                <w:lang w:eastAsia="ja-JP"/>
              </w:rPr>
            </w:pPr>
            <w:r>
              <w:rPr>
                <w:rFonts w:ascii="MS Mincho" w:hAnsi="MS Mincho" w:hint="eastAsia"/>
                <w:sz w:val="24"/>
                <w:lang w:eastAsia="ja-JP"/>
              </w:rPr>
              <w:t>-</w:t>
            </w:r>
            <w:r>
              <w:rPr>
                <w:rFonts w:hint="eastAsia"/>
                <w:sz w:val="24"/>
                <w:lang w:eastAsia="ja-JP"/>
              </w:rPr>
              <w:t>0.340</w:t>
            </w:r>
          </w:p>
          <w:p w14:paraId="69486FE2" w14:textId="77777777" w:rsidR="00991EF0" w:rsidRDefault="000C50F0" w:rsidP="007B2FEF">
            <w:pPr>
              <w:spacing w:beforeLines="50" w:before="120" w:afterLines="50" w:after="120"/>
              <w:jc w:val="center"/>
              <w:rPr>
                <w:sz w:val="24"/>
                <w:lang w:eastAsia="ja-JP"/>
              </w:rPr>
            </w:pPr>
            <w:r>
              <w:rPr>
                <w:rFonts w:hint="eastAsia"/>
                <w:sz w:val="24"/>
                <w:lang w:eastAsia="ja-JP"/>
              </w:rPr>
              <w:t>(203)</w:t>
            </w:r>
          </w:p>
        </w:tc>
        <w:tc>
          <w:tcPr>
            <w:tcW w:w="2126" w:type="dxa"/>
            <w:tcBorders>
              <w:bottom w:val="single" w:sz="4" w:space="0" w:color="000000"/>
            </w:tcBorders>
            <w:vAlign w:val="center"/>
          </w:tcPr>
          <w:p w14:paraId="1AF93235" w14:textId="77777777" w:rsidR="00991EF0" w:rsidRDefault="000C50F0" w:rsidP="007B2FEF">
            <w:pPr>
              <w:spacing w:beforeLines="50" w:before="120" w:afterLines="50" w:after="120"/>
              <w:jc w:val="center"/>
              <w:rPr>
                <w:sz w:val="24"/>
                <w:lang w:eastAsia="ja-JP"/>
              </w:rPr>
            </w:pPr>
            <w:r>
              <w:rPr>
                <w:rFonts w:ascii="MS Mincho" w:hAnsi="MS Mincho" w:hint="eastAsia"/>
                <w:sz w:val="24"/>
                <w:lang w:eastAsia="ja-JP"/>
              </w:rPr>
              <w:t>-</w:t>
            </w:r>
            <w:r>
              <w:rPr>
                <w:rFonts w:hint="eastAsia"/>
                <w:sz w:val="24"/>
                <w:lang w:eastAsia="ja-JP"/>
              </w:rPr>
              <w:t>0.253***</w:t>
            </w:r>
          </w:p>
        </w:tc>
      </w:tr>
      <w:tr w:rsidR="009973AD" w14:paraId="7E6DE48E" w14:textId="77777777" w:rsidTr="009D751B">
        <w:tc>
          <w:tcPr>
            <w:tcW w:w="9464" w:type="dxa"/>
            <w:gridSpan w:val="4"/>
            <w:tcBorders>
              <w:left w:val="nil"/>
              <w:bottom w:val="nil"/>
              <w:right w:val="nil"/>
            </w:tcBorders>
            <w:vAlign w:val="center"/>
          </w:tcPr>
          <w:p w14:paraId="7761CFCD" w14:textId="77777777" w:rsidR="009973AD" w:rsidRPr="009973AD" w:rsidRDefault="009973AD" w:rsidP="009973AD">
            <w:pPr>
              <w:spacing w:before="120"/>
              <w:jc w:val="both"/>
              <w:rPr>
                <w:lang w:eastAsia="ja-JP"/>
              </w:rPr>
            </w:pPr>
            <w:r w:rsidRPr="009973AD">
              <w:rPr>
                <w:rFonts w:hint="eastAsia"/>
                <w:lang w:eastAsia="ja-JP"/>
              </w:rPr>
              <w:t>Note</w:t>
            </w:r>
            <w:r w:rsidRPr="009973AD">
              <w:rPr>
                <w:lang w:eastAsia="ja-JP"/>
              </w:rPr>
              <w:t>s</w:t>
            </w:r>
            <w:r w:rsidRPr="009973AD">
              <w:rPr>
                <w:rFonts w:hint="eastAsia"/>
                <w:lang w:eastAsia="ja-JP"/>
              </w:rPr>
              <w:t>: *** indicates that the difference is statistically significant at 1% level by two-sided t-test.</w:t>
            </w:r>
          </w:p>
        </w:tc>
      </w:tr>
    </w:tbl>
    <w:p w14:paraId="58E609CE" w14:textId="77777777" w:rsidR="00ED283A" w:rsidRDefault="00ED283A" w:rsidP="000C50F0">
      <w:pPr>
        <w:spacing w:after="200" w:line="276" w:lineRule="auto"/>
      </w:pPr>
    </w:p>
    <w:p w14:paraId="5CCB9EA2" w14:textId="77777777" w:rsidR="00755FA8" w:rsidRDefault="00755FA8" w:rsidP="000C50F0">
      <w:pPr>
        <w:spacing w:after="200" w:line="276" w:lineRule="auto"/>
      </w:pPr>
    </w:p>
    <w:p w14:paraId="03AC2C49" w14:textId="17713F4C" w:rsidR="009A33D7" w:rsidRDefault="009A33D7" w:rsidP="009A33D7">
      <w:pPr>
        <w:spacing w:after="240" w:line="276" w:lineRule="auto"/>
        <w:jc w:val="center"/>
        <w:rPr>
          <w:b/>
          <w:sz w:val="24"/>
          <w:lang w:eastAsia="ja-JP"/>
        </w:rPr>
      </w:pPr>
      <w:r w:rsidRPr="009F1A7A">
        <w:rPr>
          <w:rFonts w:hint="eastAsia"/>
          <w:b/>
          <w:sz w:val="24"/>
          <w:lang w:eastAsia="ja-JP"/>
        </w:rPr>
        <w:t xml:space="preserve">Table </w:t>
      </w:r>
      <w:r>
        <w:rPr>
          <w:b/>
          <w:sz w:val="24"/>
          <w:lang w:eastAsia="ja-JP"/>
        </w:rPr>
        <w:t>7</w:t>
      </w:r>
      <w:r w:rsidRPr="009F1A7A">
        <w:rPr>
          <w:rFonts w:hint="eastAsia"/>
          <w:b/>
          <w:sz w:val="24"/>
          <w:lang w:eastAsia="ja-JP"/>
        </w:rPr>
        <w:t xml:space="preserve">: </w:t>
      </w:r>
      <w:r w:rsidR="000A5F3D">
        <w:rPr>
          <w:b/>
          <w:sz w:val="24"/>
          <w:lang w:eastAsia="ja-JP"/>
        </w:rPr>
        <w:t xml:space="preserve">Comparison of </w:t>
      </w:r>
      <w:r>
        <w:rPr>
          <w:b/>
          <w:sz w:val="24"/>
          <w:lang w:eastAsia="ja-JP"/>
        </w:rPr>
        <w:t>A</w:t>
      </w:r>
      <w:r w:rsidRPr="009F1A7A">
        <w:rPr>
          <w:rFonts w:hint="eastAsia"/>
          <w:b/>
          <w:sz w:val="24"/>
          <w:lang w:eastAsia="ja-JP"/>
        </w:rPr>
        <w:t xml:space="preserve">verage </w:t>
      </w:r>
      <w:r w:rsidRPr="000304A8">
        <w:rPr>
          <w:rFonts w:hint="eastAsia"/>
          <w:b/>
          <w:i/>
          <w:sz w:val="24"/>
          <w:lang w:eastAsia="ja-JP"/>
        </w:rPr>
        <w:t>Period-</w:t>
      </w:r>
      <w:r>
        <w:rPr>
          <w:b/>
          <w:i/>
          <w:sz w:val="24"/>
          <w:lang w:eastAsia="ja-JP"/>
        </w:rPr>
        <w:t>VOLA</w:t>
      </w:r>
      <w:r w:rsidRPr="009F1A7A">
        <w:rPr>
          <w:rFonts w:hint="eastAsia"/>
          <w:b/>
          <w:sz w:val="24"/>
          <w:lang w:eastAsia="ja-JP"/>
        </w:rPr>
        <w:t xml:space="preserve"> </w:t>
      </w:r>
      <w:r w:rsidR="000A5F3D">
        <w:rPr>
          <w:b/>
          <w:sz w:val="24"/>
          <w:lang w:eastAsia="ja-JP"/>
        </w:rPr>
        <w:t xml:space="preserve">between </w:t>
      </w:r>
      <w:r>
        <w:rPr>
          <w:b/>
          <w:sz w:val="24"/>
          <w:lang w:eastAsia="ja-JP"/>
        </w:rPr>
        <w:t>P</w:t>
      </w:r>
      <w:r w:rsidRPr="009F1A7A">
        <w:rPr>
          <w:rFonts w:hint="eastAsia"/>
          <w:b/>
          <w:sz w:val="24"/>
          <w:lang w:eastAsia="ja-JP"/>
        </w:rPr>
        <w:t xml:space="preserve">eriods with </w:t>
      </w:r>
      <w:r>
        <w:rPr>
          <w:b/>
          <w:sz w:val="24"/>
          <w:lang w:eastAsia="ja-JP"/>
        </w:rPr>
        <w:t>D</w:t>
      </w:r>
      <w:r>
        <w:rPr>
          <w:rFonts w:hint="eastAsia"/>
          <w:b/>
          <w:sz w:val="24"/>
          <w:lang w:eastAsia="ja-JP"/>
        </w:rPr>
        <w:t>ividend</w:t>
      </w:r>
      <w:r>
        <w:rPr>
          <w:b/>
          <w:sz w:val="24"/>
          <w:lang w:eastAsia="ja-JP"/>
        </w:rPr>
        <w:t>-C</w:t>
      </w:r>
      <w:r>
        <w:rPr>
          <w:rFonts w:hint="eastAsia"/>
          <w:b/>
          <w:sz w:val="24"/>
          <w:lang w:eastAsia="ja-JP"/>
        </w:rPr>
        <w:t xml:space="preserve">ollecting </w:t>
      </w:r>
      <w:r>
        <w:rPr>
          <w:b/>
          <w:sz w:val="24"/>
          <w:lang w:eastAsia="ja-JP"/>
        </w:rPr>
        <w:t>I</w:t>
      </w:r>
      <w:r>
        <w:rPr>
          <w:rFonts w:hint="eastAsia"/>
          <w:b/>
          <w:sz w:val="24"/>
          <w:lang w:eastAsia="ja-JP"/>
        </w:rPr>
        <w:t>nvestors</w:t>
      </w:r>
      <w:r w:rsidRPr="009F1A7A">
        <w:rPr>
          <w:rFonts w:hint="eastAsia"/>
          <w:b/>
          <w:sz w:val="24"/>
          <w:lang w:eastAsia="ja-JP"/>
        </w:rPr>
        <w:t xml:space="preserve"> and </w:t>
      </w:r>
      <w:r w:rsidR="00955BC3">
        <w:rPr>
          <w:b/>
          <w:sz w:val="24"/>
          <w:lang w:eastAsia="ja-JP"/>
        </w:rPr>
        <w:t xml:space="preserve">vs. </w:t>
      </w:r>
      <w:r>
        <w:rPr>
          <w:b/>
          <w:sz w:val="24"/>
          <w:lang w:eastAsia="ja-JP"/>
        </w:rPr>
        <w:t>P</w:t>
      </w:r>
      <w:r w:rsidRPr="009F1A7A">
        <w:rPr>
          <w:rFonts w:hint="eastAsia"/>
          <w:b/>
          <w:sz w:val="24"/>
          <w:lang w:eastAsia="ja-JP"/>
        </w:rPr>
        <w:t xml:space="preserve">eriods with only </w:t>
      </w:r>
      <w:r>
        <w:rPr>
          <w:b/>
          <w:sz w:val="24"/>
          <w:lang w:eastAsia="ja-JP"/>
        </w:rPr>
        <w:t>S</w:t>
      </w:r>
      <w:r>
        <w:rPr>
          <w:rFonts w:hint="eastAsia"/>
          <w:b/>
          <w:sz w:val="24"/>
          <w:lang w:eastAsia="ja-JP"/>
        </w:rPr>
        <w:t xml:space="preserve">peculating </w:t>
      </w:r>
      <w:r>
        <w:rPr>
          <w:b/>
          <w:sz w:val="24"/>
          <w:lang w:eastAsia="ja-JP"/>
        </w:rPr>
        <w:t>I</w:t>
      </w:r>
      <w:r>
        <w:rPr>
          <w:rFonts w:hint="eastAsia"/>
          <w:b/>
          <w:sz w:val="24"/>
          <w:lang w:eastAsia="ja-JP"/>
        </w:rPr>
        <w:t>nvestors</w:t>
      </w:r>
    </w:p>
    <w:tbl>
      <w:tblPr>
        <w:tblStyle w:val="Tabellenraster"/>
        <w:tblW w:w="9464" w:type="dxa"/>
        <w:tblLook w:val="04A0" w:firstRow="1" w:lastRow="0" w:firstColumn="1" w:lastColumn="0" w:noHBand="0" w:noVBand="1"/>
      </w:tblPr>
      <w:tblGrid>
        <w:gridCol w:w="2376"/>
        <w:gridCol w:w="2552"/>
        <w:gridCol w:w="2410"/>
        <w:gridCol w:w="2126"/>
      </w:tblGrid>
      <w:tr w:rsidR="00AD153B" w14:paraId="4E09802F" w14:textId="77777777" w:rsidTr="00B47857">
        <w:tc>
          <w:tcPr>
            <w:tcW w:w="2376" w:type="dxa"/>
            <w:vAlign w:val="center"/>
          </w:tcPr>
          <w:p w14:paraId="7F2BB186" w14:textId="77777777" w:rsidR="00AD153B" w:rsidRDefault="00AD153B" w:rsidP="00AD153B">
            <w:pPr>
              <w:spacing w:beforeLines="50" w:before="120" w:afterLines="50" w:after="120"/>
              <w:jc w:val="center"/>
              <w:rPr>
                <w:sz w:val="24"/>
                <w:lang w:eastAsia="ja-JP"/>
              </w:rPr>
            </w:pPr>
          </w:p>
        </w:tc>
        <w:tc>
          <w:tcPr>
            <w:tcW w:w="2552" w:type="dxa"/>
            <w:vAlign w:val="center"/>
          </w:tcPr>
          <w:p w14:paraId="4A466D0C" w14:textId="213476B3" w:rsidR="00AD153B" w:rsidRPr="00955BC3" w:rsidRDefault="00AD153B" w:rsidP="00955BC3">
            <w:pPr>
              <w:spacing w:beforeLines="50" w:before="120" w:afterLines="50" w:after="120"/>
              <w:jc w:val="center"/>
              <w:rPr>
                <w:sz w:val="24"/>
                <w:lang w:eastAsia="ja-JP"/>
              </w:rPr>
            </w:pPr>
            <w:r>
              <w:rPr>
                <w:sz w:val="24"/>
                <w:lang w:eastAsia="ja-JP"/>
              </w:rPr>
              <w:t xml:space="preserve">(1) </w:t>
            </w:r>
            <w:r w:rsidRPr="0055283D">
              <w:rPr>
                <w:rFonts w:hint="eastAsia"/>
                <w:sz w:val="24"/>
                <w:lang w:eastAsia="ja-JP"/>
              </w:rPr>
              <w:t>Periods with</w:t>
            </w:r>
            <w:r>
              <w:rPr>
                <w:sz w:val="24"/>
                <w:lang w:eastAsia="ja-JP"/>
              </w:rPr>
              <w:t xml:space="preserve">       </w:t>
            </w:r>
            <w:r w:rsidRPr="0055283D">
              <w:rPr>
                <w:rFonts w:hint="eastAsia"/>
                <w:sz w:val="24"/>
                <w:lang w:eastAsia="ja-JP"/>
              </w:rPr>
              <w:t xml:space="preserve"> </w:t>
            </w:r>
            <w:r>
              <w:rPr>
                <w:rFonts w:hint="eastAsia"/>
                <w:sz w:val="24"/>
                <w:lang w:eastAsia="ja-JP"/>
              </w:rPr>
              <w:t>dividend</w:t>
            </w:r>
            <w:r>
              <w:rPr>
                <w:sz w:val="24"/>
                <w:lang w:eastAsia="ja-JP"/>
              </w:rPr>
              <w:t>-</w:t>
            </w:r>
            <w:r>
              <w:rPr>
                <w:rFonts w:hint="eastAsia"/>
                <w:sz w:val="24"/>
                <w:lang w:eastAsia="ja-JP"/>
              </w:rPr>
              <w:t xml:space="preserve">collecting </w:t>
            </w:r>
            <w:r>
              <w:rPr>
                <w:sz w:val="24"/>
                <w:lang w:eastAsia="ja-JP"/>
              </w:rPr>
              <w:t xml:space="preserve">    </w:t>
            </w:r>
            <w:r>
              <w:rPr>
                <w:rFonts w:hint="eastAsia"/>
                <w:sz w:val="24"/>
                <w:lang w:eastAsia="ja-JP"/>
              </w:rPr>
              <w:t>investors</w:t>
            </w:r>
            <w:r w:rsidR="00AB5934">
              <w:rPr>
                <w:sz w:val="24"/>
                <w:lang w:eastAsia="ja-JP"/>
              </w:rPr>
              <w:t xml:space="preserve"> present</w:t>
            </w:r>
          </w:p>
        </w:tc>
        <w:tc>
          <w:tcPr>
            <w:tcW w:w="2410" w:type="dxa"/>
            <w:vAlign w:val="center"/>
          </w:tcPr>
          <w:p w14:paraId="0AD23982" w14:textId="341BDEAB" w:rsidR="00AD153B" w:rsidRPr="00955BC3" w:rsidRDefault="00AD153B" w:rsidP="00955BC3">
            <w:pPr>
              <w:spacing w:beforeLines="50" w:before="120" w:afterLines="50" w:after="120"/>
              <w:jc w:val="center"/>
              <w:rPr>
                <w:sz w:val="24"/>
                <w:lang w:eastAsia="ja-JP"/>
              </w:rPr>
            </w:pPr>
            <w:r>
              <w:rPr>
                <w:sz w:val="24"/>
                <w:lang w:eastAsia="ja-JP"/>
              </w:rPr>
              <w:t xml:space="preserve">(2) </w:t>
            </w:r>
            <w:r w:rsidRPr="00955BC3">
              <w:rPr>
                <w:sz w:val="24"/>
                <w:lang w:eastAsia="ja-JP"/>
              </w:rPr>
              <w:t>Periods with</w:t>
            </w:r>
            <w:r>
              <w:rPr>
                <w:sz w:val="24"/>
                <w:lang w:eastAsia="ja-JP"/>
              </w:rPr>
              <w:t xml:space="preserve">   </w:t>
            </w:r>
            <w:r w:rsidRPr="00955BC3">
              <w:rPr>
                <w:sz w:val="24"/>
                <w:lang w:eastAsia="ja-JP"/>
              </w:rPr>
              <w:t xml:space="preserve">  only speculating</w:t>
            </w:r>
            <w:r>
              <w:rPr>
                <w:sz w:val="24"/>
                <w:lang w:eastAsia="ja-JP"/>
              </w:rPr>
              <w:t xml:space="preserve">     </w:t>
            </w:r>
            <w:r w:rsidRPr="00955BC3">
              <w:rPr>
                <w:sz w:val="24"/>
                <w:lang w:eastAsia="ja-JP"/>
              </w:rPr>
              <w:t xml:space="preserve"> investors</w:t>
            </w:r>
          </w:p>
        </w:tc>
        <w:tc>
          <w:tcPr>
            <w:tcW w:w="2126" w:type="dxa"/>
            <w:vAlign w:val="center"/>
          </w:tcPr>
          <w:p w14:paraId="3DF4E307" w14:textId="77777777" w:rsidR="00AD153B" w:rsidRDefault="00AD153B" w:rsidP="00AD153B">
            <w:pPr>
              <w:spacing w:beforeLines="50" w:before="120" w:afterLines="50" w:after="120"/>
              <w:jc w:val="center"/>
              <w:rPr>
                <w:sz w:val="24"/>
                <w:lang w:eastAsia="ja-JP"/>
              </w:rPr>
            </w:pPr>
            <w:r>
              <w:rPr>
                <w:rFonts w:hint="eastAsia"/>
                <w:sz w:val="24"/>
                <w:lang w:eastAsia="ja-JP"/>
              </w:rPr>
              <w:t>Difference</w:t>
            </w:r>
          </w:p>
          <w:p w14:paraId="76B66339" w14:textId="77777777" w:rsidR="00AD153B" w:rsidRDefault="00AD153B" w:rsidP="00AD153B">
            <w:pPr>
              <w:spacing w:beforeLines="50" w:before="120" w:afterLines="50" w:after="120"/>
              <w:jc w:val="center"/>
              <w:rPr>
                <w:sz w:val="24"/>
                <w:lang w:eastAsia="ja-JP"/>
              </w:rPr>
            </w:pPr>
            <w:r>
              <w:rPr>
                <w:rFonts w:hint="eastAsia"/>
                <w:sz w:val="24"/>
                <w:lang w:eastAsia="ja-JP"/>
              </w:rPr>
              <w:t>(2)</w:t>
            </w:r>
            <w:r>
              <w:rPr>
                <w:rFonts w:ascii="MS Mincho" w:hAnsi="MS Mincho" w:hint="eastAsia"/>
                <w:sz w:val="24"/>
                <w:lang w:eastAsia="ja-JP"/>
              </w:rPr>
              <w:t>-</w:t>
            </w:r>
            <w:r>
              <w:rPr>
                <w:rFonts w:hint="eastAsia"/>
                <w:sz w:val="24"/>
                <w:lang w:eastAsia="ja-JP"/>
              </w:rPr>
              <w:t>(1)</w:t>
            </w:r>
          </w:p>
        </w:tc>
      </w:tr>
      <w:tr w:rsidR="00AD153B" w14:paraId="36E6334A" w14:textId="77777777" w:rsidTr="00B47857">
        <w:tc>
          <w:tcPr>
            <w:tcW w:w="2376" w:type="dxa"/>
            <w:vAlign w:val="center"/>
          </w:tcPr>
          <w:p w14:paraId="5D877C4A" w14:textId="77777777" w:rsidR="00AD153B" w:rsidRDefault="00AD153B" w:rsidP="00AD153B">
            <w:pPr>
              <w:spacing w:beforeLines="50" w:before="120" w:afterLines="50" w:after="120"/>
              <w:jc w:val="center"/>
              <w:rPr>
                <w:sz w:val="24"/>
                <w:szCs w:val="24"/>
                <w:lang w:eastAsia="ja-JP"/>
              </w:rPr>
            </w:pPr>
            <w:r>
              <w:rPr>
                <w:rFonts w:hint="eastAsia"/>
                <w:sz w:val="24"/>
                <w:szCs w:val="24"/>
                <w:lang w:eastAsia="ja-JP"/>
              </w:rPr>
              <w:t>High-liquidity</w:t>
            </w:r>
            <w:r w:rsidRPr="00D6750A">
              <w:rPr>
                <w:rFonts w:hint="eastAsia"/>
                <w:sz w:val="24"/>
                <w:szCs w:val="24"/>
                <w:lang w:eastAsia="ja-JP"/>
              </w:rPr>
              <w:t xml:space="preserve"> </w:t>
            </w:r>
            <w:r>
              <w:rPr>
                <w:sz w:val="24"/>
                <w:szCs w:val="24"/>
                <w:lang w:eastAsia="ja-JP"/>
              </w:rPr>
              <w:t>s</w:t>
            </w:r>
            <w:r w:rsidRPr="00D6750A">
              <w:rPr>
                <w:rFonts w:hint="eastAsia"/>
                <w:sz w:val="24"/>
                <w:szCs w:val="24"/>
                <w:lang w:eastAsia="ja-JP"/>
              </w:rPr>
              <w:t>ession</w:t>
            </w:r>
            <w:r>
              <w:rPr>
                <w:sz w:val="24"/>
                <w:szCs w:val="24"/>
                <w:lang w:eastAsia="ja-JP"/>
              </w:rPr>
              <w:t xml:space="preserve"> (Treatment H)</w:t>
            </w:r>
          </w:p>
        </w:tc>
        <w:tc>
          <w:tcPr>
            <w:tcW w:w="2552" w:type="dxa"/>
            <w:vAlign w:val="center"/>
          </w:tcPr>
          <w:p w14:paraId="31B80E55" w14:textId="36D14892" w:rsidR="00AD153B" w:rsidRDefault="00AD153B" w:rsidP="00AD153B">
            <w:pPr>
              <w:spacing w:beforeLines="50" w:before="120" w:afterLines="50" w:after="120"/>
              <w:jc w:val="center"/>
              <w:rPr>
                <w:sz w:val="24"/>
                <w:lang w:eastAsia="ja-JP"/>
              </w:rPr>
            </w:pPr>
            <w:r>
              <w:rPr>
                <w:rFonts w:hint="eastAsia"/>
                <w:sz w:val="24"/>
                <w:lang w:eastAsia="ja-JP"/>
              </w:rPr>
              <w:t>0.</w:t>
            </w:r>
            <w:r>
              <w:rPr>
                <w:sz w:val="24"/>
                <w:lang w:eastAsia="ja-JP"/>
              </w:rPr>
              <w:t>135</w:t>
            </w:r>
          </w:p>
          <w:p w14:paraId="7D0A987C" w14:textId="62B4F65D" w:rsidR="00AD153B" w:rsidRDefault="00AD153B" w:rsidP="00A160BF">
            <w:pPr>
              <w:spacing w:beforeLines="50" w:before="120" w:afterLines="50" w:after="120"/>
              <w:jc w:val="center"/>
              <w:rPr>
                <w:sz w:val="24"/>
                <w:lang w:eastAsia="ja-JP"/>
              </w:rPr>
            </w:pPr>
            <w:r>
              <w:rPr>
                <w:rFonts w:hint="eastAsia"/>
                <w:sz w:val="24"/>
                <w:lang w:eastAsia="ja-JP"/>
              </w:rPr>
              <w:t>(</w:t>
            </w:r>
            <w:r w:rsidR="00A160BF">
              <w:rPr>
                <w:sz w:val="24"/>
                <w:lang w:eastAsia="ja-JP"/>
              </w:rPr>
              <w:t>172</w:t>
            </w:r>
            <w:r>
              <w:rPr>
                <w:rFonts w:hint="eastAsia"/>
                <w:sz w:val="24"/>
                <w:lang w:eastAsia="ja-JP"/>
              </w:rPr>
              <w:t>)</w:t>
            </w:r>
          </w:p>
        </w:tc>
        <w:tc>
          <w:tcPr>
            <w:tcW w:w="2410" w:type="dxa"/>
            <w:vAlign w:val="center"/>
          </w:tcPr>
          <w:p w14:paraId="1A88C370" w14:textId="4F6FE6A4" w:rsidR="00AD153B" w:rsidRDefault="00AD153B" w:rsidP="00AD153B">
            <w:pPr>
              <w:spacing w:beforeLines="50" w:before="120" w:afterLines="50" w:after="120"/>
              <w:jc w:val="center"/>
              <w:rPr>
                <w:sz w:val="24"/>
                <w:lang w:eastAsia="ja-JP"/>
              </w:rPr>
            </w:pPr>
            <w:r>
              <w:rPr>
                <w:rFonts w:hint="eastAsia"/>
                <w:sz w:val="24"/>
                <w:lang w:eastAsia="ja-JP"/>
              </w:rPr>
              <w:t>0.</w:t>
            </w:r>
            <w:r>
              <w:rPr>
                <w:sz w:val="24"/>
                <w:lang w:eastAsia="ja-JP"/>
              </w:rPr>
              <w:t>222</w:t>
            </w:r>
          </w:p>
          <w:p w14:paraId="0BBE52DE" w14:textId="23E09D3A" w:rsidR="00AD153B" w:rsidRDefault="00AD153B" w:rsidP="00A160BF">
            <w:pPr>
              <w:spacing w:beforeLines="50" w:before="120" w:afterLines="50" w:after="120"/>
              <w:jc w:val="center"/>
              <w:rPr>
                <w:sz w:val="24"/>
                <w:lang w:eastAsia="ja-JP"/>
              </w:rPr>
            </w:pPr>
            <w:r>
              <w:rPr>
                <w:rFonts w:hint="eastAsia"/>
                <w:sz w:val="24"/>
                <w:lang w:eastAsia="ja-JP"/>
              </w:rPr>
              <w:t>(</w:t>
            </w:r>
            <w:r w:rsidR="00A160BF">
              <w:rPr>
                <w:sz w:val="24"/>
                <w:lang w:eastAsia="ja-JP"/>
              </w:rPr>
              <w:t>203</w:t>
            </w:r>
            <w:r>
              <w:rPr>
                <w:rFonts w:hint="eastAsia"/>
                <w:sz w:val="24"/>
                <w:lang w:eastAsia="ja-JP"/>
              </w:rPr>
              <w:t>)</w:t>
            </w:r>
          </w:p>
        </w:tc>
        <w:tc>
          <w:tcPr>
            <w:tcW w:w="2126" w:type="dxa"/>
            <w:vAlign w:val="center"/>
          </w:tcPr>
          <w:p w14:paraId="1F7DC473" w14:textId="3A6D5399" w:rsidR="00AD153B" w:rsidRDefault="00AD153B" w:rsidP="00AD153B">
            <w:pPr>
              <w:spacing w:beforeLines="50" w:before="120" w:afterLines="50" w:after="120"/>
              <w:jc w:val="center"/>
              <w:rPr>
                <w:sz w:val="24"/>
                <w:lang w:eastAsia="ja-JP"/>
              </w:rPr>
            </w:pPr>
            <w:r>
              <w:rPr>
                <w:rFonts w:hint="eastAsia"/>
                <w:sz w:val="24"/>
                <w:lang w:eastAsia="ja-JP"/>
              </w:rPr>
              <w:t>0.</w:t>
            </w:r>
            <w:r>
              <w:rPr>
                <w:sz w:val="24"/>
                <w:lang w:eastAsia="ja-JP"/>
              </w:rPr>
              <w:t>08</w:t>
            </w:r>
            <w:r>
              <w:rPr>
                <w:rFonts w:hint="eastAsia"/>
                <w:sz w:val="24"/>
                <w:lang w:eastAsia="ja-JP"/>
              </w:rPr>
              <w:t>6***</w:t>
            </w:r>
          </w:p>
        </w:tc>
      </w:tr>
      <w:tr w:rsidR="00AD153B" w14:paraId="284CAE49" w14:textId="77777777" w:rsidTr="00A160BF">
        <w:tc>
          <w:tcPr>
            <w:tcW w:w="2376" w:type="dxa"/>
            <w:tcBorders>
              <w:bottom w:val="single" w:sz="4" w:space="0" w:color="000000"/>
            </w:tcBorders>
            <w:vAlign w:val="center"/>
          </w:tcPr>
          <w:p w14:paraId="384A6A9C" w14:textId="77777777" w:rsidR="00AD153B" w:rsidRDefault="00AD153B" w:rsidP="00AD153B">
            <w:pPr>
              <w:spacing w:beforeLines="50" w:before="120" w:afterLines="50" w:after="120"/>
              <w:jc w:val="center"/>
              <w:rPr>
                <w:sz w:val="24"/>
                <w:szCs w:val="24"/>
                <w:lang w:eastAsia="ja-JP"/>
              </w:rPr>
            </w:pPr>
            <w:r>
              <w:rPr>
                <w:rFonts w:hint="eastAsia"/>
                <w:sz w:val="24"/>
                <w:szCs w:val="24"/>
                <w:lang w:eastAsia="ja-JP"/>
              </w:rPr>
              <w:t>Low-liquidity</w:t>
            </w:r>
            <w:r w:rsidRPr="00D6750A">
              <w:rPr>
                <w:rFonts w:hint="eastAsia"/>
                <w:sz w:val="24"/>
                <w:szCs w:val="24"/>
                <w:lang w:eastAsia="ja-JP"/>
              </w:rPr>
              <w:t xml:space="preserve"> </w:t>
            </w:r>
            <w:r>
              <w:rPr>
                <w:sz w:val="24"/>
                <w:szCs w:val="24"/>
                <w:lang w:eastAsia="ja-JP"/>
              </w:rPr>
              <w:t>s</w:t>
            </w:r>
            <w:r w:rsidRPr="00D6750A">
              <w:rPr>
                <w:rFonts w:hint="eastAsia"/>
                <w:sz w:val="24"/>
                <w:szCs w:val="24"/>
                <w:lang w:eastAsia="ja-JP"/>
              </w:rPr>
              <w:t>ession</w:t>
            </w:r>
            <w:r>
              <w:rPr>
                <w:sz w:val="24"/>
                <w:szCs w:val="24"/>
                <w:lang w:eastAsia="ja-JP"/>
              </w:rPr>
              <w:t xml:space="preserve"> (Treatment L)</w:t>
            </w:r>
          </w:p>
        </w:tc>
        <w:tc>
          <w:tcPr>
            <w:tcW w:w="2552" w:type="dxa"/>
            <w:tcBorders>
              <w:bottom w:val="single" w:sz="4" w:space="0" w:color="000000"/>
            </w:tcBorders>
            <w:vAlign w:val="center"/>
          </w:tcPr>
          <w:p w14:paraId="19E8BC83" w14:textId="6FE5652B" w:rsidR="00AD153B" w:rsidRDefault="00AD153B" w:rsidP="00AD153B">
            <w:pPr>
              <w:spacing w:beforeLines="50" w:before="120" w:afterLines="50" w:after="120"/>
              <w:jc w:val="center"/>
              <w:rPr>
                <w:sz w:val="24"/>
                <w:lang w:eastAsia="ja-JP"/>
              </w:rPr>
            </w:pPr>
            <w:r>
              <w:rPr>
                <w:rFonts w:hint="eastAsia"/>
                <w:sz w:val="24"/>
                <w:lang w:eastAsia="ja-JP"/>
              </w:rPr>
              <w:t>0.0</w:t>
            </w:r>
            <w:r>
              <w:rPr>
                <w:sz w:val="24"/>
                <w:lang w:eastAsia="ja-JP"/>
              </w:rPr>
              <w:t>91</w:t>
            </w:r>
          </w:p>
          <w:p w14:paraId="1094BF44" w14:textId="75CC226B" w:rsidR="00AD153B" w:rsidRDefault="00AD153B" w:rsidP="00A160BF">
            <w:pPr>
              <w:spacing w:beforeLines="50" w:before="120" w:afterLines="50" w:after="120"/>
              <w:jc w:val="center"/>
              <w:rPr>
                <w:sz w:val="24"/>
                <w:lang w:eastAsia="ja-JP"/>
              </w:rPr>
            </w:pPr>
            <w:r>
              <w:rPr>
                <w:rFonts w:hint="eastAsia"/>
                <w:sz w:val="24"/>
                <w:lang w:eastAsia="ja-JP"/>
              </w:rPr>
              <w:t>(</w:t>
            </w:r>
            <w:r w:rsidR="00A160BF">
              <w:rPr>
                <w:sz w:val="24"/>
                <w:lang w:eastAsia="ja-JP"/>
              </w:rPr>
              <w:t>176</w:t>
            </w:r>
            <w:r>
              <w:rPr>
                <w:rFonts w:hint="eastAsia"/>
                <w:sz w:val="24"/>
                <w:lang w:eastAsia="ja-JP"/>
              </w:rPr>
              <w:t>)</w:t>
            </w:r>
          </w:p>
        </w:tc>
        <w:tc>
          <w:tcPr>
            <w:tcW w:w="2410" w:type="dxa"/>
            <w:tcBorders>
              <w:bottom w:val="single" w:sz="4" w:space="0" w:color="000000"/>
            </w:tcBorders>
            <w:vAlign w:val="center"/>
          </w:tcPr>
          <w:p w14:paraId="357A46BB" w14:textId="55901000" w:rsidR="00AD153B" w:rsidRDefault="00AD153B" w:rsidP="00AD153B">
            <w:pPr>
              <w:spacing w:beforeLines="50" w:before="120" w:afterLines="50" w:after="120"/>
              <w:jc w:val="center"/>
              <w:rPr>
                <w:sz w:val="24"/>
                <w:lang w:eastAsia="ja-JP"/>
              </w:rPr>
            </w:pPr>
            <w:r>
              <w:rPr>
                <w:rFonts w:hint="eastAsia"/>
                <w:sz w:val="24"/>
                <w:lang w:eastAsia="ja-JP"/>
              </w:rPr>
              <w:t>0.</w:t>
            </w:r>
            <w:r>
              <w:rPr>
                <w:sz w:val="24"/>
                <w:lang w:eastAsia="ja-JP"/>
              </w:rPr>
              <w:t>266</w:t>
            </w:r>
          </w:p>
          <w:p w14:paraId="2EF84229" w14:textId="7F6793CF" w:rsidR="00AD153B" w:rsidRDefault="00AD153B" w:rsidP="00A160BF">
            <w:pPr>
              <w:spacing w:beforeLines="50" w:before="120" w:afterLines="50" w:after="120"/>
              <w:jc w:val="center"/>
              <w:rPr>
                <w:sz w:val="24"/>
                <w:lang w:eastAsia="ja-JP"/>
              </w:rPr>
            </w:pPr>
            <w:r>
              <w:rPr>
                <w:rFonts w:hint="eastAsia"/>
                <w:sz w:val="24"/>
                <w:lang w:eastAsia="ja-JP"/>
              </w:rPr>
              <w:t>(</w:t>
            </w:r>
            <w:r w:rsidR="00A160BF">
              <w:rPr>
                <w:sz w:val="24"/>
                <w:lang w:eastAsia="ja-JP"/>
              </w:rPr>
              <w:t>201</w:t>
            </w:r>
            <w:r>
              <w:rPr>
                <w:rFonts w:hint="eastAsia"/>
                <w:sz w:val="24"/>
                <w:lang w:eastAsia="ja-JP"/>
              </w:rPr>
              <w:t>)</w:t>
            </w:r>
          </w:p>
        </w:tc>
        <w:tc>
          <w:tcPr>
            <w:tcW w:w="2126" w:type="dxa"/>
            <w:tcBorders>
              <w:bottom w:val="single" w:sz="4" w:space="0" w:color="000000"/>
            </w:tcBorders>
            <w:vAlign w:val="center"/>
          </w:tcPr>
          <w:p w14:paraId="050EEAA7" w14:textId="48968D27" w:rsidR="00AD153B" w:rsidRDefault="00AD153B" w:rsidP="00AD153B">
            <w:pPr>
              <w:spacing w:beforeLines="50" w:before="120" w:afterLines="50" w:after="120"/>
              <w:jc w:val="center"/>
              <w:rPr>
                <w:sz w:val="24"/>
                <w:lang w:eastAsia="ja-JP"/>
              </w:rPr>
            </w:pPr>
            <w:r>
              <w:rPr>
                <w:rFonts w:hint="eastAsia"/>
                <w:sz w:val="24"/>
                <w:lang w:eastAsia="ja-JP"/>
              </w:rPr>
              <w:t>0.</w:t>
            </w:r>
            <w:r>
              <w:rPr>
                <w:sz w:val="24"/>
                <w:lang w:eastAsia="ja-JP"/>
              </w:rPr>
              <w:t>175</w:t>
            </w:r>
            <w:r>
              <w:rPr>
                <w:rFonts w:hint="eastAsia"/>
                <w:sz w:val="24"/>
                <w:lang w:eastAsia="ja-JP"/>
              </w:rPr>
              <w:t>***</w:t>
            </w:r>
          </w:p>
        </w:tc>
      </w:tr>
      <w:tr w:rsidR="000A5F3D" w14:paraId="076DA5A2" w14:textId="77777777" w:rsidTr="0081154E">
        <w:tc>
          <w:tcPr>
            <w:tcW w:w="9464" w:type="dxa"/>
            <w:gridSpan w:val="4"/>
            <w:tcBorders>
              <w:left w:val="nil"/>
              <w:bottom w:val="nil"/>
              <w:right w:val="nil"/>
            </w:tcBorders>
            <w:vAlign w:val="center"/>
          </w:tcPr>
          <w:p w14:paraId="1840C260" w14:textId="77777777" w:rsidR="000A5F3D" w:rsidRPr="009973AD" w:rsidRDefault="000A5F3D" w:rsidP="0081154E">
            <w:pPr>
              <w:spacing w:before="120"/>
              <w:jc w:val="both"/>
              <w:rPr>
                <w:lang w:eastAsia="ja-JP"/>
              </w:rPr>
            </w:pPr>
            <w:r w:rsidRPr="009973AD">
              <w:rPr>
                <w:rFonts w:hint="eastAsia"/>
                <w:lang w:eastAsia="ja-JP"/>
              </w:rPr>
              <w:t>Note</w:t>
            </w:r>
            <w:r w:rsidRPr="009973AD">
              <w:rPr>
                <w:lang w:eastAsia="ja-JP"/>
              </w:rPr>
              <w:t>s</w:t>
            </w:r>
            <w:r w:rsidRPr="009973AD">
              <w:rPr>
                <w:rFonts w:hint="eastAsia"/>
                <w:lang w:eastAsia="ja-JP"/>
              </w:rPr>
              <w:t>: *** indicates that the difference is statistically significant at 1% level by two-sided t-test.</w:t>
            </w:r>
          </w:p>
        </w:tc>
      </w:tr>
    </w:tbl>
    <w:p w14:paraId="5C4F5844" w14:textId="16982C5A" w:rsidR="00A160BF" w:rsidRDefault="00A160BF"/>
    <w:p w14:paraId="73A61E2C" w14:textId="77777777" w:rsidR="000A5F3D" w:rsidRDefault="000A5F3D"/>
    <w:p w14:paraId="27971DDD" w14:textId="77777777" w:rsidR="000A5F3D" w:rsidRDefault="000A5F3D"/>
    <w:p w14:paraId="0CA3C66C" w14:textId="77777777" w:rsidR="00835E12" w:rsidRDefault="00835E12">
      <w:pPr>
        <w:rPr>
          <w:b/>
          <w:color w:val="00B050"/>
          <w:sz w:val="24"/>
          <w:lang w:eastAsia="ja-JP"/>
        </w:rPr>
      </w:pPr>
      <w:r>
        <w:rPr>
          <w:b/>
          <w:color w:val="00B050"/>
          <w:sz w:val="24"/>
          <w:lang w:eastAsia="ja-JP"/>
        </w:rPr>
        <w:br w:type="page"/>
      </w:r>
    </w:p>
    <w:p w14:paraId="1198D45E" w14:textId="3745F1C4" w:rsidR="000A5F3D" w:rsidRPr="003F5408" w:rsidRDefault="000A5F3D" w:rsidP="003F5408">
      <w:pPr>
        <w:spacing w:line="480" w:lineRule="auto"/>
        <w:jc w:val="center"/>
        <w:rPr>
          <w:b/>
          <w:sz w:val="24"/>
          <w:szCs w:val="24"/>
          <w:lang w:eastAsia="ja-JP"/>
        </w:rPr>
      </w:pPr>
      <w:r w:rsidRPr="003F5408">
        <w:rPr>
          <w:b/>
          <w:sz w:val="24"/>
          <w:szCs w:val="24"/>
          <w:lang w:eastAsia="ja-JP"/>
        </w:rPr>
        <w:lastRenderedPageBreak/>
        <w:t xml:space="preserve">Table </w:t>
      </w:r>
      <w:r w:rsidR="004379ED" w:rsidRPr="003F5408">
        <w:rPr>
          <w:b/>
          <w:sz w:val="24"/>
          <w:szCs w:val="24"/>
          <w:lang w:eastAsia="ja-JP"/>
        </w:rPr>
        <w:t>8</w:t>
      </w:r>
      <w:r w:rsidRPr="003F5408">
        <w:rPr>
          <w:b/>
          <w:sz w:val="24"/>
          <w:szCs w:val="24"/>
          <w:lang w:eastAsia="ja-JP"/>
        </w:rPr>
        <w:t xml:space="preserve">: Comparison of Average </w:t>
      </w:r>
      <w:proofErr w:type="gramStart"/>
      <w:r w:rsidRPr="003F5408">
        <w:rPr>
          <w:b/>
          <w:sz w:val="24"/>
          <w:szCs w:val="24"/>
          <w:lang w:eastAsia="ja-JP"/>
        </w:rPr>
        <w:t>abs(</w:t>
      </w:r>
      <w:proofErr w:type="gramEnd"/>
      <w:r w:rsidRPr="003F5408">
        <w:rPr>
          <w:b/>
          <w:sz w:val="24"/>
          <w:szCs w:val="24"/>
          <w:lang w:eastAsia="ja-JP"/>
        </w:rPr>
        <w:t>EP-P)/P between Periods with Dividend-Collecting Investors and Periods with only Speculating Investors</w:t>
      </w:r>
    </w:p>
    <w:tbl>
      <w:tblPr>
        <w:tblStyle w:val="Tabellenraster"/>
        <w:tblW w:w="9464" w:type="dxa"/>
        <w:tblLook w:val="04A0" w:firstRow="1" w:lastRow="0" w:firstColumn="1" w:lastColumn="0" w:noHBand="0" w:noVBand="1"/>
      </w:tblPr>
      <w:tblGrid>
        <w:gridCol w:w="2376"/>
        <w:gridCol w:w="2552"/>
        <w:gridCol w:w="2410"/>
        <w:gridCol w:w="2126"/>
      </w:tblGrid>
      <w:tr w:rsidR="000A5F3D" w14:paraId="11B09D78" w14:textId="77777777" w:rsidTr="0081154E">
        <w:tc>
          <w:tcPr>
            <w:tcW w:w="2376" w:type="dxa"/>
            <w:vAlign w:val="center"/>
          </w:tcPr>
          <w:p w14:paraId="2F17D62B" w14:textId="77777777" w:rsidR="000A5F3D" w:rsidRDefault="000A5F3D" w:rsidP="0081154E">
            <w:pPr>
              <w:spacing w:beforeLines="50" w:before="120" w:afterLines="50" w:after="120"/>
              <w:jc w:val="center"/>
              <w:rPr>
                <w:sz w:val="24"/>
                <w:lang w:eastAsia="ja-JP"/>
              </w:rPr>
            </w:pPr>
          </w:p>
        </w:tc>
        <w:tc>
          <w:tcPr>
            <w:tcW w:w="2552" w:type="dxa"/>
            <w:vAlign w:val="center"/>
          </w:tcPr>
          <w:p w14:paraId="407FF60E" w14:textId="74BA829F" w:rsidR="000A5F3D" w:rsidRPr="00955BC3" w:rsidRDefault="000A5F3D" w:rsidP="0081154E">
            <w:pPr>
              <w:spacing w:beforeLines="50" w:before="120" w:afterLines="50" w:after="120"/>
              <w:jc w:val="center"/>
              <w:rPr>
                <w:sz w:val="24"/>
                <w:lang w:eastAsia="ja-JP"/>
              </w:rPr>
            </w:pPr>
            <w:r>
              <w:rPr>
                <w:sz w:val="24"/>
                <w:lang w:eastAsia="ja-JP"/>
              </w:rPr>
              <w:t xml:space="preserve">(1) </w:t>
            </w:r>
            <w:r w:rsidRPr="0055283D">
              <w:rPr>
                <w:rFonts w:hint="eastAsia"/>
                <w:sz w:val="24"/>
                <w:lang w:eastAsia="ja-JP"/>
              </w:rPr>
              <w:t>Periods with</w:t>
            </w:r>
            <w:r>
              <w:rPr>
                <w:sz w:val="24"/>
                <w:lang w:eastAsia="ja-JP"/>
              </w:rPr>
              <w:t xml:space="preserve">       </w:t>
            </w:r>
            <w:r w:rsidRPr="0055283D">
              <w:rPr>
                <w:rFonts w:hint="eastAsia"/>
                <w:sz w:val="24"/>
                <w:lang w:eastAsia="ja-JP"/>
              </w:rPr>
              <w:t xml:space="preserve"> </w:t>
            </w:r>
            <w:r>
              <w:rPr>
                <w:rFonts w:hint="eastAsia"/>
                <w:sz w:val="24"/>
                <w:lang w:eastAsia="ja-JP"/>
              </w:rPr>
              <w:t>dividend</w:t>
            </w:r>
            <w:r>
              <w:rPr>
                <w:sz w:val="24"/>
                <w:lang w:eastAsia="ja-JP"/>
              </w:rPr>
              <w:t>-</w:t>
            </w:r>
            <w:r>
              <w:rPr>
                <w:rFonts w:hint="eastAsia"/>
                <w:sz w:val="24"/>
                <w:lang w:eastAsia="ja-JP"/>
              </w:rPr>
              <w:t xml:space="preserve">collecting </w:t>
            </w:r>
            <w:r>
              <w:rPr>
                <w:sz w:val="24"/>
                <w:lang w:eastAsia="ja-JP"/>
              </w:rPr>
              <w:t xml:space="preserve">    </w:t>
            </w:r>
            <w:r>
              <w:rPr>
                <w:rFonts w:hint="eastAsia"/>
                <w:sz w:val="24"/>
                <w:lang w:eastAsia="ja-JP"/>
              </w:rPr>
              <w:t>investors</w:t>
            </w:r>
            <w:r w:rsidR="00AB5934">
              <w:rPr>
                <w:sz w:val="24"/>
                <w:lang w:eastAsia="ja-JP"/>
              </w:rPr>
              <w:t xml:space="preserve"> present</w:t>
            </w:r>
          </w:p>
        </w:tc>
        <w:tc>
          <w:tcPr>
            <w:tcW w:w="2410" w:type="dxa"/>
            <w:vAlign w:val="center"/>
          </w:tcPr>
          <w:p w14:paraId="080F470A" w14:textId="77777777" w:rsidR="000A5F3D" w:rsidRPr="00955BC3" w:rsidRDefault="000A5F3D" w:rsidP="0081154E">
            <w:pPr>
              <w:spacing w:beforeLines="50" w:before="120" w:afterLines="50" w:after="120"/>
              <w:jc w:val="center"/>
              <w:rPr>
                <w:sz w:val="24"/>
                <w:lang w:eastAsia="ja-JP"/>
              </w:rPr>
            </w:pPr>
            <w:r>
              <w:rPr>
                <w:sz w:val="24"/>
                <w:lang w:eastAsia="ja-JP"/>
              </w:rPr>
              <w:t xml:space="preserve">(2) </w:t>
            </w:r>
            <w:r w:rsidRPr="00955BC3">
              <w:rPr>
                <w:sz w:val="24"/>
                <w:lang w:eastAsia="ja-JP"/>
              </w:rPr>
              <w:t>Periods with</w:t>
            </w:r>
            <w:r>
              <w:rPr>
                <w:sz w:val="24"/>
                <w:lang w:eastAsia="ja-JP"/>
              </w:rPr>
              <w:t xml:space="preserve">   </w:t>
            </w:r>
            <w:r w:rsidRPr="00955BC3">
              <w:rPr>
                <w:sz w:val="24"/>
                <w:lang w:eastAsia="ja-JP"/>
              </w:rPr>
              <w:t xml:space="preserve">  only speculating</w:t>
            </w:r>
            <w:r>
              <w:rPr>
                <w:sz w:val="24"/>
                <w:lang w:eastAsia="ja-JP"/>
              </w:rPr>
              <w:t xml:space="preserve">     </w:t>
            </w:r>
            <w:r w:rsidRPr="00955BC3">
              <w:rPr>
                <w:sz w:val="24"/>
                <w:lang w:eastAsia="ja-JP"/>
              </w:rPr>
              <w:t xml:space="preserve"> investors</w:t>
            </w:r>
          </w:p>
        </w:tc>
        <w:tc>
          <w:tcPr>
            <w:tcW w:w="2126" w:type="dxa"/>
            <w:vAlign w:val="center"/>
          </w:tcPr>
          <w:p w14:paraId="4D24F6D7" w14:textId="77777777" w:rsidR="000A5F3D" w:rsidRDefault="000A5F3D" w:rsidP="0081154E">
            <w:pPr>
              <w:spacing w:beforeLines="50" w:before="120" w:afterLines="50" w:after="120"/>
              <w:jc w:val="center"/>
              <w:rPr>
                <w:sz w:val="24"/>
                <w:lang w:eastAsia="ja-JP"/>
              </w:rPr>
            </w:pPr>
            <w:r>
              <w:rPr>
                <w:rFonts w:hint="eastAsia"/>
                <w:sz w:val="24"/>
                <w:lang w:eastAsia="ja-JP"/>
              </w:rPr>
              <w:t>Difference</w:t>
            </w:r>
          </w:p>
          <w:p w14:paraId="1E1E7664" w14:textId="77777777" w:rsidR="000A5F3D" w:rsidRDefault="000A5F3D" w:rsidP="0081154E">
            <w:pPr>
              <w:spacing w:beforeLines="50" w:before="120" w:afterLines="50" w:after="120"/>
              <w:jc w:val="center"/>
              <w:rPr>
                <w:sz w:val="24"/>
                <w:lang w:eastAsia="ja-JP"/>
              </w:rPr>
            </w:pPr>
            <w:r>
              <w:rPr>
                <w:rFonts w:hint="eastAsia"/>
                <w:sz w:val="24"/>
                <w:lang w:eastAsia="ja-JP"/>
              </w:rPr>
              <w:t>(2)</w:t>
            </w:r>
            <w:r>
              <w:rPr>
                <w:rFonts w:ascii="MS Mincho" w:hAnsi="MS Mincho" w:hint="eastAsia"/>
                <w:sz w:val="24"/>
                <w:lang w:eastAsia="ja-JP"/>
              </w:rPr>
              <w:t>-</w:t>
            </w:r>
            <w:r>
              <w:rPr>
                <w:rFonts w:hint="eastAsia"/>
                <w:sz w:val="24"/>
                <w:lang w:eastAsia="ja-JP"/>
              </w:rPr>
              <w:t>(1)</w:t>
            </w:r>
          </w:p>
        </w:tc>
      </w:tr>
      <w:tr w:rsidR="000A5F3D" w14:paraId="7946DE6F" w14:textId="77777777" w:rsidTr="0081154E">
        <w:tc>
          <w:tcPr>
            <w:tcW w:w="2376" w:type="dxa"/>
            <w:vAlign w:val="center"/>
          </w:tcPr>
          <w:p w14:paraId="3F95AE7B" w14:textId="77777777" w:rsidR="000A5F3D" w:rsidRDefault="000A5F3D" w:rsidP="0081154E">
            <w:pPr>
              <w:spacing w:beforeLines="50" w:before="120" w:afterLines="50" w:after="120"/>
              <w:jc w:val="center"/>
              <w:rPr>
                <w:sz w:val="24"/>
                <w:szCs w:val="24"/>
                <w:lang w:eastAsia="ja-JP"/>
              </w:rPr>
            </w:pPr>
            <w:r>
              <w:rPr>
                <w:rFonts w:hint="eastAsia"/>
                <w:sz w:val="24"/>
                <w:szCs w:val="24"/>
                <w:lang w:eastAsia="ja-JP"/>
              </w:rPr>
              <w:t>High-liquidity</w:t>
            </w:r>
            <w:r w:rsidRPr="00D6750A">
              <w:rPr>
                <w:rFonts w:hint="eastAsia"/>
                <w:sz w:val="24"/>
                <w:szCs w:val="24"/>
                <w:lang w:eastAsia="ja-JP"/>
              </w:rPr>
              <w:t xml:space="preserve"> </w:t>
            </w:r>
            <w:r>
              <w:rPr>
                <w:sz w:val="24"/>
                <w:szCs w:val="24"/>
                <w:lang w:eastAsia="ja-JP"/>
              </w:rPr>
              <w:t>s</w:t>
            </w:r>
            <w:r w:rsidRPr="00D6750A">
              <w:rPr>
                <w:rFonts w:hint="eastAsia"/>
                <w:sz w:val="24"/>
                <w:szCs w:val="24"/>
                <w:lang w:eastAsia="ja-JP"/>
              </w:rPr>
              <w:t>ession</w:t>
            </w:r>
            <w:r>
              <w:rPr>
                <w:sz w:val="24"/>
                <w:szCs w:val="24"/>
                <w:lang w:eastAsia="ja-JP"/>
              </w:rPr>
              <w:t xml:space="preserve"> (Treatment H)</w:t>
            </w:r>
          </w:p>
        </w:tc>
        <w:tc>
          <w:tcPr>
            <w:tcW w:w="2552" w:type="dxa"/>
            <w:vAlign w:val="center"/>
          </w:tcPr>
          <w:p w14:paraId="6C536CC3" w14:textId="1BDF24FC" w:rsidR="000A5F3D" w:rsidRDefault="000A5F3D" w:rsidP="0081154E">
            <w:pPr>
              <w:spacing w:beforeLines="50" w:before="120" w:afterLines="50" w:after="120"/>
              <w:jc w:val="center"/>
              <w:rPr>
                <w:sz w:val="24"/>
                <w:lang w:eastAsia="ja-JP"/>
              </w:rPr>
            </w:pPr>
            <w:r>
              <w:rPr>
                <w:rFonts w:hint="eastAsia"/>
                <w:sz w:val="24"/>
                <w:lang w:eastAsia="ja-JP"/>
              </w:rPr>
              <w:t>0.</w:t>
            </w:r>
            <w:r w:rsidR="005975EE">
              <w:rPr>
                <w:sz w:val="24"/>
                <w:lang w:eastAsia="ja-JP"/>
              </w:rPr>
              <w:t>157</w:t>
            </w:r>
          </w:p>
          <w:p w14:paraId="57806B00" w14:textId="162FD1B0" w:rsidR="000A5F3D" w:rsidRDefault="000A5F3D" w:rsidP="005975EE">
            <w:pPr>
              <w:spacing w:beforeLines="50" w:before="120" w:afterLines="50" w:after="120"/>
              <w:jc w:val="center"/>
              <w:rPr>
                <w:sz w:val="24"/>
                <w:lang w:eastAsia="ja-JP"/>
              </w:rPr>
            </w:pPr>
            <w:r>
              <w:rPr>
                <w:rFonts w:hint="eastAsia"/>
                <w:sz w:val="24"/>
                <w:lang w:eastAsia="ja-JP"/>
              </w:rPr>
              <w:t>(</w:t>
            </w:r>
            <w:r w:rsidR="005975EE">
              <w:rPr>
                <w:sz w:val="24"/>
                <w:lang w:eastAsia="ja-JP"/>
              </w:rPr>
              <w:t>177</w:t>
            </w:r>
            <w:r>
              <w:rPr>
                <w:rFonts w:hint="eastAsia"/>
                <w:sz w:val="24"/>
                <w:lang w:eastAsia="ja-JP"/>
              </w:rPr>
              <w:t>)</w:t>
            </w:r>
          </w:p>
        </w:tc>
        <w:tc>
          <w:tcPr>
            <w:tcW w:w="2410" w:type="dxa"/>
            <w:vAlign w:val="center"/>
          </w:tcPr>
          <w:p w14:paraId="7495CA12" w14:textId="5D251B8F" w:rsidR="000A5F3D" w:rsidRDefault="000A5F3D" w:rsidP="0081154E">
            <w:pPr>
              <w:spacing w:beforeLines="50" w:before="120" w:afterLines="50" w:after="120"/>
              <w:jc w:val="center"/>
              <w:rPr>
                <w:sz w:val="24"/>
                <w:lang w:eastAsia="ja-JP"/>
              </w:rPr>
            </w:pPr>
            <w:r>
              <w:rPr>
                <w:rFonts w:hint="eastAsia"/>
                <w:sz w:val="24"/>
                <w:lang w:eastAsia="ja-JP"/>
              </w:rPr>
              <w:t>0.</w:t>
            </w:r>
            <w:r w:rsidR="005975EE">
              <w:rPr>
                <w:sz w:val="24"/>
                <w:lang w:eastAsia="ja-JP"/>
              </w:rPr>
              <w:t>372</w:t>
            </w:r>
          </w:p>
          <w:p w14:paraId="31760409" w14:textId="35D79FC9" w:rsidR="000A5F3D" w:rsidRDefault="000A5F3D" w:rsidP="005975EE">
            <w:pPr>
              <w:spacing w:beforeLines="50" w:before="120" w:afterLines="50" w:after="120"/>
              <w:jc w:val="center"/>
              <w:rPr>
                <w:sz w:val="24"/>
                <w:lang w:eastAsia="ja-JP"/>
              </w:rPr>
            </w:pPr>
            <w:r>
              <w:rPr>
                <w:rFonts w:hint="eastAsia"/>
                <w:sz w:val="24"/>
                <w:lang w:eastAsia="ja-JP"/>
              </w:rPr>
              <w:t>(</w:t>
            </w:r>
            <w:r w:rsidR="005975EE">
              <w:rPr>
                <w:sz w:val="24"/>
                <w:lang w:eastAsia="ja-JP"/>
              </w:rPr>
              <w:t>204</w:t>
            </w:r>
            <w:r>
              <w:rPr>
                <w:rFonts w:hint="eastAsia"/>
                <w:sz w:val="24"/>
                <w:lang w:eastAsia="ja-JP"/>
              </w:rPr>
              <w:t>)</w:t>
            </w:r>
          </w:p>
        </w:tc>
        <w:tc>
          <w:tcPr>
            <w:tcW w:w="2126" w:type="dxa"/>
            <w:vAlign w:val="center"/>
          </w:tcPr>
          <w:p w14:paraId="17858B8A" w14:textId="6462F552" w:rsidR="000A5F3D" w:rsidRDefault="000A5F3D" w:rsidP="005975EE">
            <w:pPr>
              <w:spacing w:beforeLines="50" w:before="120" w:afterLines="50" w:after="120"/>
              <w:jc w:val="center"/>
              <w:rPr>
                <w:sz w:val="24"/>
                <w:lang w:eastAsia="ja-JP"/>
              </w:rPr>
            </w:pPr>
            <w:r>
              <w:rPr>
                <w:rFonts w:hint="eastAsia"/>
                <w:sz w:val="24"/>
                <w:lang w:eastAsia="ja-JP"/>
              </w:rPr>
              <w:t>0.</w:t>
            </w:r>
            <w:r w:rsidR="005975EE">
              <w:rPr>
                <w:sz w:val="24"/>
                <w:lang w:eastAsia="ja-JP"/>
              </w:rPr>
              <w:t>215</w:t>
            </w:r>
            <w:r>
              <w:rPr>
                <w:rFonts w:hint="eastAsia"/>
                <w:sz w:val="24"/>
                <w:lang w:eastAsia="ja-JP"/>
              </w:rPr>
              <w:t>***</w:t>
            </w:r>
          </w:p>
        </w:tc>
      </w:tr>
      <w:tr w:rsidR="000A5F3D" w14:paraId="3DB06A57" w14:textId="77777777" w:rsidTr="0081154E">
        <w:tc>
          <w:tcPr>
            <w:tcW w:w="2376" w:type="dxa"/>
            <w:tcBorders>
              <w:bottom w:val="single" w:sz="4" w:space="0" w:color="000000"/>
            </w:tcBorders>
            <w:vAlign w:val="center"/>
          </w:tcPr>
          <w:p w14:paraId="2ED03618" w14:textId="77777777" w:rsidR="000A5F3D" w:rsidRDefault="000A5F3D" w:rsidP="0081154E">
            <w:pPr>
              <w:spacing w:beforeLines="50" w:before="120" w:afterLines="50" w:after="120"/>
              <w:jc w:val="center"/>
              <w:rPr>
                <w:sz w:val="24"/>
                <w:szCs w:val="24"/>
                <w:lang w:eastAsia="ja-JP"/>
              </w:rPr>
            </w:pPr>
            <w:r>
              <w:rPr>
                <w:rFonts w:hint="eastAsia"/>
                <w:sz w:val="24"/>
                <w:szCs w:val="24"/>
                <w:lang w:eastAsia="ja-JP"/>
              </w:rPr>
              <w:t>Low-liquidity</w:t>
            </w:r>
            <w:r w:rsidRPr="00D6750A">
              <w:rPr>
                <w:rFonts w:hint="eastAsia"/>
                <w:sz w:val="24"/>
                <w:szCs w:val="24"/>
                <w:lang w:eastAsia="ja-JP"/>
              </w:rPr>
              <w:t xml:space="preserve"> </w:t>
            </w:r>
            <w:r>
              <w:rPr>
                <w:sz w:val="24"/>
                <w:szCs w:val="24"/>
                <w:lang w:eastAsia="ja-JP"/>
              </w:rPr>
              <w:t>s</w:t>
            </w:r>
            <w:r w:rsidRPr="00D6750A">
              <w:rPr>
                <w:rFonts w:hint="eastAsia"/>
                <w:sz w:val="24"/>
                <w:szCs w:val="24"/>
                <w:lang w:eastAsia="ja-JP"/>
              </w:rPr>
              <w:t>ession</w:t>
            </w:r>
            <w:r>
              <w:rPr>
                <w:sz w:val="24"/>
                <w:szCs w:val="24"/>
                <w:lang w:eastAsia="ja-JP"/>
              </w:rPr>
              <w:t xml:space="preserve"> (Treatment L)</w:t>
            </w:r>
          </w:p>
        </w:tc>
        <w:tc>
          <w:tcPr>
            <w:tcW w:w="2552" w:type="dxa"/>
            <w:tcBorders>
              <w:bottom w:val="single" w:sz="4" w:space="0" w:color="000000"/>
            </w:tcBorders>
            <w:vAlign w:val="center"/>
          </w:tcPr>
          <w:p w14:paraId="04B8149C" w14:textId="21D301E5" w:rsidR="000A5F3D" w:rsidRDefault="000A5F3D" w:rsidP="0081154E">
            <w:pPr>
              <w:spacing w:beforeLines="50" w:before="120" w:afterLines="50" w:after="120"/>
              <w:jc w:val="center"/>
              <w:rPr>
                <w:sz w:val="24"/>
                <w:lang w:eastAsia="ja-JP"/>
              </w:rPr>
            </w:pPr>
            <w:r>
              <w:rPr>
                <w:rFonts w:hint="eastAsia"/>
                <w:sz w:val="24"/>
                <w:lang w:eastAsia="ja-JP"/>
              </w:rPr>
              <w:t>0.</w:t>
            </w:r>
            <w:r w:rsidR="005975EE">
              <w:rPr>
                <w:sz w:val="24"/>
                <w:lang w:eastAsia="ja-JP"/>
              </w:rPr>
              <w:t>107</w:t>
            </w:r>
          </w:p>
          <w:p w14:paraId="24FB48A4" w14:textId="6E2A4886" w:rsidR="000A5F3D" w:rsidRDefault="000A5F3D" w:rsidP="005975EE">
            <w:pPr>
              <w:spacing w:beforeLines="50" w:before="120" w:afterLines="50" w:after="120"/>
              <w:jc w:val="center"/>
              <w:rPr>
                <w:sz w:val="24"/>
                <w:lang w:eastAsia="ja-JP"/>
              </w:rPr>
            </w:pPr>
            <w:r>
              <w:rPr>
                <w:rFonts w:hint="eastAsia"/>
                <w:sz w:val="24"/>
                <w:lang w:eastAsia="ja-JP"/>
              </w:rPr>
              <w:t>(</w:t>
            </w:r>
            <w:r>
              <w:rPr>
                <w:sz w:val="24"/>
                <w:lang w:eastAsia="ja-JP"/>
              </w:rPr>
              <w:t>17</w:t>
            </w:r>
            <w:r w:rsidR="005975EE">
              <w:rPr>
                <w:sz w:val="24"/>
                <w:lang w:eastAsia="ja-JP"/>
              </w:rPr>
              <w:t>8</w:t>
            </w:r>
            <w:r>
              <w:rPr>
                <w:rFonts w:hint="eastAsia"/>
                <w:sz w:val="24"/>
                <w:lang w:eastAsia="ja-JP"/>
              </w:rPr>
              <w:t>)</w:t>
            </w:r>
          </w:p>
        </w:tc>
        <w:tc>
          <w:tcPr>
            <w:tcW w:w="2410" w:type="dxa"/>
            <w:tcBorders>
              <w:bottom w:val="single" w:sz="4" w:space="0" w:color="000000"/>
            </w:tcBorders>
            <w:vAlign w:val="center"/>
          </w:tcPr>
          <w:p w14:paraId="571E763F" w14:textId="48187666" w:rsidR="000A5F3D" w:rsidRDefault="000A5F3D" w:rsidP="0081154E">
            <w:pPr>
              <w:spacing w:beforeLines="50" w:before="120" w:afterLines="50" w:after="120"/>
              <w:jc w:val="center"/>
              <w:rPr>
                <w:sz w:val="24"/>
                <w:lang w:eastAsia="ja-JP"/>
              </w:rPr>
            </w:pPr>
            <w:r>
              <w:rPr>
                <w:rFonts w:hint="eastAsia"/>
                <w:sz w:val="24"/>
                <w:lang w:eastAsia="ja-JP"/>
              </w:rPr>
              <w:t>0.</w:t>
            </w:r>
            <w:r w:rsidR="005975EE">
              <w:rPr>
                <w:sz w:val="24"/>
                <w:lang w:eastAsia="ja-JP"/>
              </w:rPr>
              <w:t>433</w:t>
            </w:r>
          </w:p>
          <w:p w14:paraId="46AB3158" w14:textId="4AD0BB17" w:rsidR="000A5F3D" w:rsidRDefault="000A5F3D" w:rsidP="005975EE">
            <w:pPr>
              <w:spacing w:beforeLines="50" w:before="120" w:afterLines="50" w:after="120"/>
              <w:jc w:val="center"/>
              <w:rPr>
                <w:sz w:val="24"/>
                <w:lang w:eastAsia="ja-JP"/>
              </w:rPr>
            </w:pPr>
            <w:r>
              <w:rPr>
                <w:rFonts w:hint="eastAsia"/>
                <w:sz w:val="24"/>
                <w:lang w:eastAsia="ja-JP"/>
              </w:rPr>
              <w:t>(</w:t>
            </w:r>
            <w:r>
              <w:rPr>
                <w:sz w:val="24"/>
                <w:lang w:eastAsia="ja-JP"/>
              </w:rPr>
              <w:t>20</w:t>
            </w:r>
            <w:r w:rsidR="005975EE">
              <w:rPr>
                <w:sz w:val="24"/>
                <w:lang w:eastAsia="ja-JP"/>
              </w:rPr>
              <w:t>3</w:t>
            </w:r>
            <w:r>
              <w:rPr>
                <w:rFonts w:hint="eastAsia"/>
                <w:sz w:val="24"/>
                <w:lang w:eastAsia="ja-JP"/>
              </w:rPr>
              <w:t>)</w:t>
            </w:r>
          </w:p>
        </w:tc>
        <w:tc>
          <w:tcPr>
            <w:tcW w:w="2126" w:type="dxa"/>
            <w:tcBorders>
              <w:bottom w:val="single" w:sz="4" w:space="0" w:color="000000"/>
            </w:tcBorders>
            <w:vAlign w:val="center"/>
          </w:tcPr>
          <w:p w14:paraId="3090CA5F" w14:textId="702DC4F3" w:rsidR="000A5F3D" w:rsidRDefault="000A5F3D" w:rsidP="005975EE">
            <w:pPr>
              <w:spacing w:beforeLines="50" w:before="120" w:afterLines="50" w:after="120"/>
              <w:jc w:val="center"/>
              <w:rPr>
                <w:sz w:val="24"/>
                <w:lang w:eastAsia="ja-JP"/>
              </w:rPr>
            </w:pPr>
            <w:r>
              <w:rPr>
                <w:rFonts w:hint="eastAsia"/>
                <w:sz w:val="24"/>
                <w:lang w:eastAsia="ja-JP"/>
              </w:rPr>
              <w:t>0.</w:t>
            </w:r>
            <w:r w:rsidR="005975EE">
              <w:rPr>
                <w:sz w:val="24"/>
                <w:lang w:eastAsia="ja-JP"/>
              </w:rPr>
              <w:t>326</w:t>
            </w:r>
            <w:r>
              <w:rPr>
                <w:rFonts w:hint="eastAsia"/>
                <w:sz w:val="24"/>
                <w:lang w:eastAsia="ja-JP"/>
              </w:rPr>
              <w:t>***</w:t>
            </w:r>
          </w:p>
        </w:tc>
      </w:tr>
      <w:tr w:rsidR="00835E12" w14:paraId="40E24485" w14:textId="77777777" w:rsidTr="0081154E">
        <w:tc>
          <w:tcPr>
            <w:tcW w:w="9464" w:type="dxa"/>
            <w:gridSpan w:val="4"/>
            <w:tcBorders>
              <w:left w:val="nil"/>
              <w:bottom w:val="nil"/>
              <w:right w:val="nil"/>
            </w:tcBorders>
            <w:vAlign w:val="center"/>
          </w:tcPr>
          <w:p w14:paraId="3E2F8A87" w14:textId="77777777" w:rsidR="00835E12" w:rsidRPr="009973AD" w:rsidRDefault="00835E12" w:rsidP="0081154E">
            <w:pPr>
              <w:spacing w:before="120"/>
              <w:jc w:val="both"/>
              <w:rPr>
                <w:lang w:eastAsia="ja-JP"/>
              </w:rPr>
            </w:pPr>
            <w:r w:rsidRPr="009973AD">
              <w:rPr>
                <w:rFonts w:hint="eastAsia"/>
                <w:lang w:eastAsia="ja-JP"/>
              </w:rPr>
              <w:t>Note</w:t>
            </w:r>
            <w:r w:rsidRPr="009973AD">
              <w:rPr>
                <w:lang w:eastAsia="ja-JP"/>
              </w:rPr>
              <w:t>s</w:t>
            </w:r>
            <w:r w:rsidRPr="009973AD">
              <w:rPr>
                <w:rFonts w:hint="eastAsia"/>
                <w:lang w:eastAsia="ja-JP"/>
              </w:rPr>
              <w:t>: *** indicates that the difference is statistically significant at 1% level by two-sided t-test.</w:t>
            </w:r>
          </w:p>
        </w:tc>
      </w:tr>
    </w:tbl>
    <w:p w14:paraId="33EC5E8D" w14:textId="77777777" w:rsidR="000A5F3D" w:rsidRDefault="000A5F3D" w:rsidP="000A5F3D"/>
    <w:p w14:paraId="6B615F7B" w14:textId="77777777" w:rsidR="000A5F3D" w:rsidRDefault="000A5F3D"/>
    <w:p w14:paraId="66EA475F" w14:textId="77777777" w:rsidR="00A160BF" w:rsidRDefault="00A160BF">
      <w:r>
        <w:br w:type="page"/>
      </w:r>
    </w:p>
    <w:p w14:paraId="158EDB7D" w14:textId="1158BF27" w:rsidR="00B67A3C" w:rsidRPr="00C411E2" w:rsidRDefault="00B67A3C" w:rsidP="00B67A3C">
      <w:pPr>
        <w:spacing w:line="480" w:lineRule="auto"/>
        <w:jc w:val="center"/>
        <w:rPr>
          <w:lang w:eastAsia="ja-JP"/>
        </w:rPr>
      </w:pPr>
      <w:r w:rsidRPr="00EB0245">
        <w:rPr>
          <w:b/>
          <w:sz w:val="24"/>
          <w:szCs w:val="24"/>
          <w:lang w:eastAsia="ja-JP"/>
        </w:rPr>
        <w:lastRenderedPageBreak/>
        <w:t>Table</w:t>
      </w:r>
      <w:r w:rsidRPr="00C411E2">
        <w:rPr>
          <w:b/>
          <w:lang w:eastAsia="ja-JP"/>
        </w:rPr>
        <w:t xml:space="preserve"> </w:t>
      </w:r>
      <w:r w:rsidR="004379ED">
        <w:rPr>
          <w:b/>
          <w:sz w:val="24"/>
          <w:szCs w:val="24"/>
          <w:lang w:eastAsia="ja-JP"/>
        </w:rPr>
        <w:t>9</w:t>
      </w:r>
      <w:r w:rsidRPr="00F423B6">
        <w:rPr>
          <w:b/>
          <w:lang w:eastAsia="ja-JP"/>
        </w:rPr>
        <w:t>:</w:t>
      </w:r>
      <w:r w:rsidRPr="00C411E2">
        <w:rPr>
          <w:b/>
          <w:lang w:eastAsia="ja-JP"/>
        </w:rPr>
        <w:t xml:space="preserve"> </w:t>
      </w:r>
      <w:r w:rsidRPr="00EB0245">
        <w:rPr>
          <w:b/>
          <w:sz w:val="24"/>
          <w:szCs w:val="24"/>
          <w:lang w:eastAsia="ja-JP"/>
        </w:rPr>
        <w:t xml:space="preserve">Price </w:t>
      </w:r>
      <w:r>
        <w:rPr>
          <w:b/>
          <w:sz w:val="24"/>
          <w:szCs w:val="24"/>
          <w:lang w:eastAsia="ja-JP"/>
        </w:rPr>
        <w:t>E</w:t>
      </w:r>
      <w:r w:rsidRPr="00EB0245">
        <w:rPr>
          <w:b/>
          <w:sz w:val="24"/>
          <w:szCs w:val="24"/>
          <w:lang w:eastAsia="ja-JP"/>
        </w:rPr>
        <w:t xml:space="preserve">xpectations </w:t>
      </w:r>
      <w:r>
        <w:rPr>
          <w:b/>
          <w:sz w:val="24"/>
          <w:szCs w:val="24"/>
          <w:lang w:eastAsia="ja-JP"/>
        </w:rPr>
        <w:t>M</w:t>
      </w:r>
      <w:r w:rsidRPr="00EB0245">
        <w:rPr>
          <w:b/>
          <w:sz w:val="24"/>
          <w:szCs w:val="24"/>
          <w:lang w:eastAsia="ja-JP"/>
        </w:rPr>
        <w:t xml:space="preserve">odel </w:t>
      </w:r>
      <w:r>
        <w:rPr>
          <w:b/>
          <w:sz w:val="24"/>
          <w:szCs w:val="24"/>
          <w:lang w:eastAsia="ja-JP"/>
        </w:rPr>
        <w:t>E</w:t>
      </w:r>
      <w:r w:rsidRPr="00EB0245">
        <w:rPr>
          <w:b/>
          <w:sz w:val="24"/>
          <w:szCs w:val="24"/>
          <w:lang w:eastAsia="ja-JP"/>
        </w:rPr>
        <w:t>stimates</w:t>
      </w:r>
      <w:r w:rsidRPr="00C411E2">
        <w:rPr>
          <w:b/>
          <w:lang w:eastAsia="ja-JP"/>
        </w:rPr>
        <w:t xml:space="preserve"> </w:t>
      </w:r>
    </w:p>
    <w:tbl>
      <w:tblPr>
        <w:tblW w:w="8330" w:type="dxa"/>
        <w:tblLayout w:type="fixed"/>
        <w:tblLook w:val="04A0" w:firstRow="1" w:lastRow="0" w:firstColumn="1" w:lastColumn="0" w:noHBand="0" w:noVBand="1"/>
      </w:tblPr>
      <w:tblGrid>
        <w:gridCol w:w="1095"/>
        <w:gridCol w:w="1165"/>
        <w:gridCol w:w="1134"/>
        <w:gridCol w:w="1392"/>
        <w:gridCol w:w="1018"/>
        <w:gridCol w:w="1134"/>
        <w:gridCol w:w="1392"/>
      </w:tblGrid>
      <w:tr w:rsidR="00B67A3C" w:rsidRPr="00C411E2" w14:paraId="19EFCB95" w14:textId="77777777" w:rsidTr="00777918">
        <w:trPr>
          <w:trHeight w:val="315"/>
        </w:trPr>
        <w:tc>
          <w:tcPr>
            <w:tcW w:w="1095" w:type="dxa"/>
            <w:vMerge w:val="restart"/>
            <w:tcBorders>
              <w:top w:val="double" w:sz="6" w:space="0" w:color="auto"/>
              <w:left w:val="nil"/>
              <w:right w:val="single" w:sz="4" w:space="0" w:color="auto"/>
            </w:tcBorders>
            <w:shd w:val="clear" w:color="auto" w:fill="auto"/>
            <w:noWrap/>
            <w:vAlign w:val="center"/>
            <w:hideMark/>
          </w:tcPr>
          <w:p w14:paraId="24870AA0" w14:textId="77777777" w:rsidR="00B67A3C" w:rsidRPr="00C411E2" w:rsidRDefault="00B67A3C" w:rsidP="00777918">
            <w:pPr>
              <w:jc w:val="center"/>
              <w:rPr>
                <w:b/>
                <w:color w:val="000000"/>
                <w:lang w:eastAsia="ja-JP"/>
              </w:rPr>
            </w:pPr>
            <w:r>
              <w:rPr>
                <w:b/>
                <w:color w:val="000000"/>
                <w:lang w:eastAsia="ja-JP"/>
              </w:rPr>
              <w:t>High-liquidity</w:t>
            </w:r>
            <w:r w:rsidRPr="00C411E2">
              <w:rPr>
                <w:b/>
                <w:color w:val="000000"/>
                <w:lang w:eastAsia="ja-JP"/>
              </w:rPr>
              <w:t xml:space="preserve"> Session</w:t>
            </w:r>
          </w:p>
        </w:tc>
        <w:tc>
          <w:tcPr>
            <w:tcW w:w="3691" w:type="dxa"/>
            <w:gridSpan w:val="3"/>
            <w:tcBorders>
              <w:top w:val="double" w:sz="6" w:space="0" w:color="auto"/>
              <w:left w:val="nil"/>
              <w:bottom w:val="nil"/>
              <w:right w:val="single" w:sz="4" w:space="0" w:color="auto"/>
            </w:tcBorders>
            <w:shd w:val="clear" w:color="auto" w:fill="auto"/>
            <w:noWrap/>
            <w:vAlign w:val="center"/>
            <w:hideMark/>
          </w:tcPr>
          <w:p w14:paraId="6BAF6926" w14:textId="77777777" w:rsidR="00B67A3C" w:rsidRPr="009D751B" w:rsidRDefault="00B67A3C" w:rsidP="00777918">
            <w:pPr>
              <w:jc w:val="center"/>
              <w:rPr>
                <w:b/>
                <w:color w:val="000000"/>
                <w:sz w:val="19"/>
                <w:szCs w:val="19"/>
                <w:lang w:eastAsia="ja-JP"/>
              </w:rPr>
            </w:pPr>
            <w:r w:rsidRPr="009D751B">
              <w:rPr>
                <w:b/>
                <w:sz w:val="19"/>
                <w:szCs w:val="19"/>
                <w:lang w:eastAsia="ja-JP"/>
              </w:rPr>
              <w:t>Periods with dividend</w:t>
            </w:r>
            <w:r>
              <w:rPr>
                <w:b/>
                <w:sz w:val="19"/>
                <w:szCs w:val="19"/>
                <w:lang w:eastAsia="ja-JP"/>
              </w:rPr>
              <w:t>-</w:t>
            </w:r>
            <w:r w:rsidRPr="009D751B">
              <w:rPr>
                <w:b/>
                <w:sz w:val="19"/>
                <w:szCs w:val="19"/>
                <w:lang w:eastAsia="ja-JP"/>
              </w:rPr>
              <w:t>collecting investors</w:t>
            </w:r>
          </w:p>
        </w:tc>
        <w:tc>
          <w:tcPr>
            <w:tcW w:w="3544" w:type="dxa"/>
            <w:gridSpan w:val="3"/>
            <w:tcBorders>
              <w:top w:val="double" w:sz="6" w:space="0" w:color="auto"/>
              <w:left w:val="single" w:sz="4" w:space="0" w:color="auto"/>
              <w:bottom w:val="nil"/>
            </w:tcBorders>
            <w:shd w:val="clear" w:color="auto" w:fill="auto"/>
            <w:noWrap/>
            <w:vAlign w:val="center"/>
            <w:hideMark/>
          </w:tcPr>
          <w:p w14:paraId="4361CC84" w14:textId="77777777" w:rsidR="00B67A3C" w:rsidRPr="00C411E2" w:rsidRDefault="00B67A3C" w:rsidP="00777918">
            <w:pPr>
              <w:jc w:val="center"/>
              <w:rPr>
                <w:b/>
                <w:bCs/>
                <w:color w:val="000000"/>
                <w:lang w:eastAsia="ja-JP"/>
              </w:rPr>
            </w:pPr>
            <w:r w:rsidRPr="00C411E2">
              <w:rPr>
                <w:b/>
                <w:lang w:eastAsia="ja-JP"/>
              </w:rPr>
              <w:t xml:space="preserve">Periods with </w:t>
            </w:r>
            <w:r>
              <w:rPr>
                <w:b/>
                <w:lang w:eastAsia="ja-JP"/>
              </w:rPr>
              <w:t xml:space="preserve">only </w:t>
            </w:r>
            <w:r>
              <w:rPr>
                <w:rFonts w:hint="eastAsia"/>
                <w:b/>
                <w:lang w:eastAsia="ja-JP"/>
              </w:rPr>
              <w:t>speculating investors</w:t>
            </w:r>
            <w:r w:rsidRPr="00C411E2">
              <w:rPr>
                <w:b/>
                <w:lang w:eastAsia="ja-JP"/>
              </w:rPr>
              <w:t xml:space="preserve"> </w:t>
            </w:r>
          </w:p>
        </w:tc>
      </w:tr>
      <w:tr w:rsidR="00B67A3C" w:rsidRPr="00C411E2" w14:paraId="1C98E419" w14:textId="77777777" w:rsidTr="00777918">
        <w:trPr>
          <w:trHeight w:val="300"/>
        </w:trPr>
        <w:tc>
          <w:tcPr>
            <w:tcW w:w="1095" w:type="dxa"/>
            <w:vMerge/>
            <w:tcBorders>
              <w:left w:val="nil"/>
              <w:bottom w:val="single" w:sz="4" w:space="0" w:color="auto"/>
              <w:right w:val="single" w:sz="4" w:space="0" w:color="auto"/>
            </w:tcBorders>
            <w:shd w:val="clear" w:color="auto" w:fill="auto"/>
            <w:noWrap/>
            <w:vAlign w:val="center"/>
            <w:hideMark/>
          </w:tcPr>
          <w:p w14:paraId="1F61CEA0" w14:textId="77777777" w:rsidR="00B67A3C" w:rsidRPr="00C411E2" w:rsidRDefault="00B67A3C" w:rsidP="00777918">
            <w:pPr>
              <w:jc w:val="center"/>
              <w:rPr>
                <w:rFonts w:eastAsia="Times New Roman"/>
                <w:color w:val="000000"/>
              </w:rPr>
            </w:pPr>
          </w:p>
        </w:tc>
        <w:tc>
          <w:tcPr>
            <w:tcW w:w="1165" w:type="dxa"/>
            <w:tcBorders>
              <w:top w:val="nil"/>
              <w:left w:val="nil"/>
              <w:bottom w:val="single" w:sz="4" w:space="0" w:color="auto"/>
              <w:right w:val="nil"/>
            </w:tcBorders>
            <w:shd w:val="clear" w:color="auto" w:fill="auto"/>
            <w:noWrap/>
            <w:vAlign w:val="center"/>
            <w:hideMark/>
          </w:tcPr>
          <w:p w14:paraId="06408C25" w14:textId="77777777" w:rsidR="00B67A3C" w:rsidRPr="00C411E2" w:rsidRDefault="00B67A3C" w:rsidP="00777918">
            <w:pPr>
              <w:jc w:val="center"/>
              <w:rPr>
                <w:color w:val="000000"/>
                <w:lang w:eastAsia="ja-JP"/>
              </w:rPr>
            </w:pPr>
            <w:r w:rsidRPr="00C411E2">
              <w:rPr>
                <w:rFonts w:eastAsia="Times New Roman"/>
                <w:color w:val="000000"/>
              </w:rPr>
              <w:t>FUND</w:t>
            </w:r>
          </w:p>
        </w:tc>
        <w:tc>
          <w:tcPr>
            <w:tcW w:w="1134" w:type="dxa"/>
            <w:tcBorders>
              <w:top w:val="nil"/>
              <w:left w:val="nil"/>
              <w:bottom w:val="single" w:sz="4" w:space="0" w:color="auto"/>
              <w:right w:val="nil"/>
            </w:tcBorders>
            <w:shd w:val="clear" w:color="auto" w:fill="auto"/>
            <w:noWrap/>
            <w:vAlign w:val="center"/>
            <w:hideMark/>
          </w:tcPr>
          <w:p w14:paraId="754D2DDF" w14:textId="77777777" w:rsidR="00B67A3C" w:rsidRPr="00C411E2" w:rsidRDefault="00B67A3C" w:rsidP="00777918">
            <w:pPr>
              <w:jc w:val="center"/>
              <w:rPr>
                <w:rFonts w:eastAsia="Times New Roman"/>
                <w:color w:val="000000"/>
              </w:rPr>
            </w:pPr>
            <w:r w:rsidRPr="00C411E2">
              <w:rPr>
                <w:color w:val="000000"/>
                <w:lang w:eastAsia="ja-JP"/>
              </w:rPr>
              <w:t>TREND</w:t>
            </w:r>
          </w:p>
        </w:tc>
        <w:tc>
          <w:tcPr>
            <w:tcW w:w="1392" w:type="dxa"/>
            <w:tcBorders>
              <w:top w:val="nil"/>
              <w:left w:val="nil"/>
              <w:bottom w:val="single" w:sz="4" w:space="0" w:color="auto"/>
              <w:right w:val="single" w:sz="4" w:space="0" w:color="auto"/>
            </w:tcBorders>
            <w:vAlign w:val="center"/>
          </w:tcPr>
          <w:p w14:paraId="2CE5BA53" w14:textId="77777777" w:rsidR="00B67A3C" w:rsidRPr="00C411E2" w:rsidRDefault="00B67A3C" w:rsidP="00777918">
            <w:pPr>
              <w:jc w:val="center"/>
              <w:rPr>
                <w:color w:val="000000"/>
                <w:lang w:eastAsia="ja-JP"/>
              </w:rPr>
            </w:pPr>
            <w:r w:rsidRPr="00C411E2">
              <w:rPr>
                <w:color w:val="000000"/>
                <w:lang w:eastAsia="ja-JP"/>
              </w:rPr>
              <w:t>COMBINED</w:t>
            </w:r>
          </w:p>
        </w:tc>
        <w:tc>
          <w:tcPr>
            <w:tcW w:w="1018" w:type="dxa"/>
            <w:tcBorders>
              <w:top w:val="nil"/>
              <w:left w:val="single" w:sz="4" w:space="0" w:color="auto"/>
              <w:bottom w:val="single" w:sz="4" w:space="0" w:color="auto"/>
              <w:right w:val="nil"/>
            </w:tcBorders>
            <w:shd w:val="clear" w:color="auto" w:fill="auto"/>
            <w:noWrap/>
            <w:vAlign w:val="center"/>
            <w:hideMark/>
          </w:tcPr>
          <w:p w14:paraId="0429D4CD" w14:textId="77777777" w:rsidR="00B67A3C" w:rsidRPr="00C411E2" w:rsidRDefault="00B67A3C" w:rsidP="00777918">
            <w:pPr>
              <w:jc w:val="center"/>
              <w:rPr>
                <w:rFonts w:eastAsia="Times New Roman"/>
                <w:color w:val="000000"/>
              </w:rPr>
            </w:pPr>
            <w:r w:rsidRPr="00C411E2">
              <w:rPr>
                <w:color w:val="000000"/>
                <w:lang w:eastAsia="ja-JP"/>
              </w:rPr>
              <w:t>FUND</w:t>
            </w:r>
          </w:p>
        </w:tc>
        <w:tc>
          <w:tcPr>
            <w:tcW w:w="1134" w:type="dxa"/>
            <w:tcBorders>
              <w:top w:val="nil"/>
              <w:left w:val="nil"/>
              <w:bottom w:val="single" w:sz="4" w:space="0" w:color="auto"/>
              <w:right w:val="nil"/>
            </w:tcBorders>
            <w:shd w:val="clear" w:color="auto" w:fill="auto"/>
            <w:noWrap/>
            <w:vAlign w:val="center"/>
            <w:hideMark/>
          </w:tcPr>
          <w:p w14:paraId="53D57D5C" w14:textId="77777777" w:rsidR="00B67A3C" w:rsidRPr="00C411E2" w:rsidRDefault="00B67A3C" w:rsidP="00777918">
            <w:pPr>
              <w:jc w:val="center"/>
              <w:rPr>
                <w:rFonts w:eastAsia="Times New Roman"/>
                <w:color w:val="000000"/>
              </w:rPr>
            </w:pPr>
            <w:r w:rsidRPr="00C411E2">
              <w:rPr>
                <w:color w:val="000000"/>
                <w:lang w:eastAsia="ja-JP"/>
              </w:rPr>
              <w:t>TREND</w:t>
            </w:r>
          </w:p>
        </w:tc>
        <w:tc>
          <w:tcPr>
            <w:tcW w:w="1392" w:type="dxa"/>
            <w:tcBorders>
              <w:top w:val="nil"/>
              <w:left w:val="nil"/>
              <w:bottom w:val="single" w:sz="4" w:space="0" w:color="auto"/>
            </w:tcBorders>
            <w:vAlign w:val="center"/>
          </w:tcPr>
          <w:p w14:paraId="403717CD" w14:textId="77777777" w:rsidR="00B67A3C" w:rsidRPr="00C411E2" w:rsidRDefault="00B67A3C" w:rsidP="00777918">
            <w:pPr>
              <w:jc w:val="center"/>
              <w:rPr>
                <w:color w:val="000000"/>
                <w:lang w:eastAsia="ja-JP"/>
              </w:rPr>
            </w:pPr>
            <w:r w:rsidRPr="00C411E2">
              <w:rPr>
                <w:color w:val="000000"/>
                <w:lang w:eastAsia="ja-JP"/>
              </w:rPr>
              <w:t>COMBINED</w:t>
            </w:r>
          </w:p>
        </w:tc>
      </w:tr>
      <w:tr w:rsidR="00B67A3C" w:rsidRPr="00C411E2" w14:paraId="6EA6DA58"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307357A5" w14:textId="77777777" w:rsidR="00B67A3C" w:rsidRPr="00C411E2" w:rsidRDefault="00B67A3C" w:rsidP="00777918">
            <w:pPr>
              <w:jc w:val="center"/>
              <w:rPr>
                <w:rFonts w:eastAsia="Times New Roman"/>
                <w:color w:val="000000"/>
              </w:rPr>
            </w:pPr>
            <w:r w:rsidRPr="00C411E2">
              <w:rPr>
                <w:rFonts w:eastAsia="Times New Roman"/>
                <w:color w:val="000000"/>
              </w:rPr>
              <w:t>Const.</w:t>
            </w:r>
          </w:p>
        </w:tc>
        <w:tc>
          <w:tcPr>
            <w:tcW w:w="1165" w:type="dxa"/>
            <w:tcBorders>
              <w:top w:val="nil"/>
              <w:left w:val="nil"/>
              <w:bottom w:val="nil"/>
              <w:right w:val="nil"/>
            </w:tcBorders>
            <w:shd w:val="clear" w:color="auto" w:fill="auto"/>
            <w:noWrap/>
            <w:vAlign w:val="center"/>
            <w:hideMark/>
          </w:tcPr>
          <w:p w14:paraId="53F61022" w14:textId="77777777" w:rsidR="00B67A3C" w:rsidRPr="00C411E2" w:rsidRDefault="00B67A3C" w:rsidP="00777918">
            <w:pPr>
              <w:jc w:val="center"/>
              <w:rPr>
                <w:rFonts w:eastAsia="Times New Roman"/>
                <w:color w:val="000000"/>
              </w:rPr>
            </w:pPr>
            <w:r w:rsidRPr="00C411E2">
              <w:rPr>
                <w:color w:val="000000"/>
                <w:lang w:eastAsia="ja-JP"/>
              </w:rPr>
              <w:t>1.672**</w:t>
            </w:r>
          </w:p>
        </w:tc>
        <w:tc>
          <w:tcPr>
            <w:tcW w:w="1134" w:type="dxa"/>
            <w:tcBorders>
              <w:top w:val="nil"/>
              <w:left w:val="nil"/>
              <w:bottom w:val="nil"/>
              <w:right w:val="nil"/>
            </w:tcBorders>
            <w:shd w:val="clear" w:color="auto" w:fill="auto"/>
            <w:noWrap/>
            <w:vAlign w:val="center"/>
            <w:hideMark/>
          </w:tcPr>
          <w:p w14:paraId="21D5D539" w14:textId="77777777" w:rsidR="00B67A3C" w:rsidRPr="00C411E2" w:rsidRDefault="00B67A3C" w:rsidP="00777918">
            <w:pPr>
              <w:jc w:val="center"/>
              <w:rPr>
                <w:rFonts w:eastAsia="Times New Roman"/>
                <w:color w:val="000000"/>
              </w:rPr>
            </w:pPr>
            <w:r w:rsidRPr="00C411E2">
              <w:rPr>
                <w:rFonts w:eastAsia="Times New Roman"/>
                <w:color w:val="000000"/>
              </w:rPr>
              <w:t>-</w:t>
            </w:r>
            <w:r w:rsidRPr="00C411E2">
              <w:rPr>
                <w:color w:val="000000"/>
                <w:lang w:eastAsia="ja-JP"/>
              </w:rPr>
              <w:t>0.709</w:t>
            </w:r>
          </w:p>
        </w:tc>
        <w:tc>
          <w:tcPr>
            <w:tcW w:w="1392" w:type="dxa"/>
            <w:tcBorders>
              <w:top w:val="nil"/>
              <w:left w:val="nil"/>
              <w:bottom w:val="nil"/>
              <w:right w:val="single" w:sz="4" w:space="0" w:color="auto"/>
            </w:tcBorders>
            <w:vAlign w:val="center"/>
          </w:tcPr>
          <w:p w14:paraId="2361C2A0" w14:textId="77777777" w:rsidR="00B67A3C" w:rsidRPr="00C411E2" w:rsidRDefault="00B67A3C" w:rsidP="00777918">
            <w:pPr>
              <w:jc w:val="center"/>
              <w:rPr>
                <w:color w:val="000000"/>
                <w:lang w:eastAsia="ja-JP"/>
              </w:rPr>
            </w:pPr>
            <w:r w:rsidRPr="00C411E2">
              <w:rPr>
                <w:color w:val="000000"/>
                <w:lang w:eastAsia="ja-JP"/>
              </w:rPr>
              <w:t>1.733**</w:t>
            </w:r>
          </w:p>
        </w:tc>
        <w:tc>
          <w:tcPr>
            <w:tcW w:w="1018" w:type="dxa"/>
            <w:tcBorders>
              <w:top w:val="nil"/>
              <w:left w:val="single" w:sz="4" w:space="0" w:color="auto"/>
              <w:bottom w:val="nil"/>
              <w:right w:val="nil"/>
            </w:tcBorders>
            <w:shd w:val="clear" w:color="auto" w:fill="auto"/>
            <w:noWrap/>
            <w:vAlign w:val="center"/>
            <w:hideMark/>
          </w:tcPr>
          <w:p w14:paraId="78744292" w14:textId="77777777" w:rsidR="00B67A3C" w:rsidRPr="00C411E2" w:rsidRDefault="00B67A3C" w:rsidP="00777918">
            <w:pPr>
              <w:jc w:val="center"/>
              <w:rPr>
                <w:rFonts w:eastAsia="Times New Roman"/>
                <w:color w:val="000000"/>
              </w:rPr>
            </w:pPr>
            <w:r w:rsidRPr="00C411E2">
              <w:rPr>
                <w:color w:val="000000"/>
                <w:lang w:eastAsia="ja-JP"/>
              </w:rPr>
              <w:t>4.159**</w:t>
            </w:r>
          </w:p>
        </w:tc>
        <w:tc>
          <w:tcPr>
            <w:tcW w:w="1134" w:type="dxa"/>
            <w:tcBorders>
              <w:top w:val="nil"/>
              <w:left w:val="nil"/>
              <w:bottom w:val="nil"/>
              <w:right w:val="nil"/>
            </w:tcBorders>
            <w:shd w:val="clear" w:color="auto" w:fill="auto"/>
            <w:noWrap/>
            <w:vAlign w:val="center"/>
            <w:hideMark/>
          </w:tcPr>
          <w:p w14:paraId="1F2AE210" w14:textId="77777777" w:rsidR="00B67A3C" w:rsidRPr="00C411E2" w:rsidRDefault="00B67A3C" w:rsidP="00777918">
            <w:pPr>
              <w:jc w:val="center"/>
              <w:rPr>
                <w:rFonts w:eastAsia="Times New Roman"/>
                <w:color w:val="000000"/>
              </w:rPr>
            </w:pPr>
            <w:r w:rsidRPr="00C411E2">
              <w:rPr>
                <w:color w:val="000000"/>
                <w:lang w:eastAsia="ja-JP"/>
              </w:rPr>
              <w:t>-2.611*</w:t>
            </w:r>
          </w:p>
        </w:tc>
        <w:tc>
          <w:tcPr>
            <w:tcW w:w="1392" w:type="dxa"/>
            <w:tcBorders>
              <w:top w:val="nil"/>
              <w:left w:val="nil"/>
              <w:bottom w:val="nil"/>
            </w:tcBorders>
            <w:vAlign w:val="center"/>
          </w:tcPr>
          <w:p w14:paraId="4B2F3F93" w14:textId="77777777" w:rsidR="00B67A3C" w:rsidRPr="00C411E2" w:rsidRDefault="00B67A3C" w:rsidP="00777918">
            <w:pPr>
              <w:jc w:val="center"/>
              <w:rPr>
                <w:color w:val="000000"/>
                <w:lang w:eastAsia="ja-JP"/>
              </w:rPr>
            </w:pPr>
            <w:r w:rsidRPr="00C411E2">
              <w:rPr>
                <w:color w:val="000000"/>
                <w:lang w:eastAsia="ja-JP"/>
              </w:rPr>
              <w:t>0.515</w:t>
            </w:r>
          </w:p>
        </w:tc>
      </w:tr>
      <w:tr w:rsidR="00B67A3C" w:rsidRPr="00C411E2" w14:paraId="04300DEF"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12134A0C" w14:textId="77777777" w:rsidR="00B67A3C" w:rsidRPr="00C411E2" w:rsidRDefault="00B67A3C" w:rsidP="00777918">
            <w:pPr>
              <w:jc w:val="center"/>
              <w:rPr>
                <w:rFonts w:eastAsia="Times New Roman"/>
                <w:color w:val="000000"/>
              </w:rPr>
            </w:pPr>
          </w:p>
        </w:tc>
        <w:tc>
          <w:tcPr>
            <w:tcW w:w="1165" w:type="dxa"/>
            <w:tcBorders>
              <w:top w:val="nil"/>
              <w:left w:val="nil"/>
              <w:bottom w:val="nil"/>
              <w:right w:val="nil"/>
            </w:tcBorders>
            <w:shd w:val="clear" w:color="auto" w:fill="auto"/>
            <w:noWrap/>
            <w:vAlign w:val="center"/>
            <w:hideMark/>
          </w:tcPr>
          <w:p w14:paraId="090C6D61"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622</w:t>
            </w:r>
            <w:r w:rsidRPr="00C411E2">
              <w:rPr>
                <w:rFonts w:eastAsia="Times New Roman"/>
                <w:color w:val="000000"/>
              </w:rPr>
              <w:t>)</w:t>
            </w:r>
          </w:p>
        </w:tc>
        <w:tc>
          <w:tcPr>
            <w:tcW w:w="1134" w:type="dxa"/>
            <w:tcBorders>
              <w:top w:val="nil"/>
              <w:left w:val="nil"/>
              <w:bottom w:val="nil"/>
              <w:right w:val="nil"/>
            </w:tcBorders>
            <w:shd w:val="clear" w:color="auto" w:fill="auto"/>
            <w:noWrap/>
            <w:vAlign w:val="center"/>
            <w:hideMark/>
          </w:tcPr>
          <w:p w14:paraId="3CCCCC80" w14:textId="77777777" w:rsidR="00B67A3C" w:rsidRPr="00C411E2" w:rsidRDefault="00B67A3C" w:rsidP="00777918">
            <w:pPr>
              <w:jc w:val="center"/>
              <w:rPr>
                <w:rFonts w:eastAsia="Times New Roman"/>
                <w:color w:val="000000"/>
              </w:rPr>
            </w:pPr>
            <w:r w:rsidRPr="00C411E2">
              <w:rPr>
                <w:rFonts w:eastAsia="Times New Roman"/>
                <w:color w:val="000000"/>
              </w:rPr>
              <w:t>(</w:t>
            </w:r>
            <w:r w:rsidRPr="00C411E2">
              <w:rPr>
                <w:color w:val="000000"/>
                <w:lang w:eastAsia="ja-JP"/>
              </w:rPr>
              <w:t>1.595</w:t>
            </w:r>
            <w:r w:rsidRPr="00C411E2">
              <w:rPr>
                <w:rFonts w:eastAsia="Times New Roman"/>
                <w:color w:val="000000"/>
              </w:rPr>
              <w:t>)</w:t>
            </w:r>
          </w:p>
        </w:tc>
        <w:tc>
          <w:tcPr>
            <w:tcW w:w="1392" w:type="dxa"/>
            <w:tcBorders>
              <w:top w:val="nil"/>
              <w:left w:val="nil"/>
              <w:bottom w:val="nil"/>
              <w:right w:val="single" w:sz="4" w:space="0" w:color="auto"/>
            </w:tcBorders>
            <w:vAlign w:val="center"/>
          </w:tcPr>
          <w:p w14:paraId="17CE0F10" w14:textId="77777777" w:rsidR="00B67A3C" w:rsidRPr="00C411E2" w:rsidRDefault="00B67A3C" w:rsidP="00777918">
            <w:pPr>
              <w:jc w:val="center"/>
              <w:rPr>
                <w:color w:val="000000"/>
                <w:lang w:eastAsia="ja-JP"/>
              </w:rPr>
            </w:pPr>
            <w:r w:rsidRPr="00C411E2">
              <w:rPr>
                <w:color w:val="000000"/>
                <w:lang w:eastAsia="ja-JP"/>
              </w:rPr>
              <w:t>(0.620)</w:t>
            </w:r>
          </w:p>
        </w:tc>
        <w:tc>
          <w:tcPr>
            <w:tcW w:w="1018" w:type="dxa"/>
            <w:tcBorders>
              <w:top w:val="nil"/>
              <w:left w:val="single" w:sz="4" w:space="0" w:color="auto"/>
              <w:bottom w:val="nil"/>
              <w:right w:val="nil"/>
            </w:tcBorders>
            <w:shd w:val="clear" w:color="auto" w:fill="auto"/>
            <w:noWrap/>
            <w:vAlign w:val="center"/>
            <w:hideMark/>
          </w:tcPr>
          <w:p w14:paraId="57249401" w14:textId="77777777" w:rsidR="00B67A3C" w:rsidRPr="00C411E2" w:rsidRDefault="00B67A3C" w:rsidP="00777918">
            <w:pPr>
              <w:jc w:val="center"/>
              <w:rPr>
                <w:rFonts w:eastAsia="Times New Roman"/>
                <w:color w:val="000000"/>
              </w:rPr>
            </w:pPr>
            <w:r w:rsidRPr="00C411E2">
              <w:rPr>
                <w:rFonts w:eastAsia="Times New Roman"/>
                <w:color w:val="000000"/>
              </w:rPr>
              <w:t>(</w:t>
            </w:r>
            <w:r w:rsidRPr="00C411E2">
              <w:rPr>
                <w:color w:val="000000"/>
                <w:lang w:eastAsia="ja-JP"/>
              </w:rPr>
              <w:t>1.895</w:t>
            </w:r>
            <w:r w:rsidRPr="00C411E2">
              <w:rPr>
                <w:rFonts w:eastAsia="Times New Roman"/>
                <w:color w:val="000000"/>
              </w:rPr>
              <w:t>)</w:t>
            </w:r>
          </w:p>
        </w:tc>
        <w:tc>
          <w:tcPr>
            <w:tcW w:w="1134" w:type="dxa"/>
            <w:tcBorders>
              <w:top w:val="nil"/>
              <w:left w:val="nil"/>
              <w:bottom w:val="nil"/>
              <w:right w:val="nil"/>
            </w:tcBorders>
            <w:shd w:val="clear" w:color="auto" w:fill="auto"/>
            <w:noWrap/>
            <w:vAlign w:val="center"/>
            <w:hideMark/>
          </w:tcPr>
          <w:p w14:paraId="314ED73C" w14:textId="77777777" w:rsidR="00B67A3C" w:rsidRPr="00C411E2" w:rsidRDefault="00B67A3C" w:rsidP="00777918">
            <w:pPr>
              <w:jc w:val="center"/>
              <w:rPr>
                <w:rFonts w:eastAsia="Times New Roman"/>
                <w:color w:val="000000"/>
              </w:rPr>
            </w:pPr>
            <w:r w:rsidRPr="00C411E2">
              <w:rPr>
                <w:rFonts w:eastAsia="Times New Roman"/>
                <w:color w:val="000000"/>
              </w:rPr>
              <w:t>(</w:t>
            </w:r>
            <w:r w:rsidRPr="00C411E2">
              <w:rPr>
                <w:color w:val="000000"/>
                <w:lang w:eastAsia="ja-JP"/>
              </w:rPr>
              <w:t>1.310</w:t>
            </w:r>
            <w:r w:rsidRPr="00C411E2">
              <w:rPr>
                <w:rFonts w:eastAsia="Times New Roman"/>
                <w:color w:val="000000"/>
              </w:rPr>
              <w:t>)</w:t>
            </w:r>
          </w:p>
        </w:tc>
        <w:tc>
          <w:tcPr>
            <w:tcW w:w="1392" w:type="dxa"/>
            <w:tcBorders>
              <w:top w:val="nil"/>
              <w:left w:val="nil"/>
              <w:bottom w:val="nil"/>
            </w:tcBorders>
            <w:vAlign w:val="center"/>
          </w:tcPr>
          <w:p w14:paraId="38A3EFB7" w14:textId="77777777" w:rsidR="00B67A3C" w:rsidRPr="00C411E2" w:rsidRDefault="00B67A3C" w:rsidP="00777918">
            <w:pPr>
              <w:jc w:val="center"/>
              <w:rPr>
                <w:color w:val="000000"/>
                <w:lang w:eastAsia="ja-JP"/>
              </w:rPr>
            </w:pPr>
            <w:r w:rsidRPr="00C411E2">
              <w:rPr>
                <w:color w:val="000000"/>
                <w:lang w:eastAsia="ja-JP"/>
              </w:rPr>
              <w:t>(1.449)</w:t>
            </w:r>
          </w:p>
        </w:tc>
      </w:tr>
      <w:tr w:rsidR="00B67A3C" w:rsidRPr="00C411E2" w14:paraId="468E4382" w14:textId="77777777" w:rsidTr="00777918">
        <w:trPr>
          <w:trHeight w:val="360"/>
        </w:trPr>
        <w:tc>
          <w:tcPr>
            <w:tcW w:w="1095" w:type="dxa"/>
            <w:tcBorders>
              <w:top w:val="nil"/>
              <w:left w:val="nil"/>
              <w:bottom w:val="nil"/>
              <w:right w:val="single" w:sz="4" w:space="0" w:color="auto"/>
            </w:tcBorders>
            <w:shd w:val="clear" w:color="auto" w:fill="auto"/>
            <w:noWrap/>
            <w:vAlign w:val="center"/>
            <w:hideMark/>
          </w:tcPr>
          <w:p w14:paraId="4293441E" w14:textId="77777777" w:rsidR="00B67A3C" w:rsidRPr="00C411E2" w:rsidRDefault="00B67A3C" w:rsidP="00777918">
            <w:pPr>
              <w:jc w:val="center"/>
              <w:rPr>
                <w:rFonts w:eastAsia="Times New Roman"/>
                <w:color w:val="000000"/>
              </w:rPr>
            </w:pPr>
            <w:r w:rsidRPr="00C411E2">
              <w:rPr>
                <w:rFonts w:eastAsia="Times New Roman"/>
                <w:color w:val="000000"/>
              </w:rPr>
              <w:t>(</w:t>
            </w:r>
            <w:r w:rsidRPr="00C411E2">
              <w:rPr>
                <w:color w:val="000000"/>
                <w:lang w:eastAsia="ja-JP"/>
              </w:rPr>
              <w:t>F</w:t>
            </w:r>
            <w:r w:rsidRPr="00C411E2">
              <w:rPr>
                <w:color w:val="000000"/>
                <w:vertAlign w:val="subscript"/>
                <w:lang w:eastAsia="ja-JP"/>
              </w:rPr>
              <w:t>t</w:t>
            </w:r>
            <w:r w:rsidRPr="00C411E2">
              <w:rPr>
                <w:rFonts w:eastAsia="Times New Roman"/>
                <w:color w:val="000000"/>
              </w:rPr>
              <w:t xml:space="preserve"> - P</w:t>
            </w:r>
            <w:r w:rsidRPr="00C411E2">
              <w:rPr>
                <w:rFonts w:eastAsia="Times New Roman"/>
                <w:color w:val="000000"/>
                <w:vertAlign w:val="subscript"/>
              </w:rPr>
              <w:t>t</w:t>
            </w:r>
            <w:r w:rsidRPr="00C411E2">
              <w:rPr>
                <w:rFonts w:eastAsia="Times New Roman"/>
                <w:color w:val="000000"/>
              </w:rPr>
              <w:t>)</w:t>
            </w:r>
          </w:p>
        </w:tc>
        <w:tc>
          <w:tcPr>
            <w:tcW w:w="1165" w:type="dxa"/>
            <w:tcBorders>
              <w:top w:val="nil"/>
              <w:left w:val="nil"/>
              <w:bottom w:val="nil"/>
              <w:right w:val="nil"/>
            </w:tcBorders>
            <w:shd w:val="clear" w:color="auto" w:fill="auto"/>
            <w:noWrap/>
            <w:vAlign w:val="center"/>
            <w:hideMark/>
          </w:tcPr>
          <w:p w14:paraId="26A918E1"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197*</w:t>
            </w:r>
            <w:r w:rsidRPr="00C411E2">
              <w:rPr>
                <w:rFonts w:eastAsia="Times New Roman"/>
                <w:color w:val="000000"/>
              </w:rPr>
              <w:t>**</w:t>
            </w:r>
          </w:p>
        </w:tc>
        <w:tc>
          <w:tcPr>
            <w:tcW w:w="1134" w:type="dxa"/>
            <w:tcBorders>
              <w:top w:val="nil"/>
              <w:left w:val="nil"/>
              <w:bottom w:val="nil"/>
              <w:right w:val="nil"/>
            </w:tcBorders>
            <w:shd w:val="clear" w:color="auto" w:fill="auto"/>
            <w:noWrap/>
            <w:vAlign w:val="center"/>
            <w:hideMark/>
          </w:tcPr>
          <w:p w14:paraId="402C2B62" w14:textId="77777777" w:rsidR="00B67A3C" w:rsidRPr="00C411E2" w:rsidRDefault="00B67A3C" w:rsidP="00777918">
            <w:pPr>
              <w:jc w:val="center"/>
              <w:rPr>
                <w:rFonts w:eastAsia="Times New Roman"/>
                <w:color w:val="000000"/>
              </w:rPr>
            </w:pPr>
          </w:p>
        </w:tc>
        <w:tc>
          <w:tcPr>
            <w:tcW w:w="1392" w:type="dxa"/>
            <w:tcBorders>
              <w:top w:val="nil"/>
              <w:left w:val="nil"/>
              <w:bottom w:val="nil"/>
              <w:right w:val="single" w:sz="4" w:space="0" w:color="auto"/>
            </w:tcBorders>
            <w:vAlign w:val="center"/>
          </w:tcPr>
          <w:p w14:paraId="7989188D" w14:textId="77777777" w:rsidR="00B67A3C" w:rsidRPr="00C411E2" w:rsidRDefault="00B67A3C" w:rsidP="00777918">
            <w:pPr>
              <w:jc w:val="center"/>
              <w:rPr>
                <w:color w:val="000000"/>
                <w:lang w:eastAsia="ja-JP"/>
              </w:rPr>
            </w:pPr>
            <w:r w:rsidRPr="00C411E2">
              <w:rPr>
                <w:color w:val="000000"/>
                <w:lang w:eastAsia="ja-JP"/>
              </w:rPr>
              <w:t>0.211***</w:t>
            </w:r>
          </w:p>
        </w:tc>
        <w:tc>
          <w:tcPr>
            <w:tcW w:w="1018" w:type="dxa"/>
            <w:tcBorders>
              <w:top w:val="nil"/>
              <w:left w:val="single" w:sz="4" w:space="0" w:color="auto"/>
              <w:bottom w:val="nil"/>
              <w:right w:val="nil"/>
            </w:tcBorders>
            <w:shd w:val="clear" w:color="auto" w:fill="auto"/>
            <w:noWrap/>
            <w:vAlign w:val="center"/>
            <w:hideMark/>
          </w:tcPr>
          <w:p w14:paraId="1B7FE424" w14:textId="77777777" w:rsidR="00B67A3C" w:rsidRPr="00C411E2" w:rsidRDefault="00B67A3C" w:rsidP="00777918">
            <w:pPr>
              <w:jc w:val="center"/>
              <w:rPr>
                <w:color w:val="000000"/>
                <w:lang w:eastAsia="ja-JP"/>
              </w:rPr>
            </w:pPr>
            <w:r w:rsidRPr="00C411E2">
              <w:rPr>
                <w:color w:val="000000"/>
                <w:lang w:eastAsia="ja-JP"/>
              </w:rPr>
              <w:t>0.109*</w:t>
            </w:r>
          </w:p>
        </w:tc>
        <w:tc>
          <w:tcPr>
            <w:tcW w:w="1134" w:type="dxa"/>
            <w:tcBorders>
              <w:top w:val="nil"/>
              <w:left w:val="nil"/>
              <w:bottom w:val="nil"/>
              <w:right w:val="nil"/>
            </w:tcBorders>
            <w:shd w:val="clear" w:color="auto" w:fill="auto"/>
            <w:noWrap/>
            <w:vAlign w:val="center"/>
            <w:hideMark/>
          </w:tcPr>
          <w:p w14:paraId="146009EE" w14:textId="77777777" w:rsidR="00B67A3C" w:rsidRPr="00C411E2" w:rsidRDefault="00B67A3C" w:rsidP="00777918">
            <w:pPr>
              <w:jc w:val="center"/>
              <w:rPr>
                <w:rFonts w:eastAsia="Times New Roman"/>
                <w:color w:val="000000"/>
              </w:rPr>
            </w:pPr>
          </w:p>
        </w:tc>
        <w:tc>
          <w:tcPr>
            <w:tcW w:w="1392" w:type="dxa"/>
            <w:tcBorders>
              <w:top w:val="nil"/>
              <w:left w:val="nil"/>
              <w:bottom w:val="nil"/>
            </w:tcBorders>
            <w:vAlign w:val="center"/>
          </w:tcPr>
          <w:p w14:paraId="4369A290" w14:textId="77777777" w:rsidR="00B67A3C" w:rsidRPr="00C411E2" w:rsidRDefault="00B67A3C" w:rsidP="00777918">
            <w:pPr>
              <w:jc w:val="center"/>
              <w:rPr>
                <w:color w:val="000000"/>
                <w:lang w:eastAsia="ja-JP"/>
              </w:rPr>
            </w:pPr>
            <w:r w:rsidRPr="00C411E2">
              <w:rPr>
                <w:color w:val="000000"/>
                <w:lang w:eastAsia="ja-JP"/>
              </w:rPr>
              <w:t>0.078</w:t>
            </w:r>
          </w:p>
        </w:tc>
      </w:tr>
      <w:tr w:rsidR="00B67A3C" w:rsidRPr="00C411E2" w14:paraId="427665A3"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5AC099DB" w14:textId="77777777" w:rsidR="00B67A3C" w:rsidRPr="00C411E2" w:rsidRDefault="00B67A3C" w:rsidP="00777918">
            <w:pPr>
              <w:jc w:val="center"/>
              <w:rPr>
                <w:rFonts w:eastAsia="Times New Roman"/>
                <w:color w:val="000000"/>
              </w:rPr>
            </w:pPr>
          </w:p>
        </w:tc>
        <w:tc>
          <w:tcPr>
            <w:tcW w:w="1165" w:type="dxa"/>
            <w:tcBorders>
              <w:top w:val="nil"/>
              <w:left w:val="nil"/>
              <w:bottom w:val="nil"/>
              <w:right w:val="nil"/>
            </w:tcBorders>
            <w:shd w:val="clear" w:color="auto" w:fill="auto"/>
            <w:noWrap/>
            <w:vAlign w:val="center"/>
            <w:hideMark/>
          </w:tcPr>
          <w:p w14:paraId="29DB5947"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043</w:t>
            </w:r>
            <w:r w:rsidRPr="00C411E2">
              <w:rPr>
                <w:rFonts w:eastAsia="Times New Roman"/>
                <w:color w:val="000000"/>
              </w:rPr>
              <w:t>)</w:t>
            </w:r>
          </w:p>
        </w:tc>
        <w:tc>
          <w:tcPr>
            <w:tcW w:w="1134" w:type="dxa"/>
            <w:tcBorders>
              <w:top w:val="nil"/>
              <w:left w:val="nil"/>
              <w:bottom w:val="nil"/>
              <w:right w:val="nil"/>
            </w:tcBorders>
            <w:shd w:val="clear" w:color="auto" w:fill="auto"/>
            <w:noWrap/>
            <w:vAlign w:val="center"/>
            <w:hideMark/>
          </w:tcPr>
          <w:p w14:paraId="5EFCAFCA" w14:textId="77777777" w:rsidR="00B67A3C" w:rsidRPr="00C411E2" w:rsidRDefault="00B67A3C" w:rsidP="00777918">
            <w:pPr>
              <w:jc w:val="center"/>
              <w:rPr>
                <w:rFonts w:eastAsia="Times New Roman"/>
                <w:color w:val="000000"/>
              </w:rPr>
            </w:pPr>
          </w:p>
        </w:tc>
        <w:tc>
          <w:tcPr>
            <w:tcW w:w="1392" w:type="dxa"/>
            <w:tcBorders>
              <w:top w:val="nil"/>
              <w:left w:val="nil"/>
              <w:bottom w:val="nil"/>
              <w:right w:val="single" w:sz="4" w:space="0" w:color="auto"/>
            </w:tcBorders>
            <w:vAlign w:val="center"/>
          </w:tcPr>
          <w:p w14:paraId="1EF0BEAA" w14:textId="77777777" w:rsidR="00B67A3C" w:rsidRPr="00C411E2" w:rsidRDefault="00B67A3C" w:rsidP="00777918">
            <w:pPr>
              <w:jc w:val="center"/>
              <w:rPr>
                <w:color w:val="000000"/>
                <w:lang w:eastAsia="ja-JP"/>
              </w:rPr>
            </w:pPr>
            <w:r w:rsidRPr="00C411E2">
              <w:rPr>
                <w:color w:val="000000"/>
                <w:lang w:eastAsia="ja-JP"/>
              </w:rPr>
              <w:t>(0.053)</w:t>
            </w:r>
          </w:p>
        </w:tc>
        <w:tc>
          <w:tcPr>
            <w:tcW w:w="1018" w:type="dxa"/>
            <w:tcBorders>
              <w:top w:val="nil"/>
              <w:left w:val="single" w:sz="4" w:space="0" w:color="auto"/>
              <w:bottom w:val="nil"/>
              <w:right w:val="nil"/>
            </w:tcBorders>
            <w:shd w:val="clear" w:color="auto" w:fill="auto"/>
            <w:noWrap/>
            <w:vAlign w:val="center"/>
            <w:hideMark/>
          </w:tcPr>
          <w:p w14:paraId="14CF30EA" w14:textId="77777777" w:rsidR="00B67A3C" w:rsidRPr="00C411E2" w:rsidRDefault="00B67A3C" w:rsidP="00777918">
            <w:pPr>
              <w:jc w:val="center"/>
              <w:rPr>
                <w:color w:val="000000"/>
                <w:lang w:eastAsia="ja-JP"/>
              </w:rPr>
            </w:pPr>
            <w:r w:rsidRPr="00C411E2">
              <w:rPr>
                <w:color w:val="000000"/>
                <w:lang w:eastAsia="ja-JP"/>
              </w:rPr>
              <w:t>(0.061)</w:t>
            </w:r>
          </w:p>
        </w:tc>
        <w:tc>
          <w:tcPr>
            <w:tcW w:w="1134" w:type="dxa"/>
            <w:tcBorders>
              <w:top w:val="nil"/>
              <w:left w:val="nil"/>
              <w:bottom w:val="nil"/>
              <w:right w:val="nil"/>
            </w:tcBorders>
            <w:shd w:val="clear" w:color="auto" w:fill="auto"/>
            <w:noWrap/>
            <w:vAlign w:val="center"/>
            <w:hideMark/>
          </w:tcPr>
          <w:p w14:paraId="6B943A7A" w14:textId="77777777" w:rsidR="00B67A3C" w:rsidRPr="00C411E2" w:rsidRDefault="00B67A3C" w:rsidP="00777918">
            <w:pPr>
              <w:jc w:val="center"/>
              <w:rPr>
                <w:rFonts w:eastAsia="Times New Roman"/>
                <w:color w:val="000000"/>
              </w:rPr>
            </w:pPr>
          </w:p>
        </w:tc>
        <w:tc>
          <w:tcPr>
            <w:tcW w:w="1392" w:type="dxa"/>
            <w:tcBorders>
              <w:top w:val="nil"/>
              <w:left w:val="nil"/>
              <w:bottom w:val="nil"/>
            </w:tcBorders>
            <w:vAlign w:val="center"/>
          </w:tcPr>
          <w:p w14:paraId="30944060" w14:textId="77777777" w:rsidR="00B67A3C" w:rsidRPr="00C411E2" w:rsidRDefault="00B67A3C" w:rsidP="00777918">
            <w:pPr>
              <w:jc w:val="center"/>
              <w:rPr>
                <w:color w:val="000000"/>
                <w:lang w:eastAsia="ja-JP"/>
              </w:rPr>
            </w:pPr>
            <w:r w:rsidRPr="00C411E2">
              <w:rPr>
                <w:color w:val="000000"/>
                <w:lang w:eastAsia="ja-JP"/>
              </w:rPr>
              <w:t>(0.057)</w:t>
            </w:r>
          </w:p>
        </w:tc>
      </w:tr>
      <w:tr w:rsidR="00B67A3C" w:rsidRPr="00C411E2" w14:paraId="68A421C8" w14:textId="77777777" w:rsidTr="00777918">
        <w:trPr>
          <w:trHeight w:val="360"/>
        </w:trPr>
        <w:tc>
          <w:tcPr>
            <w:tcW w:w="1095" w:type="dxa"/>
            <w:tcBorders>
              <w:top w:val="nil"/>
              <w:left w:val="nil"/>
              <w:bottom w:val="nil"/>
              <w:right w:val="single" w:sz="4" w:space="0" w:color="auto"/>
            </w:tcBorders>
            <w:shd w:val="clear" w:color="auto" w:fill="auto"/>
            <w:noWrap/>
            <w:vAlign w:val="center"/>
            <w:hideMark/>
          </w:tcPr>
          <w:p w14:paraId="5325F1FC" w14:textId="77777777" w:rsidR="00B67A3C" w:rsidRPr="00C411E2" w:rsidRDefault="00B67A3C" w:rsidP="00777918">
            <w:pPr>
              <w:jc w:val="center"/>
              <w:rPr>
                <w:rFonts w:eastAsia="Times New Roman"/>
                <w:color w:val="000000"/>
              </w:rPr>
            </w:pPr>
            <w:r w:rsidRPr="00C411E2">
              <w:rPr>
                <w:rFonts w:eastAsia="Times New Roman"/>
                <w:color w:val="000000"/>
              </w:rPr>
              <w:t>(P</w:t>
            </w:r>
            <w:r w:rsidRPr="00C411E2">
              <w:rPr>
                <w:rFonts w:eastAsia="Times New Roman"/>
                <w:color w:val="000000"/>
                <w:vertAlign w:val="subscript"/>
              </w:rPr>
              <w:t>t</w:t>
            </w:r>
            <w:r w:rsidRPr="00C411E2">
              <w:rPr>
                <w:rFonts w:eastAsia="Times New Roman"/>
                <w:color w:val="000000"/>
              </w:rPr>
              <w:t xml:space="preserve"> - P</w:t>
            </w:r>
            <w:r w:rsidRPr="00C411E2">
              <w:rPr>
                <w:rFonts w:eastAsia="Times New Roman"/>
                <w:color w:val="000000"/>
                <w:vertAlign w:val="subscript"/>
              </w:rPr>
              <w:t>t-1</w:t>
            </w:r>
            <w:r w:rsidRPr="00C411E2">
              <w:rPr>
                <w:rFonts w:eastAsia="Times New Roman"/>
                <w:color w:val="000000"/>
              </w:rPr>
              <w:t>)</w:t>
            </w:r>
          </w:p>
        </w:tc>
        <w:tc>
          <w:tcPr>
            <w:tcW w:w="1165" w:type="dxa"/>
            <w:tcBorders>
              <w:top w:val="nil"/>
              <w:left w:val="nil"/>
              <w:bottom w:val="nil"/>
              <w:right w:val="nil"/>
            </w:tcBorders>
            <w:shd w:val="clear" w:color="auto" w:fill="auto"/>
            <w:noWrap/>
            <w:vAlign w:val="center"/>
            <w:hideMark/>
          </w:tcPr>
          <w:p w14:paraId="71C12D3B"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1AF124BA" w14:textId="77777777" w:rsidR="00B67A3C" w:rsidRPr="00C411E2" w:rsidRDefault="00B67A3C" w:rsidP="00777918">
            <w:pPr>
              <w:jc w:val="center"/>
              <w:rPr>
                <w:color w:val="000000"/>
                <w:lang w:eastAsia="ja-JP"/>
              </w:rPr>
            </w:pPr>
            <w:r w:rsidRPr="00C411E2">
              <w:rPr>
                <w:color w:val="000000"/>
                <w:lang w:eastAsia="ja-JP"/>
              </w:rPr>
              <w:t>0.020</w:t>
            </w:r>
          </w:p>
        </w:tc>
        <w:tc>
          <w:tcPr>
            <w:tcW w:w="1392" w:type="dxa"/>
            <w:tcBorders>
              <w:top w:val="nil"/>
              <w:left w:val="nil"/>
              <w:bottom w:val="nil"/>
              <w:right w:val="single" w:sz="4" w:space="0" w:color="auto"/>
            </w:tcBorders>
            <w:vAlign w:val="center"/>
          </w:tcPr>
          <w:p w14:paraId="301AA373" w14:textId="77777777" w:rsidR="00B67A3C" w:rsidRPr="00C411E2" w:rsidRDefault="00B67A3C" w:rsidP="00777918">
            <w:pPr>
              <w:jc w:val="center"/>
              <w:rPr>
                <w:color w:val="000000"/>
                <w:lang w:eastAsia="ja-JP"/>
              </w:rPr>
            </w:pPr>
            <w:r w:rsidRPr="00C411E2">
              <w:rPr>
                <w:color w:val="000000"/>
                <w:lang w:eastAsia="ja-JP"/>
              </w:rPr>
              <w:t>0.067</w:t>
            </w:r>
          </w:p>
        </w:tc>
        <w:tc>
          <w:tcPr>
            <w:tcW w:w="1018" w:type="dxa"/>
            <w:tcBorders>
              <w:top w:val="nil"/>
              <w:left w:val="single" w:sz="4" w:space="0" w:color="auto"/>
              <w:bottom w:val="nil"/>
              <w:right w:val="nil"/>
            </w:tcBorders>
            <w:shd w:val="clear" w:color="auto" w:fill="auto"/>
            <w:noWrap/>
            <w:vAlign w:val="center"/>
            <w:hideMark/>
          </w:tcPr>
          <w:p w14:paraId="08FD4F3E"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78D5B68A"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301***</w:t>
            </w:r>
          </w:p>
        </w:tc>
        <w:tc>
          <w:tcPr>
            <w:tcW w:w="1392" w:type="dxa"/>
            <w:tcBorders>
              <w:top w:val="nil"/>
              <w:left w:val="nil"/>
              <w:bottom w:val="nil"/>
            </w:tcBorders>
            <w:vAlign w:val="center"/>
          </w:tcPr>
          <w:p w14:paraId="39C8D51A" w14:textId="77777777" w:rsidR="00B67A3C" w:rsidRPr="00C411E2" w:rsidRDefault="00B67A3C" w:rsidP="00777918">
            <w:pPr>
              <w:jc w:val="center"/>
              <w:rPr>
                <w:color w:val="000000"/>
                <w:lang w:eastAsia="ja-JP"/>
              </w:rPr>
            </w:pPr>
            <w:r w:rsidRPr="00C411E2">
              <w:rPr>
                <w:color w:val="000000"/>
                <w:lang w:eastAsia="ja-JP"/>
              </w:rPr>
              <w:t>-0.270***</w:t>
            </w:r>
          </w:p>
        </w:tc>
      </w:tr>
      <w:tr w:rsidR="00B67A3C" w:rsidRPr="00C411E2" w14:paraId="7889E132"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7BB0DF9A" w14:textId="77777777" w:rsidR="00B67A3C" w:rsidRPr="00C411E2" w:rsidRDefault="00B67A3C" w:rsidP="00777918">
            <w:pPr>
              <w:jc w:val="center"/>
              <w:rPr>
                <w:rFonts w:eastAsia="Times New Roman"/>
                <w:color w:val="000000"/>
              </w:rPr>
            </w:pPr>
          </w:p>
        </w:tc>
        <w:tc>
          <w:tcPr>
            <w:tcW w:w="1165" w:type="dxa"/>
            <w:tcBorders>
              <w:top w:val="nil"/>
              <w:left w:val="nil"/>
              <w:bottom w:val="nil"/>
              <w:right w:val="nil"/>
            </w:tcBorders>
            <w:shd w:val="clear" w:color="auto" w:fill="auto"/>
            <w:noWrap/>
            <w:vAlign w:val="center"/>
            <w:hideMark/>
          </w:tcPr>
          <w:p w14:paraId="4B7F1101"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64BC2927" w14:textId="77777777" w:rsidR="00B67A3C" w:rsidRPr="00C411E2" w:rsidRDefault="00B67A3C" w:rsidP="00777918">
            <w:pPr>
              <w:jc w:val="center"/>
              <w:rPr>
                <w:color w:val="000000"/>
                <w:lang w:eastAsia="ja-JP"/>
              </w:rPr>
            </w:pPr>
            <w:r w:rsidRPr="00C411E2">
              <w:rPr>
                <w:color w:val="000000"/>
                <w:lang w:eastAsia="ja-JP"/>
              </w:rPr>
              <w:t>(0.031)</w:t>
            </w:r>
          </w:p>
        </w:tc>
        <w:tc>
          <w:tcPr>
            <w:tcW w:w="1392" w:type="dxa"/>
            <w:tcBorders>
              <w:top w:val="nil"/>
              <w:left w:val="nil"/>
              <w:bottom w:val="nil"/>
              <w:right w:val="single" w:sz="4" w:space="0" w:color="auto"/>
            </w:tcBorders>
            <w:vAlign w:val="center"/>
          </w:tcPr>
          <w:p w14:paraId="2183BC8C" w14:textId="77777777" w:rsidR="00B67A3C" w:rsidRPr="00C411E2" w:rsidRDefault="00B67A3C" w:rsidP="00777918">
            <w:pPr>
              <w:jc w:val="center"/>
              <w:rPr>
                <w:color w:val="000000"/>
                <w:lang w:eastAsia="ja-JP"/>
              </w:rPr>
            </w:pPr>
            <w:r w:rsidRPr="00C411E2">
              <w:rPr>
                <w:color w:val="000000"/>
                <w:lang w:eastAsia="ja-JP"/>
              </w:rPr>
              <w:t>(0.044)</w:t>
            </w:r>
          </w:p>
        </w:tc>
        <w:tc>
          <w:tcPr>
            <w:tcW w:w="1018" w:type="dxa"/>
            <w:tcBorders>
              <w:top w:val="nil"/>
              <w:left w:val="single" w:sz="4" w:space="0" w:color="auto"/>
              <w:bottom w:val="nil"/>
              <w:right w:val="nil"/>
            </w:tcBorders>
            <w:shd w:val="clear" w:color="auto" w:fill="auto"/>
            <w:noWrap/>
            <w:vAlign w:val="center"/>
            <w:hideMark/>
          </w:tcPr>
          <w:p w14:paraId="55E5189B"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50EDD2AA"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049</w:t>
            </w:r>
            <w:r w:rsidRPr="00C411E2">
              <w:rPr>
                <w:rFonts w:eastAsia="Times New Roman"/>
                <w:color w:val="000000"/>
              </w:rPr>
              <w:t>)</w:t>
            </w:r>
          </w:p>
        </w:tc>
        <w:tc>
          <w:tcPr>
            <w:tcW w:w="1392" w:type="dxa"/>
            <w:tcBorders>
              <w:top w:val="nil"/>
              <w:left w:val="nil"/>
              <w:bottom w:val="nil"/>
            </w:tcBorders>
            <w:vAlign w:val="center"/>
          </w:tcPr>
          <w:p w14:paraId="4EB7B439" w14:textId="77777777" w:rsidR="00B67A3C" w:rsidRPr="00C411E2" w:rsidRDefault="00B67A3C" w:rsidP="00777918">
            <w:pPr>
              <w:jc w:val="center"/>
              <w:rPr>
                <w:color w:val="000000"/>
                <w:lang w:eastAsia="ja-JP"/>
              </w:rPr>
            </w:pPr>
            <w:r w:rsidRPr="00C411E2">
              <w:rPr>
                <w:color w:val="000000"/>
                <w:lang w:eastAsia="ja-JP"/>
              </w:rPr>
              <w:t>(0.043)</w:t>
            </w:r>
          </w:p>
        </w:tc>
      </w:tr>
      <w:tr w:rsidR="00B67A3C" w:rsidRPr="00C411E2" w14:paraId="78586850" w14:textId="77777777" w:rsidTr="00777918">
        <w:trPr>
          <w:trHeight w:val="150"/>
        </w:trPr>
        <w:tc>
          <w:tcPr>
            <w:tcW w:w="1095" w:type="dxa"/>
            <w:tcBorders>
              <w:top w:val="nil"/>
              <w:left w:val="nil"/>
              <w:bottom w:val="nil"/>
              <w:right w:val="single" w:sz="4" w:space="0" w:color="auto"/>
            </w:tcBorders>
            <w:shd w:val="clear" w:color="auto" w:fill="auto"/>
            <w:noWrap/>
            <w:vAlign w:val="center"/>
            <w:hideMark/>
          </w:tcPr>
          <w:p w14:paraId="5C9129FB" w14:textId="77777777" w:rsidR="00B67A3C" w:rsidRPr="00C411E2" w:rsidRDefault="00B67A3C" w:rsidP="00777918">
            <w:pPr>
              <w:jc w:val="center"/>
              <w:rPr>
                <w:rFonts w:eastAsia="Times New Roman"/>
                <w:color w:val="000000"/>
              </w:rPr>
            </w:pPr>
          </w:p>
        </w:tc>
        <w:tc>
          <w:tcPr>
            <w:tcW w:w="1165" w:type="dxa"/>
            <w:tcBorders>
              <w:top w:val="nil"/>
              <w:left w:val="nil"/>
              <w:bottom w:val="nil"/>
              <w:right w:val="nil"/>
            </w:tcBorders>
            <w:shd w:val="clear" w:color="auto" w:fill="auto"/>
            <w:noWrap/>
            <w:vAlign w:val="center"/>
            <w:hideMark/>
          </w:tcPr>
          <w:p w14:paraId="480474E6"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6E0578EA" w14:textId="77777777" w:rsidR="00B67A3C" w:rsidRPr="00C411E2" w:rsidRDefault="00B67A3C" w:rsidP="00777918">
            <w:pPr>
              <w:jc w:val="center"/>
              <w:rPr>
                <w:rFonts w:eastAsia="Times New Roman"/>
                <w:color w:val="000000"/>
              </w:rPr>
            </w:pPr>
          </w:p>
        </w:tc>
        <w:tc>
          <w:tcPr>
            <w:tcW w:w="1392" w:type="dxa"/>
            <w:tcBorders>
              <w:top w:val="nil"/>
              <w:left w:val="nil"/>
              <w:bottom w:val="nil"/>
              <w:right w:val="single" w:sz="4" w:space="0" w:color="auto"/>
            </w:tcBorders>
            <w:vAlign w:val="center"/>
          </w:tcPr>
          <w:p w14:paraId="62FC8F48" w14:textId="77777777" w:rsidR="00B67A3C" w:rsidRPr="00C411E2" w:rsidRDefault="00B67A3C" w:rsidP="00777918">
            <w:pPr>
              <w:jc w:val="center"/>
              <w:rPr>
                <w:rFonts w:eastAsia="Times New Roman"/>
                <w:color w:val="000000"/>
              </w:rPr>
            </w:pPr>
          </w:p>
        </w:tc>
        <w:tc>
          <w:tcPr>
            <w:tcW w:w="1018" w:type="dxa"/>
            <w:tcBorders>
              <w:top w:val="nil"/>
              <w:left w:val="single" w:sz="4" w:space="0" w:color="auto"/>
              <w:bottom w:val="nil"/>
              <w:right w:val="nil"/>
            </w:tcBorders>
            <w:shd w:val="clear" w:color="auto" w:fill="auto"/>
            <w:noWrap/>
            <w:vAlign w:val="center"/>
            <w:hideMark/>
          </w:tcPr>
          <w:p w14:paraId="0E11BB1D"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594407F9" w14:textId="77777777" w:rsidR="00B67A3C" w:rsidRPr="00C411E2" w:rsidRDefault="00B67A3C" w:rsidP="00777918">
            <w:pPr>
              <w:jc w:val="center"/>
              <w:rPr>
                <w:rFonts w:eastAsia="Times New Roman"/>
                <w:color w:val="000000"/>
              </w:rPr>
            </w:pPr>
          </w:p>
        </w:tc>
        <w:tc>
          <w:tcPr>
            <w:tcW w:w="1392" w:type="dxa"/>
            <w:tcBorders>
              <w:top w:val="nil"/>
              <w:left w:val="nil"/>
              <w:bottom w:val="nil"/>
            </w:tcBorders>
            <w:vAlign w:val="center"/>
          </w:tcPr>
          <w:p w14:paraId="21F2BD64" w14:textId="77777777" w:rsidR="00B67A3C" w:rsidRPr="00C411E2" w:rsidRDefault="00B67A3C" w:rsidP="00777918">
            <w:pPr>
              <w:jc w:val="center"/>
              <w:rPr>
                <w:rFonts w:eastAsia="Times New Roman"/>
                <w:color w:val="000000"/>
              </w:rPr>
            </w:pPr>
          </w:p>
        </w:tc>
      </w:tr>
      <w:tr w:rsidR="00B67A3C" w:rsidRPr="00C411E2" w14:paraId="776018B5"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72A6ADBC" w14:textId="77777777" w:rsidR="00B67A3C" w:rsidRPr="00C411E2" w:rsidRDefault="00B67A3C" w:rsidP="00777918">
            <w:pPr>
              <w:jc w:val="center"/>
              <w:rPr>
                <w:rFonts w:eastAsia="Times New Roman"/>
                <w:color w:val="000000"/>
              </w:rPr>
            </w:pPr>
            <w:r w:rsidRPr="00C411E2">
              <w:rPr>
                <w:rFonts w:eastAsia="Times New Roman"/>
                <w:color w:val="000000"/>
              </w:rPr>
              <w:t>N</w:t>
            </w:r>
          </w:p>
        </w:tc>
        <w:tc>
          <w:tcPr>
            <w:tcW w:w="1165" w:type="dxa"/>
            <w:tcBorders>
              <w:top w:val="nil"/>
              <w:left w:val="nil"/>
              <w:bottom w:val="nil"/>
              <w:right w:val="nil"/>
            </w:tcBorders>
            <w:shd w:val="clear" w:color="auto" w:fill="auto"/>
            <w:noWrap/>
            <w:vAlign w:val="center"/>
            <w:hideMark/>
          </w:tcPr>
          <w:p w14:paraId="7F63FC0E" w14:textId="77777777" w:rsidR="00B67A3C" w:rsidRPr="00C411E2" w:rsidRDefault="00B67A3C" w:rsidP="00777918">
            <w:pPr>
              <w:jc w:val="center"/>
              <w:rPr>
                <w:rFonts w:eastAsia="Times New Roman"/>
                <w:color w:val="000000"/>
              </w:rPr>
            </w:pPr>
            <w:r w:rsidRPr="00C411E2">
              <w:rPr>
                <w:color w:val="000000"/>
                <w:lang w:eastAsia="ja-JP"/>
              </w:rPr>
              <w:t>173</w:t>
            </w:r>
          </w:p>
        </w:tc>
        <w:tc>
          <w:tcPr>
            <w:tcW w:w="1134" w:type="dxa"/>
            <w:tcBorders>
              <w:top w:val="nil"/>
              <w:left w:val="nil"/>
              <w:bottom w:val="nil"/>
              <w:right w:val="nil"/>
            </w:tcBorders>
            <w:shd w:val="clear" w:color="auto" w:fill="auto"/>
            <w:noWrap/>
            <w:vAlign w:val="center"/>
            <w:hideMark/>
          </w:tcPr>
          <w:p w14:paraId="39C9A18B" w14:textId="77777777" w:rsidR="00B67A3C" w:rsidRPr="00C411E2" w:rsidRDefault="00B67A3C" w:rsidP="00777918">
            <w:pPr>
              <w:jc w:val="center"/>
              <w:rPr>
                <w:rFonts w:eastAsia="Times New Roman"/>
                <w:color w:val="000000"/>
              </w:rPr>
            </w:pPr>
            <w:r w:rsidRPr="00C411E2">
              <w:rPr>
                <w:color w:val="000000"/>
                <w:lang w:eastAsia="ja-JP"/>
              </w:rPr>
              <w:t>167</w:t>
            </w:r>
          </w:p>
        </w:tc>
        <w:tc>
          <w:tcPr>
            <w:tcW w:w="1392" w:type="dxa"/>
            <w:tcBorders>
              <w:top w:val="nil"/>
              <w:left w:val="nil"/>
              <w:bottom w:val="nil"/>
              <w:right w:val="single" w:sz="4" w:space="0" w:color="auto"/>
            </w:tcBorders>
            <w:vAlign w:val="center"/>
          </w:tcPr>
          <w:p w14:paraId="0747201A" w14:textId="77777777" w:rsidR="00B67A3C" w:rsidRPr="00C411E2" w:rsidRDefault="00B67A3C" w:rsidP="00777918">
            <w:pPr>
              <w:jc w:val="center"/>
              <w:rPr>
                <w:color w:val="000000"/>
                <w:lang w:eastAsia="ja-JP"/>
              </w:rPr>
            </w:pPr>
            <w:r w:rsidRPr="00C411E2">
              <w:rPr>
                <w:color w:val="000000"/>
                <w:lang w:eastAsia="ja-JP"/>
              </w:rPr>
              <w:t>167</w:t>
            </w:r>
          </w:p>
        </w:tc>
        <w:tc>
          <w:tcPr>
            <w:tcW w:w="1018" w:type="dxa"/>
            <w:tcBorders>
              <w:top w:val="nil"/>
              <w:left w:val="single" w:sz="4" w:space="0" w:color="auto"/>
              <w:bottom w:val="nil"/>
              <w:right w:val="nil"/>
            </w:tcBorders>
            <w:shd w:val="clear" w:color="auto" w:fill="auto"/>
            <w:noWrap/>
            <w:vAlign w:val="center"/>
            <w:hideMark/>
          </w:tcPr>
          <w:p w14:paraId="4EA72750" w14:textId="77777777" w:rsidR="00B67A3C" w:rsidRPr="00C411E2" w:rsidRDefault="00B67A3C" w:rsidP="00777918">
            <w:pPr>
              <w:jc w:val="center"/>
              <w:rPr>
                <w:rFonts w:eastAsia="Times New Roman"/>
                <w:color w:val="000000"/>
              </w:rPr>
            </w:pPr>
            <w:r w:rsidRPr="00C411E2">
              <w:rPr>
                <w:color w:val="000000"/>
                <w:lang w:eastAsia="ja-JP"/>
              </w:rPr>
              <w:t>186</w:t>
            </w:r>
          </w:p>
        </w:tc>
        <w:tc>
          <w:tcPr>
            <w:tcW w:w="1134" w:type="dxa"/>
            <w:tcBorders>
              <w:top w:val="nil"/>
              <w:left w:val="nil"/>
              <w:bottom w:val="nil"/>
              <w:right w:val="nil"/>
            </w:tcBorders>
            <w:shd w:val="clear" w:color="auto" w:fill="auto"/>
            <w:noWrap/>
            <w:vAlign w:val="center"/>
            <w:hideMark/>
          </w:tcPr>
          <w:p w14:paraId="7D9C05CB" w14:textId="77777777" w:rsidR="00B67A3C" w:rsidRPr="00C411E2" w:rsidRDefault="00B67A3C" w:rsidP="00777918">
            <w:pPr>
              <w:jc w:val="center"/>
              <w:rPr>
                <w:rFonts w:eastAsia="Times New Roman"/>
                <w:color w:val="000000"/>
              </w:rPr>
            </w:pPr>
            <w:r w:rsidRPr="00C411E2">
              <w:rPr>
                <w:color w:val="000000"/>
                <w:lang w:eastAsia="ja-JP"/>
              </w:rPr>
              <w:t>168</w:t>
            </w:r>
          </w:p>
        </w:tc>
        <w:tc>
          <w:tcPr>
            <w:tcW w:w="1392" w:type="dxa"/>
            <w:tcBorders>
              <w:top w:val="nil"/>
              <w:left w:val="nil"/>
              <w:bottom w:val="nil"/>
            </w:tcBorders>
            <w:vAlign w:val="center"/>
          </w:tcPr>
          <w:p w14:paraId="659745DD" w14:textId="77777777" w:rsidR="00B67A3C" w:rsidRPr="00C411E2" w:rsidRDefault="00B67A3C" w:rsidP="00777918">
            <w:pPr>
              <w:jc w:val="center"/>
              <w:rPr>
                <w:color w:val="000000"/>
                <w:lang w:eastAsia="ja-JP"/>
              </w:rPr>
            </w:pPr>
            <w:r w:rsidRPr="00C411E2">
              <w:rPr>
                <w:color w:val="000000"/>
                <w:lang w:eastAsia="ja-JP"/>
              </w:rPr>
              <w:t>168</w:t>
            </w:r>
          </w:p>
        </w:tc>
      </w:tr>
      <w:tr w:rsidR="00B67A3C" w:rsidRPr="00C411E2" w14:paraId="6429668B"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3CA0C766" w14:textId="77777777" w:rsidR="00B67A3C" w:rsidRPr="00C411E2" w:rsidRDefault="00B67A3C" w:rsidP="00777918">
            <w:pPr>
              <w:jc w:val="center"/>
              <w:rPr>
                <w:rFonts w:eastAsia="Times New Roman"/>
                <w:color w:val="000000"/>
              </w:rPr>
            </w:pPr>
            <w:r w:rsidRPr="00C411E2">
              <w:rPr>
                <w:rFonts w:eastAsia="Times New Roman"/>
                <w:color w:val="000000"/>
              </w:rPr>
              <w:t>F</w:t>
            </w:r>
          </w:p>
        </w:tc>
        <w:tc>
          <w:tcPr>
            <w:tcW w:w="1165" w:type="dxa"/>
            <w:tcBorders>
              <w:top w:val="nil"/>
              <w:left w:val="nil"/>
              <w:bottom w:val="nil"/>
              <w:right w:val="nil"/>
            </w:tcBorders>
            <w:shd w:val="clear" w:color="auto" w:fill="auto"/>
            <w:noWrap/>
            <w:vAlign w:val="center"/>
            <w:hideMark/>
          </w:tcPr>
          <w:p w14:paraId="7F0E6067" w14:textId="77777777" w:rsidR="00B67A3C" w:rsidRPr="00C411E2" w:rsidRDefault="00B67A3C" w:rsidP="00777918">
            <w:pPr>
              <w:jc w:val="center"/>
              <w:rPr>
                <w:rFonts w:eastAsia="Times New Roman"/>
                <w:color w:val="000000"/>
              </w:rPr>
            </w:pPr>
            <w:r w:rsidRPr="00C411E2">
              <w:rPr>
                <w:color w:val="000000"/>
                <w:lang w:eastAsia="ja-JP"/>
              </w:rPr>
              <w:t>20.96</w:t>
            </w:r>
          </w:p>
        </w:tc>
        <w:tc>
          <w:tcPr>
            <w:tcW w:w="1134" w:type="dxa"/>
            <w:tcBorders>
              <w:top w:val="nil"/>
              <w:left w:val="nil"/>
              <w:bottom w:val="nil"/>
              <w:right w:val="nil"/>
            </w:tcBorders>
            <w:shd w:val="clear" w:color="auto" w:fill="auto"/>
            <w:noWrap/>
            <w:vAlign w:val="center"/>
            <w:hideMark/>
          </w:tcPr>
          <w:p w14:paraId="65955324" w14:textId="77777777" w:rsidR="00B67A3C" w:rsidRPr="00C411E2" w:rsidRDefault="00B67A3C" w:rsidP="00777918">
            <w:pPr>
              <w:jc w:val="center"/>
              <w:rPr>
                <w:rFonts w:eastAsia="Times New Roman"/>
                <w:color w:val="000000"/>
              </w:rPr>
            </w:pPr>
            <w:r w:rsidRPr="00C411E2">
              <w:rPr>
                <w:color w:val="000000"/>
                <w:lang w:eastAsia="ja-JP"/>
              </w:rPr>
              <w:t>0.42</w:t>
            </w:r>
          </w:p>
        </w:tc>
        <w:tc>
          <w:tcPr>
            <w:tcW w:w="1392" w:type="dxa"/>
            <w:tcBorders>
              <w:top w:val="nil"/>
              <w:left w:val="nil"/>
              <w:bottom w:val="nil"/>
              <w:right w:val="single" w:sz="4" w:space="0" w:color="auto"/>
            </w:tcBorders>
            <w:vAlign w:val="center"/>
          </w:tcPr>
          <w:p w14:paraId="2CA37282" w14:textId="77777777" w:rsidR="00B67A3C" w:rsidRPr="00C411E2" w:rsidRDefault="00B67A3C" w:rsidP="00777918">
            <w:pPr>
              <w:jc w:val="center"/>
              <w:rPr>
                <w:color w:val="000000"/>
                <w:lang w:eastAsia="ja-JP"/>
              </w:rPr>
            </w:pPr>
            <w:r w:rsidRPr="00C411E2">
              <w:rPr>
                <w:color w:val="000000"/>
                <w:lang w:eastAsia="ja-JP"/>
              </w:rPr>
              <w:t>8.09</w:t>
            </w:r>
          </w:p>
        </w:tc>
        <w:tc>
          <w:tcPr>
            <w:tcW w:w="1018" w:type="dxa"/>
            <w:tcBorders>
              <w:top w:val="nil"/>
              <w:left w:val="single" w:sz="4" w:space="0" w:color="auto"/>
              <w:bottom w:val="nil"/>
              <w:right w:val="nil"/>
            </w:tcBorders>
            <w:shd w:val="clear" w:color="auto" w:fill="auto"/>
            <w:noWrap/>
            <w:vAlign w:val="center"/>
            <w:hideMark/>
          </w:tcPr>
          <w:p w14:paraId="156CA452" w14:textId="77777777" w:rsidR="00B67A3C" w:rsidRPr="00C411E2" w:rsidRDefault="00B67A3C" w:rsidP="00777918">
            <w:pPr>
              <w:jc w:val="center"/>
              <w:rPr>
                <w:rFonts w:eastAsia="Times New Roman"/>
                <w:color w:val="000000"/>
              </w:rPr>
            </w:pPr>
            <w:r w:rsidRPr="00C411E2">
              <w:rPr>
                <w:color w:val="000000"/>
                <w:lang w:eastAsia="ja-JP"/>
              </w:rPr>
              <w:t>3.19</w:t>
            </w:r>
          </w:p>
        </w:tc>
        <w:tc>
          <w:tcPr>
            <w:tcW w:w="1134" w:type="dxa"/>
            <w:tcBorders>
              <w:top w:val="nil"/>
              <w:left w:val="nil"/>
              <w:bottom w:val="nil"/>
              <w:right w:val="nil"/>
            </w:tcBorders>
            <w:shd w:val="clear" w:color="auto" w:fill="auto"/>
            <w:noWrap/>
            <w:vAlign w:val="center"/>
            <w:hideMark/>
          </w:tcPr>
          <w:p w14:paraId="03E88F05" w14:textId="77777777" w:rsidR="00B67A3C" w:rsidRPr="00C411E2" w:rsidRDefault="00B67A3C" w:rsidP="00777918">
            <w:pPr>
              <w:jc w:val="center"/>
              <w:rPr>
                <w:rFonts w:eastAsia="Times New Roman"/>
                <w:color w:val="000000"/>
              </w:rPr>
            </w:pPr>
            <w:r w:rsidRPr="00C411E2">
              <w:rPr>
                <w:color w:val="000000"/>
                <w:lang w:eastAsia="ja-JP"/>
              </w:rPr>
              <w:t>37.71</w:t>
            </w:r>
          </w:p>
        </w:tc>
        <w:tc>
          <w:tcPr>
            <w:tcW w:w="1392" w:type="dxa"/>
            <w:tcBorders>
              <w:top w:val="nil"/>
              <w:left w:val="nil"/>
              <w:bottom w:val="nil"/>
            </w:tcBorders>
            <w:vAlign w:val="center"/>
          </w:tcPr>
          <w:p w14:paraId="0BC37342" w14:textId="77777777" w:rsidR="00B67A3C" w:rsidRPr="00C411E2" w:rsidRDefault="00B67A3C" w:rsidP="00777918">
            <w:pPr>
              <w:jc w:val="center"/>
              <w:rPr>
                <w:color w:val="000000"/>
                <w:lang w:eastAsia="ja-JP"/>
              </w:rPr>
            </w:pPr>
            <w:r w:rsidRPr="00C411E2">
              <w:rPr>
                <w:color w:val="000000"/>
                <w:lang w:eastAsia="ja-JP"/>
              </w:rPr>
              <w:t>25.16</w:t>
            </w:r>
          </w:p>
        </w:tc>
      </w:tr>
      <w:tr w:rsidR="00B67A3C" w:rsidRPr="00C411E2" w14:paraId="7D45FD8A"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234FCBD9" w14:textId="244DD2C4" w:rsidR="00B67A3C" w:rsidRPr="00C411E2" w:rsidRDefault="00DF2E6A" w:rsidP="00777918">
            <w:pPr>
              <w:jc w:val="center"/>
              <w:rPr>
                <w:rFonts w:eastAsia="Times New Roman"/>
                <w:color w:val="000000"/>
              </w:rPr>
            </w:pPr>
            <w:r w:rsidRPr="00C411E2">
              <w:rPr>
                <w:rFonts w:eastAsia="Times New Roman"/>
                <w:color w:val="000000"/>
              </w:rPr>
              <w:t>P</w:t>
            </w:r>
            <w:r>
              <w:rPr>
                <w:rFonts w:eastAsia="Times New Roman"/>
                <w:color w:val="000000"/>
              </w:rPr>
              <w:t>rob.</w:t>
            </w:r>
          </w:p>
        </w:tc>
        <w:tc>
          <w:tcPr>
            <w:tcW w:w="1165" w:type="dxa"/>
            <w:tcBorders>
              <w:top w:val="nil"/>
              <w:left w:val="nil"/>
              <w:bottom w:val="nil"/>
              <w:right w:val="nil"/>
            </w:tcBorders>
            <w:shd w:val="clear" w:color="auto" w:fill="auto"/>
            <w:noWrap/>
            <w:vAlign w:val="center"/>
            <w:hideMark/>
          </w:tcPr>
          <w:p w14:paraId="474C0625" w14:textId="77777777" w:rsidR="00B67A3C" w:rsidRPr="00C411E2" w:rsidRDefault="00B67A3C" w:rsidP="00777918">
            <w:pPr>
              <w:jc w:val="center"/>
              <w:rPr>
                <w:rFonts w:eastAsia="Times New Roman"/>
                <w:color w:val="000000"/>
              </w:rPr>
            </w:pPr>
            <w:r w:rsidRPr="00C411E2">
              <w:rPr>
                <w:rFonts w:eastAsia="Times New Roman"/>
                <w:color w:val="000000"/>
              </w:rPr>
              <w:t>0.0</w:t>
            </w:r>
            <w:r w:rsidRPr="00C411E2">
              <w:rPr>
                <w:color w:val="000000"/>
                <w:lang w:eastAsia="ja-JP"/>
              </w:rPr>
              <w:t>00</w:t>
            </w:r>
          </w:p>
        </w:tc>
        <w:tc>
          <w:tcPr>
            <w:tcW w:w="1134" w:type="dxa"/>
            <w:tcBorders>
              <w:top w:val="nil"/>
              <w:left w:val="nil"/>
              <w:bottom w:val="nil"/>
              <w:right w:val="nil"/>
            </w:tcBorders>
            <w:shd w:val="clear" w:color="auto" w:fill="auto"/>
            <w:noWrap/>
            <w:vAlign w:val="center"/>
            <w:hideMark/>
          </w:tcPr>
          <w:p w14:paraId="4A9489C4"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522</w:t>
            </w:r>
          </w:p>
        </w:tc>
        <w:tc>
          <w:tcPr>
            <w:tcW w:w="1392" w:type="dxa"/>
            <w:tcBorders>
              <w:top w:val="nil"/>
              <w:left w:val="nil"/>
              <w:bottom w:val="nil"/>
              <w:right w:val="single" w:sz="4" w:space="0" w:color="auto"/>
            </w:tcBorders>
            <w:vAlign w:val="center"/>
          </w:tcPr>
          <w:p w14:paraId="3F75F341" w14:textId="77777777" w:rsidR="00B67A3C" w:rsidRPr="00C411E2" w:rsidRDefault="00B67A3C" w:rsidP="00777918">
            <w:pPr>
              <w:jc w:val="center"/>
              <w:rPr>
                <w:color w:val="000000"/>
                <w:lang w:eastAsia="ja-JP"/>
              </w:rPr>
            </w:pPr>
            <w:r w:rsidRPr="00C411E2">
              <w:rPr>
                <w:color w:val="000000"/>
                <w:lang w:eastAsia="ja-JP"/>
              </w:rPr>
              <w:t>0.002</w:t>
            </w:r>
          </w:p>
        </w:tc>
        <w:tc>
          <w:tcPr>
            <w:tcW w:w="1018" w:type="dxa"/>
            <w:tcBorders>
              <w:top w:val="nil"/>
              <w:left w:val="single" w:sz="4" w:space="0" w:color="auto"/>
              <w:bottom w:val="nil"/>
              <w:right w:val="nil"/>
            </w:tcBorders>
            <w:shd w:val="clear" w:color="auto" w:fill="auto"/>
            <w:noWrap/>
            <w:vAlign w:val="center"/>
            <w:hideMark/>
          </w:tcPr>
          <w:p w14:paraId="2B01D04B"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092</w:t>
            </w:r>
          </w:p>
        </w:tc>
        <w:tc>
          <w:tcPr>
            <w:tcW w:w="1134" w:type="dxa"/>
            <w:tcBorders>
              <w:top w:val="nil"/>
              <w:left w:val="nil"/>
              <w:bottom w:val="nil"/>
              <w:right w:val="nil"/>
            </w:tcBorders>
            <w:shd w:val="clear" w:color="auto" w:fill="auto"/>
            <w:noWrap/>
            <w:vAlign w:val="center"/>
            <w:hideMark/>
          </w:tcPr>
          <w:p w14:paraId="7FA09240"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000</w:t>
            </w:r>
          </w:p>
        </w:tc>
        <w:tc>
          <w:tcPr>
            <w:tcW w:w="1392" w:type="dxa"/>
            <w:tcBorders>
              <w:top w:val="nil"/>
              <w:left w:val="nil"/>
              <w:bottom w:val="nil"/>
            </w:tcBorders>
            <w:vAlign w:val="center"/>
          </w:tcPr>
          <w:p w14:paraId="4E17AC9E" w14:textId="77777777" w:rsidR="00B67A3C" w:rsidRPr="00C411E2" w:rsidRDefault="00B67A3C" w:rsidP="00777918">
            <w:pPr>
              <w:jc w:val="center"/>
              <w:rPr>
                <w:color w:val="000000"/>
                <w:lang w:eastAsia="ja-JP"/>
              </w:rPr>
            </w:pPr>
            <w:r w:rsidRPr="00C411E2">
              <w:rPr>
                <w:color w:val="000000"/>
                <w:lang w:eastAsia="ja-JP"/>
              </w:rPr>
              <w:t>0.000</w:t>
            </w:r>
          </w:p>
        </w:tc>
      </w:tr>
      <w:tr w:rsidR="00B67A3C" w:rsidRPr="00C411E2" w14:paraId="7DB944EA" w14:textId="77777777" w:rsidTr="00777918">
        <w:trPr>
          <w:trHeight w:val="405"/>
        </w:trPr>
        <w:tc>
          <w:tcPr>
            <w:tcW w:w="1095" w:type="dxa"/>
            <w:tcBorders>
              <w:top w:val="nil"/>
              <w:left w:val="nil"/>
              <w:right w:val="single" w:sz="4" w:space="0" w:color="auto"/>
            </w:tcBorders>
            <w:shd w:val="clear" w:color="auto" w:fill="auto"/>
            <w:noWrap/>
            <w:vAlign w:val="center"/>
            <w:hideMark/>
          </w:tcPr>
          <w:p w14:paraId="011C96AA" w14:textId="77777777" w:rsidR="00B67A3C" w:rsidRPr="00C411E2" w:rsidRDefault="00B67A3C" w:rsidP="00777918">
            <w:pPr>
              <w:jc w:val="center"/>
              <w:rPr>
                <w:rFonts w:eastAsia="Times New Roman"/>
                <w:color w:val="000000"/>
              </w:rPr>
            </w:pPr>
            <w:r w:rsidRPr="00C411E2">
              <w:rPr>
                <w:rFonts w:eastAsia="Times New Roman"/>
                <w:color w:val="000000"/>
              </w:rPr>
              <w:t>adj. R2</w:t>
            </w:r>
          </w:p>
        </w:tc>
        <w:tc>
          <w:tcPr>
            <w:tcW w:w="1165" w:type="dxa"/>
            <w:tcBorders>
              <w:top w:val="nil"/>
              <w:left w:val="nil"/>
              <w:right w:val="nil"/>
            </w:tcBorders>
            <w:shd w:val="clear" w:color="auto" w:fill="auto"/>
            <w:noWrap/>
            <w:vAlign w:val="center"/>
            <w:hideMark/>
          </w:tcPr>
          <w:p w14:paraId="40CCB13A"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38</w:t>
            </w:r>
          </w:p>
        </w:tc>
        <w:tc>
          <w:tcPr>
            <w:tcW w:w="1134" w:type="dxa"/>
            <w:tcBorders>
              <w:top w:val="nil"/>
              <w:left w:val="nil"/>
              <w:right w:val="nil"/>
            </w:tcBorders>
            <w:shd w:val="clear" w:color="auto" w:fill="auto"/>
            <w:noWrap/>
            <w:vAlign w:val="center"/>
            <w:hideMark/>
          </w:tcPr>
          <w:p w14:paraId="07B7E421"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00</w:t>
            </w:r>
          </w:p>
        </w:tc>
        <w:tc>
          <w:tcPr>
            <w:tcW w:w="1392" w:type="dxa"/>
            <w:tcBorders>
              <w:top w:val="nil"/>
              <w:left w:val="nil"/>
              <w:right w:val="single" w:sz="4" w:space="0" w:color="auto"/>
            </w:tcBorders>
            <w:vAlign w:val="center"/>
          </w:tcPr>
          <w:p w14:paraId="34B76DB4" w14:textId="77777777" w:rsidR="00B67A3C" w:rsidRPr="00C411E2" w:rsidRDefault="00B67A3C" w:rsidP="00777918">
            <w:pPr>
              <w:jc w:val="center"/>
              <w:rPr>
                <w:color w:val="000000"/>
                <w:lang w:eastAsia="ja-JP"/>
              </w:rPr>
            </w:pPr>
            <w:r w:rsidRPr="00C411E2">
              <w:rPr>
                <w:color w:val="000000"/>
                <w:lang w:eastAsia="ja-JP"/>
              </w:rPr>
              <w:t>0.39</w:t>
            </w:r>
          </w:p>
        </w:tc>
        <w:tc>
          <w:tcPr>
            <w:tcW w:w="1018" w:type="dxa"/>
            <w:tcBorders>
              <w:top w:val="nil"/>
              <w:left w:val="single" w:sz="4" w:space="0" w:color="auto"/>
              <w:right w:val="nil"/>
            </w:tcBorders>
            <w:shd w:val="clear" w:color="auto" w:fill="auto"/>
            <w:noWrap/>
            <w:vAlign w:val="center"/>
            <w:hideMark/>
          </w:tcPr>
          <w:p w14:paraId="7BF85034" w14:textId="77777777" w:rsidR="00B67A3C" w:rsidRPr="00C411E2" w:rsidRDefault="00B67A3C" w:rsidP="00777918">
            <w:pPr>
              <w:jc w:val="center"/>
              <w:rPr>
                <w:rFonts w:eastAsia="Times New Roman"/>
                <w:color w:val="000000"/>
              </w:rPr>
            </w:pPr>
            <w:r w:rsidRPr="00C411E2">
              <w:rPr>
                <w:color w:val="000000"/>
                <w:lang w:eastAsia="ja-JP"/>
              </w:rPr>
              <w:t>0.14</w:t>
            </w:r>
          </w:p>
        </w:tc>
        <w:tc>
          <w:tcPr>
            <w:tcW w:w="1134" w:type="dxa"/>
            <w:tcBorders>
              <w:top w:val="nil"/>
              <w:left w:val="nil"/>
              <w:right w:val="nil"/>
            </w:tcBorders>
            <w:shd w:val="clear" w:color="auto" w:fill="auto"/>
            <w:noWrap/>
            <w:vAlign w:val="center"/>
            <w:hideMark/>
          </w:tcPr>
          <w:p w14:paraId="0029D57A"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30</w:t>
            </w:r>
          </w:p>
        </w:tc>
        <w:tc>
          <w:tcPr>
            <w:tcW w:w="1392" w:type="dxa"/>
            <w:tcBorders>
              <w:top w:val="nil"/>
              <w:left w:val="nil"/>
            </w:tcBorders>
            <w:vAlign w:val="center"/>
          </w:tcPr>
          <w:p w14:paraId="5FEF6317" w14:textId="77777777" w:rsidR="00B67A3C" w:rsidRPr="00C411E2" w:rsidRDefault="00B67A3C" w:rsidP="00777918">
            <w:pPr>
              <w:jc w:val="center"/>
              <w:rPr>
                <w:color w:val="000000"/>
                <w:lang w:eastAsia="ja-JP"/>
              </w:rPr>
            </w:pPr>
            <w:r w:rsidRPr="00C411E2">
              <w:rPr>
                <w:color w:val="000000"/>
                <w:lang w:eastAsia="ja-JP"/>
              </w:rPr>
              <w:t>0.36</w:t>
            </w:r>
          </w:p>
        </w:tc>
      </w:tr>
      <w:tr w:rsidR="00B67A3C" w:rsidRPr="00C411E2" w14:paraId="0E5E2165" w14:textId="77777777" w:rsidTr="00777918">
        <w:trPr>
          <w:trHeight w:val="255"/>
        </w:trPr>
        <w:tc>
          <w:tcPr>
            <w:tcW w:w="1095" w:type="dxa"/>
            <w:tcBorders>
              <w:top w:val="nil"/>
              <w:left w:val="nil"/>
              <w:bottom w:val="double" w:sz="4" w:space="0" w:color="auto"/>
              <w:right w:val="single" w:sz="4" w:space="0" w:color="auto"/>
            </w:tcBorders>
            <w:shd w:val="clear" w:color="auto" w:fill="auto"/>
            <w:noWrap/>
            <w:vAlign w:val="center"/>
            <w:hideMark/>
          </w:tcPr>
          <w:p w14:paraId="4795D23F" w14:textId="77777777" w:rsidR="00B67A3C" w:rsidRPr="00C411E2" w:rsidRDefault="00B67A3C" w:rsidP="00777918">
            <w:pPr>
              <w:jc w:val="center"/>
              <w:rPr>
                <w:rFonts w:eastAsia="Times New Roman"/>
                <w:color w:val="000000"/>
              </w:rPr>
            </w:pPr>
          </w:p>
        </w:tc>
        <w:tc>
          <w:tcPr>
            <w:tcW w:w="1165" w:type="dxa"/>
            <w:tcBorders>
              <w:top w:val="nil"/>
              <w:left w:val="nil"/>
              <w:bottom w:val="double" w:sz="4" w:space="0" w:color="auto"/>
              <w:right w:val="nil"/>
            </w:tcBorders>
            <w:shd w:val="clear" w:color="auto" w:fill="auto"/>
            <w:noWrap/>
            <w:vAlign w:val="center"/>
            <w:hideMark/>
          </w:tcPr>
          <w:p w14:paraId="59AFA3DC" w14:textId="77777777" w:rsidR="00B67A3C" w:rsidRPr="00C411E2" w:rsidRDefault="00B67A3C" w:rsidP="00777918">
            <w:pPr>
              <w:jc w:val="center"/>
              <w:rPr>
                <w:rFonts w:eastAsia="Times New Roman"/>
                <w:color w:val="000000"/>
              </w:rPr>
            </w:pPr>
          </w:p>
        </w:tc>
        <w:tc>
          <w:tcPr>
            <w:tcW w:w="1134" w:type="dxa"/>
            <w:tcBorders>
              <w:top w:val="nil"/>
              <w:left w:val="nil"/>
              <w:bottom w:val="double" w:sz="4" w:space="0" w:color="auto"/>
              <w:right w:val="nil"/>
            </w:tcBorders>
            <w:shd w:val="clear" w:color="auto" w:fill="auto"/>
            <w:noWrap/>
            <w:vAlign w:val="center"/>
            <w:hideMark/>
          </w:tcPr>
          <w:p w14:paraId="422E1B1E" w14:textId="77777777" w:rsidR="00B67A3C" w:rsidRPr="00C411E2" w:rsidRDefault="00B67A3C" w:rsidP="00777918">
            <w:pPr>
              <w:jc w:val="center"/>
              <w:rPr>
                <w:rFonts w:eastAsia="Times New Roman"/>
                <w:color w:val="000000"/>
              </w:rPr>
            </w:pPr>
          </w:p>
        </w:tc>
        <w:tc>
          <w:tcPr>
            <w:tcW w:w="1392" w:type="dxa"/>
            <w:tcBorders>
              <w:top w:val="nil"/>
              <w:left w:val="nil"/>
              <w:bottom w:val="double" w:sz="4" w:space="0" w:color="auto"/>
              <w:right w:val="single" w:sz="4" w:space="0" w:color="auto"/>
            </w:tcBorders>
            <w:vAlign w:val="center"/>
          </w:tcPr>
          <w:p w14:paraId="7DD332D3" w14:textId="77777777" w:rsidR="00B67A3C" w:rsidRPr="00C411E2" w:rsidRDefault="00B67A3C" w:rsidP="00777918">
            <w:pPr>
              <w:jc w:val="center"/>
              <w:rPr>
                <w:rFonts w:eastAsia="Times New Roman"/>
                <w:color w:val="000000"/>
              </w:rPr>
            </w:pPr>
          </w:p>
        </w:tc>
        <w:tc>
          <w:tcPr>
            <w:tcW w:w="1018" w:type="dxa"/>
            <w:tcBorders>
              <w:top w:val="nil"/>
              <w:left w:val="single" w:sz="4" w:space="0" w:color="auto"/>
              <w:bottom w:val="double" w:sz="4" w:space="0" w:color="auto"/>
              <w:right w:val="nil"/>
            </w:tcBorders>
            <w:shd w:val="clear" w:color="auto" w:fill="auto"/>
            <w:noWrap/>
            <w:vAlign w:val="center"/>
            <w:hideMark/>
          </w:tcPr>
          <w:p w14:paraId="2A51BC32" w14:textId="77777777" w:rsidR="00B67A3C" w:rsidRPr="00C411E2" w:rsidRDefault="00B67A3C" w:rsidP="00777918">
            <w:pPr>
              <w:jc w:val="center"/>
              <w:rPr>
                <w:rFonts w:eastAsia="Times New Roman"/>
                <w:color w:val="000000"/>
              </w:rPr>
            </w:pPr>
          </w:p>
        </w:tc>
        <w:tc>
          <w:tcPr>
            <w:tcW w:w="1134" w:type="dxa"/>
            <w:tcBorders>
              <w:top w:val="nil"/>
              <w:left w:val="nil"/>
              <w:bottom w:val="double" w:sz="4" w:space="0" w:color="auto"/>
              <w:right w:val="nil"/>
            </w:tcBorders>
            <w:shd w:val="clear" w:color="auto" w:fill="auto"/>
            <w:noWrap/>
            <w:vAlign w:val="center"/>
            <w:hideMark/>
          </w:tcPr>
          <w:p w14:paraId="1CAD813D" w14:textId="77777777" w:rsidR="00B67A3C" w:rsidRPr="00C411E2" w:rsidRDefault="00B67A3C" w:rsidP="00777918">
            <w:pPr>
              <w:jc w:val="center"/>
              <w:rPr>
                <w:rFonts w:eastAsia="Times New Roman"/>
                <w:color w:val="000000"/>
              </w:rPr>
            </w:pPr>
          </w:p>
        </w:tc>
        <w:tc>
          <w:tcPr>
            <w:tcW w:w="1392" w:type="dxa"/>
            <w:tcBorders>
              <w:top w:val="nil"/>
              <w:left w:val="nil"/>
              <w:bottom w:val="double" w:sz="4" w:space="0" w:color="auto"/>
            </w:tcBorders>
            <w:vAlign w:val="center"/>
          </w:tcPr>
          <w:p w14:paraId="4743C80B" w14:textId="77777777" w:rsidR="00B67A3C" w:rsidRPr="00C411E2" w:rsidRDefault="00B67A3C" w:rsidP="00777918">
            <w:pPr>
              <w:jc w:val="center"/>
              <w:rPr>
                <w:rFonts w:eastAsia="Times New Roman"/>
                <w:color w:val="000000"/>
              </w:rPr>
            </w:pPr>
          </w:p>
        </w:tc>
      </w:tr>
      <w:tr w:rsidR="00B67A3C" w:rsidRPr="00C411E2" w14:paraId="78F194D2" w14:textId="77777777" w:rsidTr="00777918">
        <w:trPr>
          <w:trHeight w:val="300"/>
        </w:trPr>
        <w:tc>
          <w:tcPr>
            <w:tcW w:w="1095" w:type="dxa"/>
            <w:vMerge w:val="restart"/>
            <w:tcBorders>
              <w:top w:val="double" w:sz="4" w:space="0" w:color="auto"/>
              <w:left w:val="nil"/>
              <w:right w:val="single" w:sz="4" w:space="0" w:color="auto"/>
            </w:tcBorders>
            <w:shd w:val="clear" w:color="auto" w:fill="auto"/>
            <w:noWrap/>
            <w:vAlign w:val="center"/>
            <w:hideMark/>
          </w:tcPr>
          <w:p w14:paraId="4C33D989" w14:textId="77777777" w:rsidR="00B67A3C" w:rsidRPr="00C411E2" w:rsidRDefault="00B67A3C" w:rsidP="00777918">
            <w:pPr>
              <w:jc w:val="center"/>
              <w:rPr>
                <w:b/>
                <w:color w:val="000000"/>
                <w:lang w:eastAsia="ja-JP"/>
              </w:rPr>
            </w:pPr>
            <w:r>
              <w:rPr>
                <w:b/>
                <w:color w:val="000000"/>
                <w:lang w:eastAsia="ja-JP"/>
              </w:rPr>
              <w:t>Low-liquidity</w:t>
            </w:r>
            <w:r w:rsidRPr="00C411E2">
              <w:rPr>
                <w:b/>
                <w:color w:val="000000"/>
                <w:lang w:eastAsia="ja-JP"/>
              </w:rPr>
              <w:t xml:space="preserve"> Session</w:t>
            </w:r>
          </w:p>
        </w:tc>
        <w:tc>
          <w:tcPr>
            <w:tcW w:w="3691" w:type="dxa"/>
            <w:gridSpan w:val="3"/>
            <w:tcBorders>
              <w:top w:val="double" w:sz="4" w:space="0" w:color="auto"/>
              <w:left w:val="nil"/>
              <w:bottom w:val="nil"/>
              <w:right w:val="single" w:sz="4" w:space="0" w:color="auto"/>
            </w:tcBorders>
            <w:shd w:val="clear" w:color="auto" w:fill="auto"/>
            <w:noWrap/>
            <w:vAlign w:val="center"/>
            <w:hideMark/>
          </w:tcPr>
          <w:p w14:paraId="7C2D3F4C" w14:textId="77777777" w:rsidR="00B67A3C" w:rsidRPr="009D751B" w:rsidRDefault="00B67A3C" w:rsidP="00777918">
            <w:pPr>
              <w:jc w:val="center"/>
              <w:rPr>
                <w:b/>
                <w:color w:val="000000"/>
                <w:sz w:val="19"/>
                <w:szCs w:val="19"/>
                <w:lang w:eastAsia="ja-JP"/>
              </w:rPr>
            </w:pPr>
            <w:r w:rsidRPr="009D751B">
              <w:rPr>
                <w:b/>
                <w:color w:val="000000"/>
                <w:sz w:val="19"/>
                <w:szCs w:val="19"/>
                <w:lang w:eastAsia="ja-JP"/>
              </w:rPr>
              <w:t>Periods with dividend</w:t>
            </w:r>
            <w:r>
              <w:rPr>
                <w:b/>
                <w:color w:val="000000"/>
                <w:sz w:val="19"/>
                <w:szCs w:val="19"/>
                <w:lang w:eastAsia="ja-JP"/>
              </w:rPr>
              <w:t>-</w:t>
            </w:r>
            <w:r w:rsidRPr="009D751B">
              <w:rPr>
                <w:b/>
                <w:color w:val="000000"/>
                <w:sz w:val="19"/>
                <w:szCs w:val="19"/>
                <w:lang w:eastAsia="ja-JP"/>
              </w:rPr>
              <w:t>collecting investors</w:t>
            </w:r>
          </w:p>
        </w:tc>
        <w:tc>
          <w:tcPr>
            <w:tcW w:w="3544" w:type="dxa"/>
            <w:gridSpan w:val="3"/>
            <w:tcBorders>
              <w:top w:val="double" w:sz="4" w:space="0" w:color="auto"/>
              <w:left w:val="single" w:sz="4" w:space="0" w:color="auto"/>
              <w:bottom w:val="nil"/>
            </w:tcBorders>
            <w:shd w:val="clear" w:color="auto" w:fill="auto"/>
            <w:noWrap/>
            <w:vAlign w:val="center"/>
            <w:hideMark/>
          </w:tcPr>
          <w:p w14:paraId="6EE24157" w14:textId="77777777" w:rsidR="00B67A3C" w:rsidRPr="00C411E2" w:rsidRDefault="00B67A3C" w:rsidP="00777918">
            <w:pPr>
              <w:jc w:val="center"/>
              <w:rPr>
                <w:b/>
                <w:bCs/>
                <w:color w:val="000000"/>
                <w:lang w:eastAsia="ja-JP"/>
              </w:rPr>
            </w:pPr>
            <w:r w:rsidRPr="00C411E2">
              <w:rPr>
                <w:b/>
                <w:lang w:eastAsia="ja-JP"/>
              </w:rPr>
              <w:t xml:space="preserve">Periods with </w:t>
            </w:r>
            <w:r>
              <w:rPr>
                <w:b/>
                <w:lang w:eastAsia="ja-JP"/>
              </w:rPr>
              <w:t xml:space="preserve">only </w:t>
            </w:r>
            <w:r>
              <w:rPr>
                <w:rFonts w:hint="eastAsia"/>
                <w:b/>
                <w:lang w:eastAsia="ja-JP"/>
              </w:rPr>
              <w:t>speculating investors</w:t>
            </w:r>
          </w:p>
        </w:tc>
      </w:tr>
      <w:tr w:rsidR="00B67A3C" w:rsidRPr="00C411E2" w14:paraId="60C75234" w14:textId="77777777" w:rsidTr="00777918">
        <w:trPr>
          <w:trHeight w:val="300"/>
        </w:trPr>
        <w:tc>
          <w:tcPr>
            <w:tcW w:w="1095" w:type="dxa"/>
            <w:vMerge/>
            <w:tcBorders>
              <w:left w:val="nil"/>
              <w:bottom w:val="single" w:sz="4" w:space="0" w:color="auto"/>
              <w:right w:val="single" w:sz="4" w:space="0" w:color="auto"/>
            </w:tcBorders>
            <w:shd w:val="clear" w:color="auto" w:fill="auto"/>
            <w:noWrap/>
            <w:vAlign w:val="center"/>
            <w:hideMark/>
          </w:tcPr>
          <w:p w14:paraId="66E743FB" w14:textId="77777777" w:rsidR="00B67A3C" w:rsidRPr="00C411E2" w:rsidRDefault="00B67A3C" w:rsidP="00777918">
            <w:pPr>
              <w:jc w:val="center"/>
              <w:rPr>
                <w:rFonts w:eastAsia="Times New Roman"/>
                <w:color w:val="000000"/>
              </w:rPr>
            </w:pPr>
          </w:p>
        </w:tc>
        <w:tc>
          <w:tcPr>
            <w:tcW w:w="1165" w:type="dxa"/>
            <w:tcBorders>
              <w:top w:val="nil"/>
              <w:left w:val="nil"/>
              <w:bottom w:val="single" w:sz="4" w:space="0" w:color="auto"/>
              <w:right w:val="nil"/>
            </w:tcBorders>
            <w:shd w:val="clear" w:color="auto" w:fill="auto"/>
            <w:noWrap/>
            <w:vAlign w:val="center"/>
            <w:hideMark/>
          </w:tcPr>
          <w:p w14:paraId="5127F296" w14:textId="77777777" w:rsidR="00B67A3C" w:rsidRPr="00C411E2" w:rsidRDefault="00B67A3C" w:rsidP="00777918">
            <w:pPr>
              <w:jc w:val="center"/>
              <w:rPr>
                <w:color w:val="000000"/>
                <w:lang w:eastAsia="ja-JP"/>
              </w:rPr>
            </w:pPr>
            <w:r w:rsidRPr="00C411E2">
              <w:rPr>
                <w:rFonts w:eastAsia="Times New Roman"/>
                <w:color w:val="000000"/>
              </w:rPr>
              <w:t>FUND</w:t>
            </w:r>
          </w:p>
        </w:tc>
        <w:tc>
          <w:tcPr>
            <w:tcW w:w="1134" w:type="dxa"/>
            <w:tcBorders>
              <w:top w:val="nil"/>
              <w:left w:val="nil"/>
              <w:bottom w:val="single" w:sz="4" w:space="0" w:color="auto"/>
              <w:right w:val="nil"/>
            </w:tcBorders>
            <w:shd w:val="clear" w:color="auto" w:fill="auto"/>
            <w:noWrap/>
            <w:vAlign w:val="center"/>
            <w:hideMark/>
          </w:tcPr>
          <w:p w14:paraId="04924EBF" w14:textId="77777777" w:rsidR="00B67A3C" w:rsidRPr="00C411E2" w:rsidRDefault="00B67A3C" w:rsidP="00777918">
            <w:pPr>
              <w:jc w:val="center"/>
              <w:rPr>
                <w:rFonts w:eastAsia="Times New Roman"/>
                <w:color w:val="000000"/>
              </w:rPr>
            </w:pPr>
            <w:r w:rsidRPr="00C411E2">
              <w:rPr>
                <w:color w:val="000000"/>
                <w:lang w:eastAsia="ja-JP"/>
              </w:rPr>
              <w:t>TREND</w:t>
            </w:r>
          </w:p>
        </w:tc>
        <w:tc>
          <w:tcPr>
            <w:tcW w:w="1392" w:type="dxa"/>
            <w:tcBorders>
              <w:top w:val="nil"/>
              <w:left w:val="nil"/>
              <w:bottom w:val="single" w:sz="4" w:space="0" w:color="auto"/>
              <w:right w:val="single" w:sz="4" w:space="0" w:color="auto"/>
            </w:tcBorders>
            <w:vAlign w:val="center"/>
          </w:tcPr>
          <w:p w14:paraId="7BE3983A" w14:textId="77777777" w:rsidR="00B67A3C" w:rsidRPr="00C411E2" w:rsidRDefault="00B67A3C" w:rsidP="00777918">
            <w:pPr>
              <w:jc w:val="center"/>
              <w:rPr>
                <w:color w:val="000000"/>
                <w:lang w:eastAsia="ja-JP"/>
              </w:rPr>
            </w:pPr>
            <w:r w:rsidRPr="00C411E2">
              <w:rPr>
                <w:color w:val="000000"/>
                <w:lang w:eastAsia="ja-JP"/>
              </w:rPr>
              <w:t>COMBINED</w:t>
            </w:r>
          </w:p>
        </w:tc>
        <w:tc>
          <w:tcPr>
            <w:tcW w:w="1018" w:type="dxa"/>
            <w:tcBorders>
              <w:top w:val="nil"/>
              <w:left w:val="single" w:sz="4" w:space="0" w:color="auto"/>
              <w:bottom w:val="single" w:sz="4" w:space="0" w:color="auto"/>
              <w:right w:val="nil"/>
            </w:tcBorders>
            <w:shd w:val="clear" w:color="auto" w:fill="auto"/>
            <w:noWrap/>
            <w:vAlign w:val="center"/>
            <w:hideMark/>
          </w:tcPr>
          <w:p w14:paraId="6553D4AA" w14:textId="77777777" w:rsidR="00B67A3C" w:rsidRPr="00C411E2" w:rsidRDefault="00B67A3C" w:rsidP="00777918">
            <w:pPr>
              <w:jc w:val="center"/>
              <w:rPr>
                <w:rFonts w:eastAsia="Times New Roman"/>
                <w:color w:val="000000"/>
              </w:rPr>
            </w:pPr>
            <w:r w:rsidRPr="00C411E2">
              <w:rPr>
                <w:color w:val="000000"/>
                <w:lang w:eastAsia="ja-JP"/>
              </w:rPr>
              <w:t>FUND</w:t>
            </w:r>
          </w:p>
        </w:tc>
        <w:tc>
          <w:tcPr>
            <w:tcW w:w="1134" w:type="dxa"/>
            <w:tcBorders>
              <w:top w:val="nil"/>
              <w:left w:val="nil"/>
              <w:bottom w:val="single" w:sz="4" w:space="0" w:color="auto"/>
              <w:right w:val="nil"/>
            </w:tcBorders>
            <w:shd w:val="clear" w:color="auto" w:fill="auto"/>
            <w:noWrap/>
            <w:vAlign w:val="center"/>
            <w:hideMark/>
          </w:tcPr>
          <w:p w14:paraId="5C1277AA" w14:textId="77777777" w:rsidR="00B67A3C" w:rsidRPr="00C411E2" w:rsidRDefault="00B67A3C" w:rsidP="00777918">
            <w:pPr>
              <w:jc w:val="center"/>
              <w:rPr>
                <w:rFonts w:eastAsia="Times New Roman"/>
                <w:color w:val="000000"/>
              </w:rPr>
            </w:pPr>
            <w:r w:rsidRPr="00C411E2">
              <w:rPr>
                <w:color w:val="000000"/>
                <w:lang w:eastAsia="ja-JP"/>
              </w:rPr>
              <w:t>TREND</w:t>
            </w:r>
          </w:p>
        </w:tc>
        <w:tc>
          <w:tcPr>
            <w:tcW w:w="1392" w:type="dxa"/>
            <w:tcBorders>
              <w:top w:val="nil"/>
              <w:left w:val="nil"/>
              <w:bottom w:val="single" w:sz="4" w:space="0" w:color="auto"/>
            </w:tcBorders>
            <w:vAlign w:val="center"/>
          </w:tcPr>
          <w:p w14:paraId="4B85A2E7" w14:textId="77777777" w:rsidR="00B67A3C" w:rsidRPr="00C411E2" w:rsidRDefault="00B67A3C" w:rsidP="00777918">
            <w:pPr>
              <w:jc w:val="center"/>
              <w:rPr>
                <w:color w:val="000000"/>
                <w:lang w:eastAsia="ja-JP"/>
              </w:rPr>
            </w:pPr>
            <w:r w:rsidRPr="00C411E2">
              <w:rPr>
                <w:color w:val="000000"/>
                <w:lang w:eastAsia="ja-JP"/>
              </w:rPr>
              <w:t>COMBINED</w:t>
            </w:r>
          </w:p>
        </w:tc>
      </w:tr>
      <w:tr w:rsidR="00B67A3C" w:rsidRPr="00C411E2" w14:paraId="5D158B7D"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59A9905F" w14:textId="77777777" w:rsidR="00B67A3C" w:rsidRPr="00C411E2" w:rsidRDefault="00B67A3C" w:rsidP="00777918">
            <w:pPr>
              <w:jc w:val="center"/>
              <w:rPr>
                <w:rFonts w:eastAsia="Times New Roman"/>
                <w:color w:val="000000"/>
              </w:rPr>
            </w:pPr>
            <w:r w:rsidRPr="00C411E2">
              <w:rPr>
                <w:rFonts w:eastAsia="Times New Roman"/>
                <w:color w:val="000000"/>
              </w:rPr>
              <w:t>Const.</w:t>
            </w:r>
          </w:p>
        </w:tc>
        <w:tc>
          <w:tcPr>
            <w:tcW w:w="1165" w:type="dxa"/>
            <w:tcBorders>
              <w:top w:val="nil"/>
              <w:left w:val="nil"/>
              <w:bottom w:val="nil"/>
              <w:right w:val="nil"/>
            </w:tcBorders>
            <w:shd w:val="clear" w:color="auto" w:fill="auto"/>
            <w:noWrap/>
            <w:vAlign w:val="center"/>
            <w:hideMark/>
          </w:tcPr>
          <w:p w14:paraId="59147389" w14:textId="77777777" w:rsidR="00B67A3C" w:rsidRPr="00C411E2" w:rsidRDefault="00B67A3C" w:rsidP="00777918">
            <w:pPr>
              <w:jc w:val="center"/>
              <w:rPr>
                <w:rFonts w:eastAsia="Times New Roman"/>
                <w:color w:val="000000"/>
              </w:rPr>
            </w:pPr>
            <w:r w:rsidRPr="00C411E2">
              <w:rPr>
                <w:color w:val="000000"/>
                <w:lang w:eastAsia="ja-JP"/>
              </w:rPr>
              <w:t>-2.275***</w:t>
            </w:r>
          </w:p>
        </w:tc>
        <w:tc>
          <w:tcPr>
            <w:tcW w:w="1134" w:type="dxa"/>
            <w:tcBorders>
              <w:top w:val="nil"/>
              <w:left w:val="nil"/>
              <w:bottom w:val="nil"/>
              <w:right w:val="nil"/>
            </w:tcBorders>
            <w:shd w:val="clear" w:color="auto" w:fill="auto"/>
            <w:noWrap/>
            <w:vAlign w:val="center"/>
            <w:hideMark/>
          </w:tcPr>
          <w:p w14:paraId="00A1459C" w14:textId="77777777" w:rsidR="00B67A3C" w:rsidRPr="00C411E2" w:rsidRDefault="00B67A3C" w:rsidP="00777918">
            <w:pPr>
              <w:jc w:val="center"/>
              <w:rPr>
                <w:rFonts w:eastAsia="Times New Roman"/>
                <w:color w:val="000000"/>
              </w:rPr>
            </w:pPr>
            <w:r w:rsidRPr="00C411E2">
              <w:rPr>
                <w:color w:val="000000"/>
                <w:lang w:eastAsia="ja-JP"/>
              </w:rPr>
              <w:t>1.054</w:t>
            </w:r>
          </w:p>
        </w:tc>
        <w:tc>
          <w:tcPr>
            <w:tcW w:w="1392" w:type="dxa"/>
            <w:tcBorders>
              <w:top w:val="nil"/>
              <w:left w:val="nil"/>
              <w:bottom w:val="nil"/>
              <w:right w:val="single" w:sz="4" w:space="0" w:color="auto"/>
            </w:tcBorders>
            <w:vAlign w:val="center"/>
          </w:tcPr>
          <w:p w14:paraId="45F8284B" w14:textId="77777777" w:rsidR="00B67A3C" w:rsidRPr="00C411E2" w:rsidRDefault="00B67A3C" w:rsidP="00777918">
            <w:pPr>
              <w:jc w:val="center"/>
              <w:rPr>
                <w:color w:val="000000"/>
                <w:lang w:eastAsia="ja-JP"/>
              </w:rPr>
            </w:pPr>
            <w:r w:rsidRPr="00C411E2">
              <w:rPr>
                <w:color w:val="000000"/>
                <w:lang w:eastAsia="ja-JP"/>
              </w:rPr>
              <w:t>-2.543**</w:t>
            </w:r>
          </w:p>
        </w:tc>
        <w:tc>
          <w:tcPr>
            <w:tcW w:w="1018" w:type="dxa"/>
            <w:tcBorders>
              <w:top w:val="nil"/>
              <w:left w:val="single" w:sz="4" w:space="0" w:color="auto"/>
              <w:bottom w:val="nil"/>
              <w:right w:val="nil"/>
            </w:tcBorders>
            <w:shd w:val="clear" w:color="auto" w:fill="auto"/>
            <w:noWrap/>
            <w:vAlign w:val="center"/>
            <w:hideMark/>
          </w:tcPr>
          <w:p w14:paraId="5C2EAF0B" w14:textId="77777777" w:rsidR="00B67A3C" w:rsidRPr="00C411E2" w:rsidRDefault="00B67A3C" w:rsidP="00777918">
            <w:pPr>
              <w:jc w:val="center"/>
              <w:rPr>
                <w:rFonts w:eastAsia="Times New Roman"/>
                <w:color w:val="000000"/>
              </w:rPr>
            </w:pPr>
            <w:r w:rsidRPr="00C411E2">
              <w:rPr>
                <w:rFonts w:eastAsia="Times New Roman"/>
                <w:color w:val="000000"/>
              </w:rPr>
              <w:t>-</w:t>
            </w:r>
            <w:r w:rsidRPr="00C411E2">
              <w:rPr>
                <w:color w:val="000000"/>
                <w:lang w:eastAsia="ja-JP"/>
              </w:rPr>
              <w:t>0.804</w:t>
            </w:r>
          </w:p>
        </w:tc>
        <w:tc>
          <w:tcPr>
            <w:tcW w:w="1134" w:type="dxa"/>
            <w:tcBorders>
              <w:top w:val="nil"/>
              <w:left w:val="nil"/>
              <w:bottom w:val="nil"/>
              <w:right w:val="nil"/>
            </w:tcBorders>
            <w:shd w:val="clear" w:color="auto" w:fill="auto"/>
            <w:noWrap/>
            <w:vAlign w:val="center"/>
            <w:hideMark/>
          </w:tcPr>
          <w:p w14:paraId="05FE3096" w14:textId="77777777" w:rsidR="00B67A3C" w:rsidRPr="00C411E2" w:rsidRDefault="00B67A3C" w:rsidP="00777918">
            <w:pPr>
              <w:jc w:val="center"/>
              <w:rPr>
                <w:rFonts w:eastAsia="Times New Roman"/>
                <w:color w:val="000000"/>
              </w:rPr>
            </w:pPr>
            <w:r w:rsidRPr="00C411E2">
              <w:rPr>
                <w:color w:val="000000"/>
                <w:lang w:eastAsia="ja-JP"/>
              </w:rPr>
              <w:t>-0.248</w:t>
            </w:r>
          </w:p>
        </w:tc>
        <w:tc>
          <w:tcPr>
            <w:tcW w:w="1392" w:type="dxa"/>
            <w:tcBorders>
              <w:top w:val="nil"/>
              <w:left w:val="nil"/>
              <w:bottom w:val="nil"/>
            </w:tcBorders>
            <w:vAlign w:val="center"/>
          </w:tcPr>
          <w:p w14:paraId="039A9A13" w14:textId="77777777" w:rsidR="00B67A3C" w:rsidRPr="00C411E2" w:rsidRDefault="00B67A3C" w:rsidP="00777918">
            <w:pPr>
              <w:jc w:val="center"/>
              <w:rPr>
                <w:color w:val="000000"/>
                <w:lang w:eastAsia="ja-JP"/>
              </w:rPr>
            </w:pPr>
            <w:r w:rsidRPr="00C411E2">
              <w:rPr>
                <w:color w:val="000000"/>
                <w:lang w:eastAsia="ja-JP"/>
              </w:rPr>
              <w:t>-1.636**</w:t>
            </w:r>
          </w:p>
        </w:tc>
      </w:tr>
      <w:tr w:rsidR="00B67A3C" w:rsidRPr="00C411E2" w14:paraId="716B2E0C"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1E952A48" w14:textId="77777777" w:rsidR="00B67A3C" w:rsidRPr="00C411E2" w:rsidRDefault="00B67A3C" w:rsidP="00777918">
            <w:pPr>
              <w:jc w:val="center"/>
              <w:rPr>
                <w:rFonts w:eastAsia="Times New Roman"/>
                <w:color w:val="000000"/>
              </w:rPr>
            </w:pPr>
          </w:p>
        </w:tc>
        <w:tc>
          <w:tcPr>
            <w:tcW w:w="1165" w:type="dxa"/>
            <w:tcBorders>
              <w:top w:val="nil"/>
              <w:left w:val="nil"/>
              <w:bottom w:val="nil"/>
              <w:right w:val="nil"/>
            </w:tcBorders>
            <w:shd w:val="clear" w:color="auto" w:fill="auto"/>
            <w:noWrap/>
            <w:vAlign w:val="center"/>
            <w:hideMark/>
          </w:tcPr>
          <w:p w14:paraId="5B83C6E6"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684</w:t>
            </w:r>
            <w:r w:rsidRPr="00C411E2">
              <w:rPr>
                <w:rFonts w:eastAsia="Times New Roman"/>
                <w:color w:val="000000"/>
              </w:rPr>
              <w:t>)</w:t>
            </w:r>
          </w:p>
        </w:tc>
        <w:tc>
          <w:tcPr>
            <w:tcW w:w="1134" w:type="dxa"/>
            <w:tcBorders>
              <w:top w:val="nil"/>
              <w:left w:val="nil"/>
              <w:bottom w:val="nil"/>
              <w:right w:val="nil"/>
            </w:tcBorders>
            <w:shd w:val="clear" w:color="auto" w:fill="auto"/>
            <w:noWrap/>
            <w:vAlign w:val="center"/>
            <w:hideMark/>
          </w:tcPr>
          <w:p w14:paraId="69724EFA"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737</w:t>
            </w:r>
            <w:r w:rsidRPr="00C411E2">
              <w:rPr>
                <w:rFonts w:eastAsia="Times New Roman"/>
                <w:color w:val="000000"/>
              </w:rPr>
              <w:t>)</w:t>
            </w:r>
          </w:p>
        </w:tc>
        <w:tc>
          <w:tcPr>
            <w:tcW w:w="1392" w:type="dxa"/>
            <w:tcBorders>
              <w:top w:val="nil"/>
              <w:left w:val="nil"/>
              <w:bottom w:val="nil"/>
              <w:right w:val="single" w:sz="4" w:space="0" w:color="auto"/>
            </w:tcBorders>
            <w:vAlign w:val="center"/>
          </w:tcPr>
          <w:p w14:paraId="614CBC76" w14:textId="77777777" w:rsidR="00B67A3C" w:rsidRPr="00C411E2" w:rsidRDefault="00B67A3C" w:rsidP="00777918">
            <w:pPr>
              <w:jc w:val="center"/>
              <w:rPr>
                <w:color w:val="000000"/>
                <w:lang w:eastAsia="ja-JP"/>
              </w:rPr>
            </w:pPr>
            <w:r w:rsidRPr="00C411E2">
              <w:rPr>
                <w:color w:val="000000"/>
                <w:lang w:eastAsia="ja-JP"/>
              </w:rPr>
              <w:t>(0.742)</w:t>
            </w:r>
          </w:p>
        </w:tc>
        <w:tc>
          <w:tcPr>
            <w:tcW w:w="1018" w:type="dxa"/>
            <w:tcBorders>
              <w:top w:val="nil"/>
              <w:left w:val="single" w:sz="4" w:space="0" w:color="auto"/>
              <w:bottom w:val="nil"/>
              <w:right w:val="nil"/>
            </w:tcBorders>
            <w:shd w:val="clear" w:color="auto" w:fill="auto"/>
            <w:noWrap/>
            <w:vAlign w:val="center"/>
            <w:hideMark/>
          </w:tcPr>
          <w:p w14:paraId="57E6ED6E"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524</w:t>
            </w:r>
            <w:r w:rsidRPr="00C411E2">
              <w:rPr>
                <w:rFonts w:eastAsia="Times New Roman"/>
                <w:color w:val="000000"/>
              </w:rPr>
              <w:t>)</w:t>
            </w:r>
          </w:p>
        </w:tc>
        <w:tc>
          <w:tcPr>
            <w:tcW w:w="1134" w:type="dxa"/>
            <w:tcBorders>
              <w:top w:val="nil"/>
              <w:left w:val="nil"/>
              <w:bottom w:val="nil"/>
              <w:right w:val="nil"/>
            </w:tcBorders>
            <w:shd w:val="clear" w:color="auto" w:fill="auto"/>
            <w:noWrap/>
            <w:vAlign w:val="center"/>
            <w:hideMark/>
          </w:tcPr>
          <w:p w14:paraId="512F8ABF"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399</w:t>
            </w:r>
            <w:r w:rsidRPr="00C411E2">
              <w:rPr>
                <w:rFonts w:eastAsia="Times New Roman"/>
                <w:color w:val="000000"/>
              </w:rPr>
              <w:t>)</w:t>
            </w:r>
          </w:p>
        </w:tc>
        <w:tc>
          <w:tcPr>
            <w:tcW w:w="1392" w:type="dxa"/>
            <w:tcBorders>
              <w:top w:val="nil"/>
              <w:left w:val="nil"/>
              <w:bottom w:val="nil"/>
            </w:tcBorders>
            <w:vAlign w:val="center"/>
          </w:tcPr>
          <w:p w14:paraId="27EAAFE8" w14:textId="77777777" w:rsidR="00B67A3C" w:rsidRPr="00C411E2" w:rsidRDefault="00B67A3C" w:rsidP="00777918">
            <w:pPr>
              <w:jc w:val="center"/>
              <w:rPr>
                <w:color w:val="000000"/>
                <w:lang w:eastAsia="ja-JP"/>
              </w:rPr>
            </w:pPr>
            <w:r w:rsidRPr="00C411E2">
              <w:rPr>
                <w:color w:val="000000"/>
                <w:lang w:eastAsia="ja-JP"/>
              </w:rPr>
              <w:t>(0.671)</w:t>
            </w:r>
          </w:p>
        </w:tc>
      </w:tr>
      <w:tr w:rsidR="00B67A3C" w:rsidRPr="00C411E2" w14:paraId="1CE1C35E" w14:textId="77777777" w:rsidTr="00777918">
        <w:trPr>
          <w:trHeight w:val="360"/>
        </w:trPr>
        <w:tc>
          <w:tcPr>
            <w:tcW w:w="1095" w:type="dxa"/>
            <w:tcBorders>
              <w:top w:val="nil"/>
              <w:left w:val="nil"/>
              <w:bottom w:val="nil"/>
              <w:right w:val="single" w:sz="4" w:space="0" w:color="auto"/>
            </w:tcBorders>
            <w:shd w:val="clear" w:color="auto" w:fill="auto"/>
            <w:noWrap/>
            <w:vAlign w:val="center"/>
            <w:hideMark/>
          </w:tcPr>
          <w:p w14:paraId="37D2693D" w14:textId="77777777" w:rsidR="00B67A3C" w:rsidRPr="00C411E2" w:rsidRDefault="00B67A3C" w:rsidP="00777918">
            <w:pPr>
              <w:jc w:val="center"/>
              <w:rPr>
                <w:rFonts w:eastAsia="Times New Roman"/>
                <w:color w:val="000000"/>
              </w:rPr>
            </w:pPr>
            <w:r w:rsidRPr="00C411E2">
              <w:rPr>
                <w:rFonts w:eastAsia="Times New Roman"/>
                <w:color w:val="000000"/>
              </w:rPr>
              <w:t>(</w:t>
            </w:r>
            <w:r w:rsidRPr="00C411E2">
              <w:rPr>
                <w:color w:val="000000"/>
                <w:lang w:eastAsia="ja-JP"/>
              </w:rPr>
              <w:t>F</w:t>
            </w:r>
            <w:r w:rsidRPr="00C411E2">
              <w:rPr>
                <w:color w:val="000000"/>
                <w:vertAlign w:val="subscript"/>
                <w:lang w:eastAsia="ja-JP"/>
              </w:rPr>
              <w:t>t</w:t>
            </w:r>
            <w:r w:rsidRPr="00C411E2">
              <w:rPr>
                <w:rFonts w:eastAsia="Times New Roman"/>
                <w:color w:val="000000"/>
              </w:rPr>
              <w:t xml:space="preserve"> - P</w:t>
            </w:r>
            <w:r w:rsidRPr="00C411E2">
              <w:rPr>
                <w:rFonts w:eastAsia="Times New Roman"/>
                <w:color w:val="000000"/>
                <w:vertAlign w:val="subscript"/>
              </w:rPr>
              <w:t>t</w:t>
            </w:r>
            <w:r w:rsidRPr="00C411E2">
              <w:rPr>
                <w:rFonts w:eastAsia="Times New Roman"/>
                <w:color w:val="000000"/>
              </w:rPr>
              <w:t>)</w:t>
            </w:r>
          </w:p>
        </w:tc>
        <w:tc>
          <w:tcPr>
            <w:tcW w:w="1165" w:type="dxa"/>
            <w:tcBorders>
              <w:top w:val="nil"/>
              <w:left w:val="nil"/>
              <w:bottom w:val="nil"/>
              <w:right w:val="nil"/>
            </w:tcBorders>
            <w:shd w:val="clear" w:color="auto" w:fill="auto"/>
            <w:noWrap/>
            <w:vAlign w:val="center"/>
            <w:hideMark/>
          </w:tcPr>
          <w:p w14:paraId="1E1C0BC6"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401</w:t>
            </w:r>
            <w:r w:rsidRPr="00C411E2">
              <w:rPr>
                <w:rFonts w:eastAsia="Times New Roman"/>
                <w:color w:val="000000"/>
              </w:rPr>
              <w:t>***</w:t>
            </w:r>
          </w:p>
        </w:tc>
        <w:tc>
          <w:tcPr>
            <w:tcW w:w="1134" w:type="dxa"/>
            <w:tcBorders>
              <w:top w:val="nil"/>
              <w:left w:val="nil"/>
              <w:bottom w:val="nil"/>
              <w:right w:val="nil"/>
            </w:tcBorders>
            <w:shd w:val="clear" w:color="auto" w:fill="auto"/>
            <w:noWrap/>
            <w:vAlign w:val="center"/>
            <w:hideMark/>
          </w:tcPr>
          <w:p w14:paraId="34FC70C4" w14:textId="77777777" w:rsidR="00B67A3C" w:rsidRPr="00C411E2" w:rsidRDefault="00B67A3C" w:rsidP="00777918">
            <w:pPr>
              <w:jc w:val="center"/>
              <w:rPr>
                <w:rFonts w:eastAsia="Times New Roman"/>
                <w:color w:val="000000"/>
              </w:rPr>
            </w:pPr>
          </w:p>
        </w:tc>
        <w:tc>
          <w:tcPr>
            <w:tcW w:w="1392" w:type="dxa"/>
            <w:tcBorders>
              <w:top w:val="nil"/>
              <w:left w:val="nil"/>
              <w:bottom w:val="nil"/>
              <w:right w:val="single" w:sz="4" w:space="0" w:color="auto"/>
            </w:tcBorders>
            <w:vAlign w:val="center"/>
          </w:tcPr>
          <w:p w14:paraId="537ECDC4" w14:textId="77777777" w:rsidR="00B67A3C" w:rsidRPr="00C411E2" w:rsidRDefault="00B67A3C" w:rsidP="00777918">
            <w:pPr>
              <w:jc w:val="center"/>
              <w:rPr>
                <w:color w:val="000000"/>
                <w:lang w:eastAsia="ja-JP"/>
              </w:rPr>
            </w:pPr>
            <w:r w:rsidRPr="00C411E2">
              <w:rPr>
                <w:color w:val="000000"/>
                <w:lang w:eastAsia="ja-JP"/>
              </w:rPr>
              <w:t>0.419***</w:t>
            </w:r>
          </w:p>
        </w:tc>
        <w:tc>
          <w:tcPr>
            <w:tcW w:w="1018" w:type="dxa"/>
            <w:tcBorders>
              <w:top w:val="nil"/>
              <w:left w:val="single" w:sz="4" w:space="0" w:color="auto"/>
              <w:bottom w:val="nil"/>
              <w:right w:val="nil"/>
            </w:tcBorders>
            <w:shd w:val="clear" w:color="auto" w:fill="auto"/>
            <w:noWrap/>
            <w:vAlign w:val="center"/>
            <w:hideMark/>
          </w:tcPr>
          <w:p w14:paraId="42A8CBBE" w14:textId="77777777" w:rsidR="00B67A3C" w:rsidRPr="00C411E2" w:rsidRDefault="00B67A3C" w:rsidP="00777918">
            <w:pPr>
              <w:jc w:val="center"/>
              <w:rPr>
                <w:color w:val="000000"/>
                <w:lang w:eastAsia="ja-JP"/>
              </w:rPr>
            </w:pPr>
            <w:r w:rsidRPr="00C411E2">
              <w:rPr>
                <w:color w:val="000000"/>
                <w:lang w:eastAsia="ja-JP"/>
              </w:rPr>
              <w:t>0.070***</w:t>
            </w:r>
          </w:p>
        </w:tc>
        <w:tc>
          <w:tcPr>
            <w:tcW w:w="1134" w:type="dxa"/>
            <w:tcBorders>
              <w:top w:val="nil"/>
              <w:left w:val="nil"/>
              <w:bottom w:val="nil"/>
              <w:right w:val="nil"/>
            </w:tcBorders>
            <w:shd w:val="clear" w:color="auto" w:fill="auto"/>
            <w:noWrap/>
            <w:vAlign w:val="center"/>
            <w:hideMark/>
          </w:tcPr>
          <w:p w14:paraId="609D154F" w14:textId="77777777" w:rsidR="00B67A3C" w:rsidRPr="00C411E2" w:rsidRDefault="00B67A3C" w:rsidP="00777918">
            <w:pPr>
              <w:jc w:val="center"/>
              <w:rPr>
                <w:rFonts w:eastAsia="Times New Roman"/>
                <w:color w:val="000000"/>
              </w:rPr>
            </w:pPr>
          </w:p>
        </w:tc>
        <w:tc>
          <w:tcPr>
            <w:tcW w:w="1392" w:type="dxa"/>
            <w:tcBorders>
              <w:top w:val="nil"/>
              <w:left w:val="nil"/>
              <w:bottom w:val="nil"/>
            </w:tcBorders>
            <w:vAlign w:val="center"/>
          </w:tcPr>
          <w:p w14:paraId="05475703" w14:textId="77777777" w:rsidR="00B67A3C" w:rsidRPr="00C411E2" w:rsidRDefault="00B67A3C" w:rsidP="00777918">
            <w:pPr>
              <w:jc w:val="center"/>
              <w:rPr>
                <w:color w:val="000000"/>
                <w:lang w:eastAsia="ja-JP"/>
              </w:rPr>
            </w:pPr>
            <w:r w:rsidRPr="00C411E2">
              <w:rPr>
                <w:color w:val="000000"/>
                <w:lang w:eastAsia="ja-JP"/>
              </w:rPr>
              <w:t>0.065**</w:t>
            </w:r>
          </w:p>
        </w:tc>
      </w:tr>
      <w:tr w:rsidR="00B67A3C" w:rsidRPr="00C411E2" w14:paraId="39C2B3F8"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1C10A63F" w14:textId="77777777" w:rsidR="00B67A3C" w:rsidRPr="00C411E2" w:rsidRDefault="00B67A3C" w:rsidP="00777918">
            <w:pPr>
              <w:jc w:val="center"/>
              <w:rPr>
                <w:rFonts w:eastAsia="Times New Roman"/>
                <w:color w:val="000000"/>
              </w:rPr>
            </w:pPr>
          </w:p>
        </w:tc>
        <w:tc>
          <w:tcPr>
            <w:tcW w:w="1165" w:type="dxa"/>
            <w:tcBorders>
              <w:top w:val="nil"/>
              <w:left w:val="nil"/>
              <w:bottom w:val="nil"/>
              <w:right w:val="nil"/>
            </w:tcBorders>
            <w:shd w:val="clear" w:color="auto" w:fill="auto"/>
            <w:noWrap/>
            <w:vAlign w:val="center"/>
            <w:hideMark/>
          </w:tcPr>
          <w:p w14:paraId="45C68219"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092</w:t>
            </w:r>
            <w:r w:rsidRPr="00C411E2">
              <w:rPr>
                <w:rFonts w:eastAsia="Times New Roman"/>
                <w:color w:val="000000"/>
              </w:rPr>
              <w:t>)</w:t>
            </w:r>
          </w:p>
        </w:tc>
        <w:tc>
          <w:tcPr>
            <w:tcW w:w="1134" w:type="dxa"/>
            <w:tcBorders>
              <w:top w:val="nil"/>
              <w:left w:val="nil"/>
              <w:bottom w:val="nil"/>
              <w:right w:val="nil"/>
            </w:tcBorders>
            <w:shd w:val="clear" w:color="auto" w:fill="auto"/>
            <w:noWrap/>
            <w:vAlign w:val="center"/>
            <w:hideMark/>
          </w:tcPr>
          <w:p w14:paraId="6B79D04C" w14:textId="77777777" w:rsidR="00B67A3C" w:rsidRPr="00C411E2" w:rsidRDefault="00B67A3C" w:rsidP="00777918">
            <w:pPr>
              <w:jc w:val="center"/>
              <w:rPr>
                <w:rFonts w:eastAsia="Times New Roman"/>
                <w:color w:val="000000"/>
              </w:rPr>
            </w:pPr>
          </w:p>
        </w:tc>
        <w:tc>
          <w:tcPr>
            <w:tcW w:w="1392" w:type="dxa"/>
            <w:tcBorders>
              <w:top w:val="nil"/>
              <w:left w:val="nil"/>
              <w:bottom w:val="nil"/>
              <w:right w:val="single" w:sz="4" w:space="0" w:color="auto"/>
            </w:tcBorders>
            <w:vAlign w:val="center"/>
          </w:tcPr>
          <w:p w14:paraId="3B38DDEF" w14:textId="77777777" w:rsidR="00B67A3C" w:rsidRPr="00C411E2" w:rsidRDefault="00B67A3C" w:rsidP="00777918">
            <w:pPr>
              <w:jc w:val="center"/>
              <w:rPr>
                <w:color w:val="000000"/>
                <w:lang w:eastAsia="ja-JP"/>
              </w:rPr>
            </w:pPr>
            <w:r w:rsidRPr="00C411E2">
              <w:rPr>
                <w:color w:val="000000"/>
                <w:lang w:eastAsia="ja-JP"/>
              </w:rPr>
              <w:t>(0.096)</w:t>
            </w:r>
          </w:p>
        </w:tc>
        <w:tc>
          <w:tcPr>
            <w:tcW w:w="1018" w:type="dxa"/>
            <w:tcBorders>
              <w:top w:val="nil"/>
              <w:left w:val="single" w:sz="4" w:space="0" w:color="auto"/>
              <w:bottom w:val="nil"/>
              <w:right w:val="nil"/>
            </w:tcBorders>
            <w:shd w:val="clear" w:color="auto" w:fill="auto"/>
            <w:noWrap/>
            <w:vAlign w:val="center"/>
            <w:hideMark/>
          </w:tcPr>
          <w:p w14:paraId="0FA6EA13" w14:textId="77777777" w:rsidR="00B67A3C" w:rsidRPr="00C411E2" w:rsidRDefault="00B67A3C" w:rsidP="00777918">
            <w:pPr>
              <w:jc w:val="center"/>
              <w:rPr>
                <w:color w:val="000000"/>
                <w:lang w:eastAsia="ja-JP"/>
              </w:rPr>
            </w:pPr>
            <w:r w:rsidRPr="00C411E2">
              <w:rPr>
                <w:color w:val="000000"/>
                <w:lang w:eastAsia="ja-JP"/>
              </w:rPr>
              <w:t>(0.017)</w:t>
            </w:r>
          </w:p>
        </w:tc>
        <w:tc>
          <w:tcPr>
            <w:tcW w:w="1134" w:type="dxa"/>
            <w:tcBorders>
              <w:top w:val="nil"/>
              <w:left w:val="nil"/>
              <w:bottom w:val="nil"/>
              <w:right w:val="nil"/>
            </w:tcBorders>
            <w:shd w:val="clear" w:color="auto" w:fill="auto"/>
            <w:noWrap/>
            <w:vAlign w:val="center"/>
            <w:hideMark/>
          </w:tcPr>
          <w:p w14:paraId="116EA2FD" w14:textId="77777777" w:rsidR="00B67A3C" w:rsidRPr="00C411E2" w:rsidRDefault="00B67A3C" w:rsidP="00777918">
            <w:pPr>
              <w:jc w:val="center"/>
              <w:rPr>
                <w:rFonts w:eastAsia="Times New Roman"/>
                <w:color w:val="000000"/>
              </w:rPr>
            </w:pPr>
          </w:p>
        </w:tc>
        <w:tc>
          <w:tcPr>
            <w:tcW w:w="1392" w:type="dxa"/>
            <w:tcBorders>
              <w:top w:val="nil"/>
              <w:left w:val="nil"/>
              <w:bottom w:val="nil"/>
            </w:tcBorders>
            <w:vAlign w:val="center"/>
          </w:tcPr>
          <w:p w14:paraId="5C6F6D58" w14:textId="77777777" w:rsidR="00B67A3C" w:rsidRPr="00C411E2" w:rsidRDefault="00B67A3C" w:rsidP="00777918">
            <w:pPr>
              <w:jc w:val="center"/>
              <w:rPr>
                <w:color w:val="000000"/>
                <w:lang w:eastAsia="ja-JP"/>
              </w:rPr>
            </w:pPr>
            <w:r w:rsidRPr="00C411E2">
              <w:rPr>
                <w:color w:val="000000"/>
                <w:lang w:eastAsia="ja-JP"/>
              </w:rPr>
              <w:t>(0.024)</w:t>
            </w:r>
          </w:p>
        </w:tc>
      </w:tr>
      <w:tr w:rsidR="00B67A3C" w:rsidRPr="00C411E2" w14:paraId="01AEE621" w14:textId="77777777" w:rsidTr="00777918">
        <w:trPr>
          <w:trHeight w:val="360"/>
        </w:trPr>
        <w:tc>
          <w:tcPr>
            <w:tcW w:w="1095" w:type="dxa"/>
            <w:tcBorders>
              <w:top w:val="nil"/>
              <w:left w:val="nil"/>
              <w:bottom w:val="nil"/>
              <w:right w:val="single" w:sz="4" w:space="0" w:color="auto"/>
            </w:tcBorders>
            <w:shd w:val="clear" w:color="auto" w:fill="auto"/>
            <w:noWrap/>
            <w:vAlign w:val="center"/>
            <w:hideMark/>
          </w:tcPr>
          <w:p w14:paraId="7D7EF341" w14:textId="77777777" w:rsidR="00B67A3C" w:rsidRPr="00C411E2" w:rsidRDefault="00B67A3C" w:rsidP="00777918">
            <w:pPr>
              <w:jc w:val="center"/>
              <w:rPr>
                <w:rFonts w:eastAsia="Times New Roman"/>
                <w:color w:val="000000"/>
              </w:rPr>
            </w:pPr>
            <w:r w:rsidRPr="00C411E2">
              <w:rPr>
                <w:rFonts w:eastAsia="Times New Roman"/>
                <w:color w:val="000000"/>
              </w:rPr>
              <w:t>(P</w:t>
            </w:r>
            <w:r w:rsidRPr="00C411E2">
              <w:rPr>
                <w:rFonts w:eastAsia="Times New Roman"/>
                <w:color w:val="000000"/>
                <w:vertAlign w:val="subscript"/>
              </w:rPr>
              <w:t>t</w:t>
            </w:r>
            <w:r w:rsidRPr="00C411E2">
              <w:rPr>
                <w:rFonts w:eastAsia="Times New Roman"/>
                <w:color w:val="000000"/>
              </w:rPr>
              <w:t xml:space="preserve"> - P</w:t>
            </w:r>
            <w:r w:rsidRPr="00C411E2">
              <w:rPr>
                <w:rFonts w:eastAsia="Times New Roman"/>
                <w:color w:val="000000"/>
                <w:vertAlign w:val="subscript"/>
              </w:rPr>
              <w:t>t-1</w:t>
            </w:r>
            <w:r w:rsidRPr="00C411E2">
              <w:rPr>
                <w:rFonts w:eastAsia="Times New Roman"/>
                <w:color w:val="000000"/>
              </w:rPr>
              <w:t>)</w:t>
            </w:r>
          </w:p>
        </w:tc>
        <w:tc>
          <w:tcPr>
            <w:tcW w:w="1165" w:type="dxa"/>
            <w:tcBorders>
              <w:top w:val="nil"/>
              <w:left w:val="nil"/>
              <w:bottom w:val="nil"/>
              <w:right w:val="nil"/>
            </w:tcBorders>
            <w:shd w:val="clear" w:color="auto" w:fill="auto"/>
            <w:noWrap/>
            <w:vAlign w:val="center"/>
            <w:hideMark/>
          </w:tcPr>
          <w:p w14:paraId="0A46ED5E"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5E0CE03A" w14:textId="77777777" w:rsidR="00B67A3C" w:rsidRPr="00C411E2" w:rsidRDefault="00B67A3C" w:rsidP="00777918">
            <w:pPr>
              <w:jc w:val="center"/>
              <w:rPr>
                <w:color w:val="000000"/>
                <w:lang w:eastAsia="ja-JP"/>
              </w:rPr>
            </w:pPr>
            <w:r w:rsidRPr="00C411E2">
              <w:rPr>
                <w:color w:val="000000"/>
                <w:lang w:eastAsia="ja-JP"/>
              </w:rPr>
              <w:t>-0.088</w:t>
            </w:r>
          </w:p>
        </w:tc>
        <w:tc>
          <w:tcPr>
            <w:tcW w:w="1392" w:type="dxa"/>
            <w:tcBorders>
              <w:top w:val="nil"/>
              <w:left w:val="nil"/>
              <w:bottom w:val="nil"/>
              <w:right w:val="single" w:sz="4" w:space="0" w:color="auto"/>
            </w:tcBorders>
            <w:vAlign w:val="center"/>
          </w:tcPr>
          <w:p w14:paraId="2F02E9F0" w14:textId="77777777" w:rsidR="00B67A3C" w:rsidRPr="00C411E2" w:rsidRDefault="00B67A3C" w:rsidP="00777918">
            <w:pPr>
              <w:jc w:val="center"/>
              <w:rPr>
                <w:color w:val="000000"/>
                <w:lang w:eastAsia="ja-JP"/>
              </w:rPr>
            </w:pPr>
            <w:r w:rsidRPr="00C411E2">
              <w:rPr>
                <w:color w:val="000000"/>
                <w:lang w:eastAsia="ja-JP"/>
              </w:rPr>
              <w:t>-0.016</w:t>
            </w:r>
          </w:p>
        </w:tc>
        <w:tc>
          <w:tcPr>
            <w:tcW w:w="1018" w:type="dxa"/>
            <w:tcBorders>
              <w:top w:val="nil"/>
              <w:left w:val="single" w:sz="4" w:space="0" w:color="auto"/>
              <w:bottom w:val="nil"/>
              <w:right w:val="nil"/>
            </w:tcBorders>
            <w:shd w:val="clear" w:color="auto" w:fill="auto"/>
            <w:noWrap/>
            <w:vAlign w:val="center"/>
            <w:hideMark/>
          </w:tcPr>
          <w:p w14:paraId="1DD56000"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1DD0A23D" w14:textId="77777777" w:rsidR="00B67A3C" w:rsidRPr="00C411E2" w:rsidRDefault="00B67A3C" w:rsidP="00777918">
            <w:pPr>
              <w:jc w:val="center"/>
              <w:rPr>
                <w:rFonts w:eastAsia="Times New Roman"/>
                <w:color w:val="000000"/>
              </w:rPr>
            </w:pPr>
            <w:r w:rsidRPr="00C411E2">
              <w:rPr>
                <w:color w:val="000000"/>
                <w:lang w:eastAsia="ja-JP"/>
              </w:rPr>
              <w:t>-0.162*</w:t>
            </w:r>
          </w:p>
        </w:tc>
        <w:tc>
          <w:tcPr>
            <w:tcW w:w="1392" w:type="dxa"/>
            <w:tcBorders>
              <w:top w:val="nil"/>
              <w:left w:val="nil"/>
              <w:bottom w:val="nil"/>
            </w:tcBorders>
            <w:vAlign w:val="center"/>
          </w:tcPr>
          <w:p w14:paraId="67ECC783" w14:textId="77777777" w:rsidR="00B67A3C" w:rsidRPr="00C411E2" w:rsidRDefault="00B67A3C" w:rsidP="00777918">
            <w:pPr>
              <w:jc w:val="center"/>
              <w:rPr>
                <w:color w:val="000000"/>
                <w:lang w:eastAsia="ja-JP"/>
              </w:rPr>
            </w:pPr>
            <w:r w:rsidRPr="00C411E2">
              <w:rPr>
                <w:color w:val="000000"/>
                <w:lang w:eastAsia="ja-JP"/>
              </w:rPr>
              <w:t>-0.180**</w:t>
            </w:r>
          </w:p>
        </w:tc>
      </w:tr>
      <w:tr w:rsidR="00B67A3C" w:rsidRPr="00C411E2" w14:paraId="56C5303B"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2DBF24EE" w14:textId="77777777" w:rsidR="00B67A3C" w:rsidRPr="00C411E2" w:rsidRDefault="00B67A3C" w:rsidP="00777918">
            <w:pPr>
              <w:jc w:val="center"/>
              <w:rPr>
                <w:rFonts w:eastAsia="Times New Roman"/>
                <w:color w:val="000000"/>
              </w:rPr>
            </w:pPr>
          </w:p>
        </w:tc>
        <w:tc>
          <w:tcPr>
            <w:tcW w:w="1165" w:type="dxa"/>
            <w:tcBorders>
              <w:top w:val="nil"/>
              <w:left w:val="nil"/>
              <w:bottom w:val="nil"/>
              <w:right w:val="nil"/>
            </w:tcBorders>
            <w:shd w:val="clear" w:color="auto" w:fill="auto"/>
            <w:noWrap/>
            <w:vAlign w:val="center"/>
            <w:hideMark/>
          </w:tcPr>
          <w:p w14:paraId="18F886FF"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115FA886" w14:textId="77777777" w:rsidR="00B67A3C" w:rsidRPr="00C411E2" w:rsidRDefault="00B67A3C" w:rsidP="00777918">
            <w:pPr>
              <w:jc w:val="center"/>
              <w:rPr>
                <w:color w:val="000000"/>
                <w:lang w:eastAsia="ja-JP"/>
              </w:rPr>
            </w:pPr>
            <w:r w:rsidRPr="00C411E2">
              <w:rPr>
                <w:color w:val="000000"/>
                <w:lang w:eastAsia="ja-JP"/>
              </w:rPr>
              <w:t>(0.079)</w:t>
            </w:r>
          </w:p>
        </w:tc>
        <w:tc>
          <w:tcPr>
            <w:tcW w:w="1392" w:type="dxa"/>
            <w:tcBorders>
              <w:top w:val="nil"/>
              <w:left w:val="nil"/>
              <w:bottom w:val="nil"/>
              <w:right w:val="single" w:sz="4" w:space="0" w:color="auto"/>
            </w:tcBorders>
            <w:vAlign w:val="center"/>
          </w:tcPr>
          <w:p w14:paraId="1DD0E5E3" w14:textId="77777777" w:rsidR="00B67A3C" w:rsidRPr="00C411E2" w:rsidRDefault="00B67A3C" w:rsidP="00777918">
            <w:pPr>
              <w:jc w:val="center"/>
              <w:rPr>
                <w:color w:val="000000"/>
                <w:lang w:eastAsia="ja-JP"/>
              </w:rPr>
            </w:pPr>
            <w:r w:rsidRPr="00C411E2">
              <w:rPr>
                <w:color w:val="000000"/>
                <w:lang w:eastAsia="ja-JP"/>
              </w:rPr>
              <w:t>(0.031)</w:t>
            </w:r>
          </w:p>
        </w:tc>
        <w:tc>
          <w:tcPr>
            <w:tcW w:w="1018" w:type="dxa"/>
            <w:tcBorders>
              <w:top w:val="nil"/>
              <w:left w:val="single" w:sz="4" w:space="0" w:color="auto"/>
              <w:bottom w:val="nil"/>
              <w:right w:val="nil"/>
            </w:tcBorders>
            <w:shd w:val="clear" w:color="auto" w:fill="auto"/>
            <w:noWrap/>
            <w:vAlign w:val="center"/>
            <w:hideMark/>
          </w:tcPr>
          <w:p w14:paraId="720FFAB2"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6A117892" w14:textId="77777777" w:rsidR="00B67A3C" w:rsidRPr="00C411E2" w:rsidRDefault="00B67A3C" w:rsidP="00777918">
            <w:pPr>
              <w:jc w:val="center"/>
              <w:rPr>
                <w:rFonts w:eastAsia="Times New Roman"/>
                <w:color w:val="000000"/>
              </w:rPr>
            </w:pPr>
            <w:r w:rsidRPr="00C411E2">
              <w:rPr>
                <w:rFonts w:eastAsia="Times New Roman"/>
                <w:color w:val="000000"/>
              </w:rPr>
              <w:t>(0.0</w:t>
            </w:r>
            <w:r w:rsidRPr="00C411E2">
              <w:rPr>
                <w:color w:val="000000"/>
                <w:lang w:eastAsia="ja-JP"/>
              </w:rPr>
              <w:t>81</w:t>
            </w:r>
            <w:r w:rsidRPr="00C411E2">
              <w:rPr>
                <w:rFonts w:eastAsia="Times New Roman"/>
                <w:color w:val="000000"/>
              </w:rPr>
              <w:t>)</w:t>
            </w:r>
          </w:p>
        </w:tc>
        <w:tc>
          <w:tcPr>
            <w:tcW w:w="1392" w:type="dxa"/>
            <w:tcBorders>
              <w:top w:val="nil"/>
              <w:left w:val="nil"/>
              <w:bottom w:val="nil"/>
            </w:tcBorders>
            <w:vAlign w:val="center"/>
          </w:tcPr>
          <w:p w14:paraId="3B4B6742" w14:textId="77777777" w:rsidR="00B67A3C" w:rsidRPr="00C411E2" w:rsidRDefault="00B67A3C" w:rsidP="00777918">
            <w:pPr>
              <w:jc w:val="center"/>
              <w:rPr>
                <w:color w:val="000000"/>
                <w:lang w:eastAsia="ja-JP"/>
              </w:rPr>
            </w:pPr>
            <w:r w:rsidRPr="00C411E2">
              <w:rPr>
                <w:color w:val="000000"/>
                <w:lang w:eastAsia="ja-JP"/>
              </w:rPr>
              <w:t>(0.074)</w:t>
            </w:r>
          </w:p>
        </w:tc>
      </w:tr>
      <w:tr w:rsidR="00B67A3C" w:rsidRPr="00C411E2" w14:paraId="34560FBE"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65D83ECB" w14:textId="77777777" w:rsidR="00B67A3C" w:rsidRPr="00C411E2" w:rsidRDefault="00B67A3C" w:rsidP="00777918">
            <w:pPr>
              <w:jc w:val="center"/>
              <w:rPr>
                <w:rFonts w:eastAsia="Times New Roman"/>
                <w:color w:val="000000"/>
              </w:rPr>
            </w:pPr>
          </w:p>
        </w:tc>
        <w:tc>
          <w:tcPr>
            <w:tcW w:w="1165" w:type="dxa"/>
            <w:tcBorders>
              <w:top w:val="nil"/>
              <w:left w:val="nil"/>
              <w:bottom w:val="nil"/>
              <w:right w:val="nil"/>
            </w:tcBorders>
            <w:shd w:val="clear" w:color="auto" w:fill="auto"/>
            <w:noWrap/>
            <w:vAlign w:val="center"/>
            <w:hideMark/>
          </w:tcPr>
          <w:p w14:paraId="33EDD926"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46B053C2" w14:textId="77777777" w:rsidR="00B67A3C" w:rsidRPr="00C411E2" w:rsidRDefault="00B67A3C" w:rsidP="00777918">
            <w:pPr>
              <w:jc w:val="center"/>
              <w:rPr>
                <w:rFonts w:eastAsia="Times New Roman"/>
                <w:color w:val="000000"/>
              </w:rPr>
            </w:pPr>
          </w:p>
        </w:tc>
        <w:tc>
          <w:tcPr>
            <w:tcW w:w="1392" w:type="dxa"/>
            <w:tcBorders>
              <w:top w:val="nil"/>
              <w:left w:val="nil"/>
              <w:bottom w:val="nil"/>
              <w:right w:val="single" w:sz="4" w:space="0" w:color="auto"/>
            </w:tcBorders>
            <w:vAlign w:val="center"/>
          </w:tcPr>
          <w:p w14:paraId="758A01DB" w14:textId="77777777" w:rsidR="00B67A3C" w:rsidRPr="00C411E2" w:rsidRDefault="00B67A3C" w:rsidP="00777918">
            <w:pPr>
              <w:jc w:val="center"/>
              <w:rPr>
                <w:rFonts w:eastAsia="Times New Roman"/>
                <w:color w:val="000000"/>
              </w:rPr>
            </w:pPr>
          </w:p>
        </w:tc>
        <w:tc>
          <w:tcPr>
            <w:tcW w:w="1018" w:type="dxa"/>
            <w:tcBorders>
              <w:top w:val="nil"/>
              <w:left w:val="single" w:sz="4" w:space="0" w:color="auto"/>
              <w:bottom w:val="nil"/>
              <w:right w:val="nil"/>
            </w:tcBorders>
            <w:shd w:val="clear" w:color="auto" w:fill="auto"/>
            <w:noWrap/>
            <w:vAlign w:val="center"/>
            <w:hideMark/>
          </w:tcPr>
          <w:p w14:paraId="4A761A3B" w14:textId="77777777" w:rsidR="00B67A3C" w:rsidRPr="00C411E2" w:rsidRDefault="00B67A3C" w:rsidP="00777918">
            <w:pPr>
              <w:jc w:val="center"/>
              <w:rPr>
                <w:rFonts w:eastAsia="Times New Roman"/>
                <w:color w:val="000000"/>
              </w:rPr>
            </w:pPr>
          </w:p>
        </w:tc>
        <w:tc>
          <w:tcPr>
            <w:tcW w:w="1134" w:type="dxa"/>
            <w:tcBorders>
              <w:top w:val="nil"/>
              <w:left w:val="nil"/>
              <w:bottom w:val="nil"/>
              <w:right w:val="nil"/>
            </w:tcBorders>
            <w:shd w:val="clear" w:color="auto" w:fill="auto"/>
            <w:noWrap/>
            <w:vAlign w:val="center"/>
            <w:hideMark/>
          </w:tcPr>
          <w:p w14:paraId="2FD92406" w14:textId="77777777" w:rsidR="00B67A3C" w:rsidRPr="00C411E2" w:rsidRDefault="00B67A3C" w:rsidP="00777918">
            <w:pPr>
              <w:jc w:val="center"/>
              <w:rPr>
                <w:rFonts w:eastAsia="Times New Roman"/>
                <w:color w:val="000000"/>
              </w:rPr>
            </w:pPr>
          </w:p>
        </w:tc>
        <w:tc>
          <w:tcPr>
            <w:tcW w:w="1392" w:type="dxa"/>
            <w:tcBorders>
              <w:top w:val="nil"/>
              <w:left w:val="nil"/>
              <w:bottom w:val="nil"/>
            </w:tcBorders>
            <w:vAlign w:val="center"/>
          </w:tcPr>
          <w:p w14:paraId="3847C4CF" w14:textId="77777777" w:rsidR="00B67A3C" w:rsidRPr="00C411E2" w:rsidRDefault="00B67A3C" w:rsidP="00777918">
            <w:pPr>
              <w:jc w:val="center"/>
              <w:rPr>
                <w:rFonts w:eastAsia="Times New Roman"/>
                <w:color w:val="000000"/>
              </w:rPr>
            </w:pPr>
          </w:p>
        </w:tc>
      </w:tr>
      <w:tr w:rsidR="00B67A3C" w:rsidRPr="00C411E2" w14:paraId="1CBFAE9D"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64A6BDFE" w14:textId="77777777" w:rsidR="00B67A3C" w:rsidRPr="00C411E2" w:rsidRDefault="00B67A3C" w:rsidP="00777918">
            <w:pPr>
              <w:jc w:val="center"/>
              <w:rPr>
                <w:rFonts w:eastAsia="Times New Roman"/>
                <w:color w:val="000000"/>
              </w:rPr>
            </w:pPr>
            <w:r w:rsidRPr="00C411E2">
              <w:rPr>
                <w:rFonts w:eastAsia="Times New Roman"/>
                <w:color w:val="000000"/>
              </w:rPr>
              <w:t>N</w:t>
            </w:r>
          </w:p>
        </w:tc>
        <w:tc>
          <w:tcPr>
            <w:tcW w:w="1165" w:type="dxa"/>
            <w:tcBorders>
              <w:top w:val="nil"/>
              <w:left w:val="nil"/>
              <w:bottom w:val="nil"/>
              <w:right w:val="nil"/>
            </w:tcBorders>
            <w:shd w:val="clear" w:color="auto" w:fill="auto"/>
            <w:noWrap/>
            <w:vAlign w:val="center"/>
            <w:hideMark/>
          </w:tcPr>
          <w:p w14:paraId="6BD3AE89" w14:textId="77777777" w:rsidR="00B67A3C" w:rsidRPr="00C411E2" w:rsidRDefault="00B67A3C" w:rsidP="00777918">
            <w:pPr>
              <w:jc w:val="center"/>
              <w:rPr>
                <w:rFonts w:eastAsia="Times New Roman"/>
                <w:color w:val="000000"/>
              </w:rPr>
            </w:pPr>
            <w:r w:rsidRPr="00C411E2">
              <w:rPr>
                <w:color w:val="000000"/>
                <w:lang w:eastAsia="ja-JP"/>
              </w:rPr>
              <w:t>171</w:t>
            </w:r>
          </w:p>
        </w:tc>
        <w:tc>
          <w:tcPr>
            <w:tcW w:w="1134" w:type="dxa"/>
            <w:tcBorders>
              <w:top w:val="nil"/>
              <w:left w:val="nil"/>
              <w:bottom w:val="nil"/>
              <w:right w:val="nil"/>
            </w:tcBorders>
            <w:shd w:val="clear" w:color="auto" w:fill="auto"/>
            <w:noWrap/>
            <w:vAlign w:val="center"/>
            <w:hideMark/>
          </w:tcPr>
          <w:p w14:paraId="32DBA1E0" w14:textId="77777777" w:rsidR="00B67A3C" w:rsidRPr="00C411E2" w:rsidRDefault="00B67A3C" w:rsidP="00777918">
            <w:pPr>
              <w:jc w:val="center"/>
              <w:rPr>
                <w:rFonts w:eastAsia="Times New Roman"/>
                <w:color w:val="000000"/>
              </w:rPr>
            </w:pPr>
            <w:r w:rsidRPr="00C411E2">
              <w:rPr>
                <w:color w:val="000000"/>
                <w:lang w:eastAsia="ja-JP"/>
              </w:rPr>
              <w:t>162</w:t>
            </w:r>
          </w:p>
        </w:tc>
        <w:tc>
          <w:tcPr>
            <w:tcW w:w="1392" w:type="dxa"/>
            <w:tcBorders>
              <w:top w:val="nil"/>
              <w:left w:val="nil"/>
              <w:bottom w:val="nil"/>
              <w:right w:val="single" w:sz="4" w:space="0" w:color="auto"/>
            </w:tcBorders>
            <w:vAlign w:val="center"/>
          </w:tcPr>
          <w:p w14:paraId="2EDDDBA1" w14:textId="77777777" w:rsidR="00B67A3C" w:rsidRPr="00C411E2" w:rsidRDefault="00B67A3C" w:rsidP="00777918">
            <w:pPr>
              <w:jc w:val="center"/>
              <w:rPr>
                <w:color w:val="000000"/>
                <w:lang w:eastAsia="ja-JP"/>
              </w:rPr>
            </w:pPr>
            <w:r w:rsidRPr="00C411E2">
              <w:rPr>
                <w:color w:val="000000"/>
                <w:lang w:eastAsia="ja-JP"/>
              </w:rPr>
              <w:t>162</w:t>
            </w:r>
          </w:p>
        </w:tc>
        <w:tc>
          <w:tcPr>
            <w:tcW w:w="1018" w:type="dxa"/>
            <w:tcBorders>
              <w:top w:val="nil"/>
              <w:left w:val="single" w:sz="4" w:space="0" w:color="auto"/>
              <w:bottom w:val="nil"/>
              <w:right w:val="nil"/>
            </w:tcBorders>
            <w:shd w:val="clear" w:color="auto" w:fill="auto"/>
            <w:noWrap/>
            <w:vAlign w:val="center"/>
            <w:hideMark/>
          </w:tcPr>
          <w:p w14:paraId="103F6D62" w14:textId="77777777" w:rsidR="00B67A3C" w:rsidRPr="00C411E2" w:rsidRDefault="00B67A3C" w:rsidP="00777918">
            <w:pPr>
              <w:jc w:val="center"/>
              <w:rPr>
                <w:rFonts w:eastAsia="Times New Roman"/>
                <w:color w:val="000000"/>
              </w:rPr>
            </w:pPr>
            <w:r w:rsidRPr="00C411E2">
              <w:rPr>
                <w:color w:val="000000"/>
                <w:lang w:eastAsia="ja-JP"/>
              </w:rPr>
              <w:t>186</w:t>
            </w:r>
          </w:p>
        </w:tc>
        <w:tc>
          <w:tcPr>
            <w:tcW w:w="1134" w:type="dxa"/>
            <w:tcBorders>
              <w:top w:val="nil"/>
              <w:left w:val="nil"/>
              <w:bottom w:val="nil"/>
              <w:right w:val="nil"/>
            </w:tcBorders>
            <w:shd w:val="clear" w:color="auto" w:fill="auto"/>
            <w:noWrap/>
            <w:vAlign w:val="center"/>
            <w:hideMark/>
          </w:tcPr>
          <w:p w14:paraId="6C53FD6C" w14:textId="77777777" w:rsidR="00B67A3C" w:rsidRPr="00C411E2" w:rsidRDefault="00B67A3C" w:rsidP="00777918">
            <w:pPr>
              <w:jc w:val="center"/>
              <w:rPr>
                <w:rFonts w:eastAsia="Times New Roman"/>
                <w:color w:val="000000"/>
              </w:rPr>
            </w:pPr>
            <w:r w:rsidRPr="00C411E2">
              <w:rPr>
                <w:color w:val="000000"/>
                <w:lang w:eastAsia="ja-JP"/>
              </w:rPr>
              <w:t>168</w:t>
            </w:r>
          </w:p>
        </w:tc>
        <w:tc>
          <w:tcPr>
            <w:tcW w:w="1392" w:type="dxa"/>
            <w:tcBorders>
              <w:top w:val="nil"/>
              <w:left w:val="nil"/>
              <w:bottom w:val="nil"/>
            </w:tcBorders>
            <w:vAlign w:val="center"/>
          </w:tcPr>
          <w:p w14:paraId="6D2E1A9B" w14:textId="77777777" w:rsidR="00B67A3C" w:rsidRPr="00C411E2" w:rsidRDefault="00B67A3C" w:rsidP="00777918">
            <w:pPr>
              <w:jc w:val="center"/>
              <w:rPr>
                <w:color w:val="000000"/>
                <w:lang w:eastAsia="ja-JP"/>
              </w:rPr>
            </w:pPr>
            <w:r w:rsidRPr="00C411E2">
              <w:rPr>
                <w:color w:val="000000"/>
                <w:lang w:eastAsia="ja-JP"/>
              </w:rPr>
              <w:t>168</w:t>
            </w:r>
          </w:p>
        </w:tc>
      </w:tr>
      <w:tr w:rsidR="00B67A3C" w:rsidRPr="00C411E2" w14:paraId="7E095187" w14:textId="77777777" w:rsidTr="00777918">
        <w:trPr>
          <w:trHeight w:val="300"/>
        </w:trPr>
        <w:tc>
          <w:tcPr>
            <w:tcW w:w="1095" w:type="dxa"/>
            <w:tcBorders>
              <w:top w:val="nil"/>
              <w:left w:val="nil"/>
              <w:bottom w:val="nil"/>
              <w:right w:val="single" w:sz="4" w:space="0" w:color="auto"/>
            </w:tcBorders>
            <w:shd w:val="clear" w:color="auto" w:fill="auto"/>
            <w:noWrap/>
            <w:vAlign w:val="center"/>
            <w:hideMark/>
          </w:tcPr>
          <w:p w14:paraId="009A6BB8" w14:textId="77777777" w:rsidR="00B67A3C" w:rsidRPr="00C411E2" w:rsidRDefault="00B67A3C" w:rsidP="00777918">
            <w:pPr>
              <w:jc w:val="center"/>
              <w:rPr>
                <w:rFonts w:eastAsia="Times New Roman"/>
                <w:color w:val="000000"/>
              </w:rPr>
            </w:pPr>
            <w:r w:rsidRPr="00C411E2">
              <w:rPr>
                <w:rFonts w:eastAsia="Times New Roman"/>
                <w:color w:val="000000"/>
              </w:rPr>
              <w:t>F</w:t>
            </w:r>
          </w:p>
        </w:tc>
        <w:tc>
          <w:tcPr>
            <w:tcW w:w="1165" w:type="dxa"/>
            <w:tcBorders>
              <w:top w:val="nil"/>
              <w:left w:val="nil"/>
              <w:bottom w:val="nil"/>
              <w:right w:val="nil"/>
            </w:tcBorders>
            <w:shd w:val="clear" w:color="auto" w:fill="auto"/>
            <w:noWrap/>
            <w:vAlign w:val="center"/>
            <w:hideMark/>
          </w:tcPr>
          <w:p w14:paraId="3F232B8A" w14:textId="77777777" w:rsidR="00B67A3C" w:rsidRPr="00C411E2" w:rsidRDefault="00B67A3C" w:rsidP="00777918">
            <w:pPr>
              <w:jc w:val="center"/>
              <w:rPr>
                <w:rFonts w:eastAsia="Times New Roman"/>
                <w:color w:val="000000"/>
              </w:rPr>
            </w:pPr>
            <w:r w:rsidRPr="00C411E2">
              <w:rPr>
                <w:color w:val="000000"/>
                <w:lang w:eastAsia="ja-JP"/>
              </w:rPr>
              <w:t>19.36</w:t>
            </w:r>
          </w:p>
        </w:tc>
        <w:tc>
          <w:tcPr>
            <w:tcW w:w="1134" w:type="dxa"/>
            <w:tcBorders>
              <w:top w:val="nil"/>
              <w:left w:val="nil"/>
              <w:bottom w:val="nil"/>
              <w:right w:val="nil"/>
            </w:tcBorders>
            <w:shd w:val="clear" w:color="auto" w:fill="auto"/>
            <w:noWrap/>
            <w:vAlign w:val="center"/>
            <w:hideMark/>
          </w:tcPr>
          <w:p w14:paraId="434A21BA" w14:textId="77777777" w:rsidR="00B67A3C" w:rsidRPr="00C411E2" w:rsidRDefault="00B67A3C" w:rsidP="00777918">
            <w:pPr>
              <w:jc w:val="center"/>
              <w:rPr>
                <w:rFonts w:eastAsia="Times New Roman"/>
                <w:color w:val="000000"/>
              </w:rPr>
            </w:pPr>
            <w:r w:rsidRPr="00C411E2">
              <w:rPr>
                <w:color w:val="000000"/>
                <w:lang w:eastAsia="ja-JP"/>
              </w:rPr>
              <w:t>1.26</w:t>
            </w:r>
          </w:p>
        </w:tc>
        <w:tc>
          <w:tcPr>
            <w:tcW w:w="1392" w:type="dxa"/>
            <w:tcBorders>
              <w:top w:val="nil"/>
              <w:left w:val="nil"/>
              <w:bottom w:val="nil"/>
              <w:right w:val="single" w:sz="4" w:space="0" w:color="auto"/>
            </w:tcBorders>
            <w:vAlign w:val="center"/>
          </w:tcPr>
          <w:p w14:paraId="0DFCC4A6" w14:textId="77777777" w:rsidR="00B67A3C" w:rsidRPr="00C411E2" w:rsidRDefault="00B67A3C" w:rsidP="00777918">
            <w:pPr>
              <w:jc w:val="center"/>
              <w:rPr>
                <w:color w:val="000000"/>
                <w:lang w:eastAsia="ja-JP"/>
              </w:rPr>
            </w:pPr>
            <w:r w:rsidRPr="00C411E2">
              <w:rPr>
                <w:color w:val="000000"/>
                <w:lang w:eastAsia="ja-JP"/>
              </w:rPr>
              <w:t>10.10</w:t>
            </w:r>
          </w:p>
        </w:tc>
        <w:tc>
          <w:tcPr>
            <w:tcW w:w="1018" w:type="dxa"/>
            <w:tcBorders>
              <w:top w:val="nil"/>
              <w:left w:val="single" w:sz="4" w:space="0" w:color="auto"/>
              <w:bottom w:val="nil"/>
              <w:right w:val="nil"/>
            </w:tcBorders>
            <w:shd w:val="clear" w:color="auto" w:fill="auto"/>
            <w:noWrap/>
            <w:vAlign w:val="center"/>
            <w:hideMark/>
          </w:tcPr>
          <w:p w14:paraId="3510D33F" w14:textId="77777777" w:rsidR="00B67A3C" w:rsidRPr="00C411E2" w:rsidRDefault="00B67A3C" w:rsidP="00777918">
            <w:pPr>
              <w:jc w:val="center"/>
              <w:rPr>
                <w:rFonts w:eastAsia="Times New Roman"/>
                <w:color w:val="000000"/>
              </w:rPr>
            </w:pPr>
            <w:r w:rsidRPr="00C411E2">
              <w:rPr>
                <w:color w:val="000000"/>
                <w:lang w:eastAsia="ja-JP"/>
              </w:rPr>
              <w:t>16.25</w:t>
            </w:r>
          </w:p>
        </w:tc>
        <w:tc>
          <w:tcPr>
            <w:tcW w:w="1134" w:type="dxa"/>
            <w:tcBorders>
              <w:top w:val="nil"/>
              <w:left w:val="nil"/>
              <w:bottom w:val="nil"/>
              <w:right w:val="nil"/>
            </w:tcBorders>
            <w:shd w:val="clear" w:color="auto" w:fill="auto"/>
            <w:noWrap/>
            <w:vAlign w:val="center"/>
            <w:hideMark/>
          </w:tcPr>
          <w:p w14:paraId="6184E18A" w14:textId="77777777" w:rsidR="00B67A3C" w:rsidRPr="00C411E2" w:rsidRDefault="00B67A3C" w:rsidP="00777918">
            <w:pPr>
              <w:jc w:val="center"/>
              <w:rPr>
                <w:rFonts w:eastAsia="Times New Roman"/>
                <w:color w:val="000000"/>
              </w:rPr>
            </w:pPr>
            <w:r w:rsidRPr="00C411E2">
              <w:rPr>
                <w:color w:val="000000"/>
                <w:lang w:eastAsia="ja-JP"/>
              </w:rPr>
              <w:t>3.95</w:t>
            </w:r>
          </w:p>
        </w:tc>
        <w:tc>
          <w:tcPr>
            <w:tcW w:w="1392" w:type="dxa"/>
            <w:tcBorders>
              <w:top w:val="nil"/>
              <w:left w:val="nil"/>
              <w:bottom w:val="nil"/>
            </w:tcBorders>
            <w:vAlign w:val="center"/>
          </w:tcPr>
          <w:p w14:paraId="41CD5A2D" w14:textId="77777777" w:rsidR="00B67A3C" w:rsidRPr="00C411E2" w:rsidRDefault="00B67A3C" w:rsidP="00777918">
            <w:pPr>
              <w:jc w:val="center"/>
              <w:rPr>
                <w:color w:val="000000"/>
                <w:lang w:eastAsia="ja-JP"/>
              </w:rPr>
            </w:pPr>
            <w:r w:rsidRPr="00C411E2">
              <w:rPr>
                <w:color w:val="000000"/>
                <w:lang w:eastAsia="ja-JP"/>
              </w:rPr>
              <w:t xml:space="preserve"> 5.82</w:t>
            </w:r>
          </w:p>
        </w:tc>
      </w:tr>
      <w:tr w:rsidR="00B67A3C" w:rsidRPr="00C411E2" w14:paraId="76BAE4F2" w14:textId="77777777" w:rsidTr="00777918">
        <w:trPr>
          <w:trHeight w:val="300"/>
        </w:trPr>
        <w:tc>
          <w:tcPr>
            <w:tcW w:w="1095" w:type="dxa"/>
            <w:tcBorders>
              <w:top w:val="nil"/>
              <w:left w:val="nil"/>
              <w:right w:val="single" w:sz="4" w:space="0" w:color="auto"/>
            </w:tcBorders>
            <w:shd w:val="clear" w:color="auto" w:fill="auto"/>
            <w:noWrap/>
            <w:vAlign w:val="center"/>
            <w:hideMark/>
          </w:tcPr>
          <w:p w14:paraId="4689986F" w14:textId="69E91D96" w:rsidR="00B67A3C" w:rsidRPr="00C411E2" w:rsidRDefault="00DF2E6A" w:rsidP="00777918">
            <w:pPr>
              <w:jc w:val="center"/>
              <w:rPr>
                <w:rFonts w:eastAsia="Times New Roman"/>
                <w:color w:val="000000"/>
              </w:rPr>
            </w:pPr>
            <w:r w:rsidRPr="00C411E2">
              <w:rPr>
                <w:rFonts w:eastAsia="Times New Roman"/>
                <w:color w:val="000000"/>
              </w:rPr>
              <w:t>P</w:t>
            </w:r>
            <w:r>
              <w:rPr>
                <w:rFonts w:eastAsia="Times New Roman"/>
                <w:color w:val="000000"/>
              </w:rPr>
              <w:t>rob.</w:t>
            </w:r>
          </w:p>
        </w:tc>
        <w:tc>
          <w:tcPr>
            <w:tcW w:w="1165" w:type="dxa"/>
            <w:tcBorders>
              <w:top w:val="nil"/>
              <w:left w:val="nil"/>
              <w:right w:val="nil"/>
            </w:tcBorders>
            <w:shd w:val="clear" w:color="auto" w:fill="auto"/>
            <w:noWrap/>
            <w:vAlign w:val="center"/>
            <w:hideMark/>
          </w:tcPr>
          <w:p w14:paraId="27A9C5D9" w14:textId="77777777" w:rsidR="00B67A3C" w:rsidRPr="00C411E2" w:rsidRDefault="00B67A3C" w:rsidP="00777918">
            <w:pPr>
              <w:jc w:val="center"/>
              <w:rPr>
                <w:rFonts w:eastAsia="Times New Roman"/>
                <w:color w:val="000000"/>
              </w:rPr>
            </w:pPr>
            <w:r w:rsidRPr="00C411E2">
              <w:rPr>
                <w:rFonts w:eastAsia="Times New Roman"/>
                <w:color w:val="000000"/>
              </w:rPr>
              <w:t>0.0</w:t>
            </w:r>
            <w:r w:rsidRPr="00C411E2">
              <w:rPr>
                <w:color w:val="000000"/>
                <w:lang w:eastAsia="ja-JP"/>
              </w:rPr>
              <w:t>00</w:t>
            </w:r>
          </w:p>
        </w:tc>
        <w:tc>
          <w:tcPr>
            <w:tcW w:w="1134" w:type="dxa"/>
            <w:tcBorders>
              <w:top w:val="nil"/>
              <w:left w:val="nil"/>
              <w:right w:val="nil"/>
            </w:tcBorders>
            <w:shd w:val="clear" w:color="auto" w:fill="auto"/>
            <w:noWrap/>
            <w:vAlign w:val="center"/>
            <w:hideMark/>
          </w:tcPr>
          <w:p w14:paraId="3717E269"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274</w:t>
            </w:r>
          </w:p>
        </w:tc>
        <w:tc>
          <w:tcPr>
            <w:tcW w:w="1392" w:type="dxa"/>
            <w:tcBorders>
              <w:top w:val="nil"/>
              <w:left w:val="nil"/>
              <w:right w:val="single" w:sz="4" w:space="0" w:color="auto"/>
            </w:tcBorders>
            <w:vAlign w:val="center"/>
          </w:tcPr>
          <w:p w14:paraId="2A55A20C" w14:textId="77777777" w:rsidR="00B67A3C" w:rsidRPr="00C411E2" w:rsidRDefault="00B67A3C" w:rsidP="00777918">
            <w:pPr>
              <w:jc w:val="center"/>
              <w:rPr>
                <w:color w:val="000000"/>
                <w:lang w:eastAsia="ja-JP"/>
              </w:rPr>
            </w:pPr>
            <w:r w:rsidRPr="00C411E2">
              <w:rPr>
                <w:color w:val="000000"/>
                <w:lang w:eastAsia="ja-JP"/>
              </w:rPr>
              <w:t>0.001</w:t>
            </w:r>
          </w:p>
        </w:tc>
        <w:tc>
          <w:tcPr>
            <w:tcW w:w="1018" w:type="dxa"/>
            <w:tcBorders>
              <w:top w:val="nil"/>
              <w:left w:val="single" w:sz="4" w:space="0" w:color="auto"/>
              <w:right w:val="nil"/>
            </w:tcBorders>
            <w:shd w:val="clear" w:color="auto" w:fill="auto"/>
            <w:noWrap/>
            <w:vAlign w:val="center"/>
            <w:hideMark/>
          </w:tcPr>
          <w:p w14:paraId="32368046" w14:textId="77777777" w:rsidR="00B67A3C" w:rsidRPr="00C411E2" w:rsidRDefault="00B67A3C" w:rsidP="00777918">
            <w:pPr>
              <w:jc w:val="center"/>
              <w:rPr>
                <w:rFonts w:eastAsia="Times New Roman"/>
                <w:color w:val="000000"/>
              </w:rPr>
            </w:pPr>
            <w:r w:rsidRPr="00C411E2">
              <w:rPr>
                <w:rFonts w:eastAsia="Times New Roman"/>
                <w:color w:val="000000"/>
              </w:rPr>
              <w:t>0.00</w:t>
            </w:r>
            <w:r w:rsidRPr="00C411E2">
              <w:rPr>
                <w:color w:val="000000"/>
                <w:lang w:eastAsia="ja-JP"/>
              </w:rPr>
              <w:t>1</w:t>
            </w:r>
          </w:p>
        </w:tc>
        <w:tc>
          <w:tcPr>
            <w:tcW w:w="1134" w:type="dxa"/>
            <w:tcBorders>
              <w:top w:val="nil"/>
              <w:left w:val="nil"/>
              <w:right w:val="nil"/>
            </w:tcBorders>
            <w:shd w:val="clear" w:color="auto" w:fill="auto"/>
            <w:noWrap/>
            <w:vAlign w:val="center"/>
            <w:hideMark/>
          </w:tcPr>
          <w:p w14:paraId="6FE3D611"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063</w:t>
            </w:r>
          </w:p>
        </w:tc>
        <w:tc>
          <w:tcPr>
            <w:tcW w:w="1392" w:type="dxa"/>
            <w:tcBorders>
              <w:top w:val="nil"/>
              <w:left w:val="nil"/>
            </w:tcBorders>
            <w:vAlign w:val="center"/>
          </w:tcPr>
          <w:p w14:paraId="129845D0" w14:textId="77777777" w:rsidR="00B67A3C" w:rsidRPr="00C411E2" w:rsidRDefault="00B67A3C" w:rsidP="00777918">
            <w:pPr>
              <w:jc w:val="center"/>
              <w:rPr>
                <w:color w:val="000000"/>
                <w:lang w:eastAsia="ja-JP"/>
              </w:rPr>
            </w:pPr>
            <w:r w:rsidRPr="00C411E2">
              <w:rPr>
                <w:color w:val="000000"/>
                <w:lang w:eastAsia="ja-JP"/>
              </w:rPr>
              <w:t>0.012</w:t>
            </w:r>
          </w:p>
        </w:tc>
      </w:tr>
      <w:tr w:rsidR="00B67A3C" w:rsidRPr="00C411E2" w14:paraId="267913DA" w14:textId="77777777" w:rsidTr="00777918">
        <w:trPr>
          <w:trHeight w:val="360"/>
        </w:trPr>
        <w:tc>
          <w:tcPr>
            <w:tcW w:w="1095" w:type="dxa"/>
            <w:tcBorders>
              <w:top w:val="nil"/>
              <w:left w:val="nil"/>
              <w:bottom w:val="double" w:sz="4" w:space="0" w:color="auto"/>
              <w:right w:val="single" w:sz="4" w:space="0" w:color="auto"/>
            </w:tcBorders>
            <w:shd w:val="clear" w:color="auto" w:fill="auto"/>
            <w:noWrap/>
            <w:vAlign w:val="center"/>
            <w:hideMark/>
          </w:tcPr>
          <w:p w14:paraId="7AEE1471" w14:textId="77777777" w:rsidR="00B67A3C" w:rsidRPr="00C411E2" w:rsidRDefault="00B67A3C" w:rsidP="00777918">
            <w:pPr>
              <w:jc w:val="center"/>
              <w:rPr>
                <w:rFonts w:eastAsia="Times New Roman"/>
                <w:color w:val="000000"/>
              </w:rPr>
            </w:pPr>
            <w:r w:rsidRPr="00C411E2">
              <w:rPr>
                <w:rFonts w:eastAsia="Times New Roman"/>
                <w:color w:val="000000"/>
              </w:rPr>
              <w:t>adj. R2</w:t>
            </w:r>
          </w:p>
        </w:tc>
        <w:tc>
          <w:tcPr>
            <w:tcW w:w="1165" w:type="dxa"/>
            <w:tcBorders>
              <w:top w:val="nil"/>
              <w:left w:val="nil"/>
              <w:bottom w:val="double" w:sz="4" w:space="0" w:color="auto"/>
              <w:right w:val="nil"/>
            </w:tcBorders>
            <w:shd w:val="clear" w:color="auto" w:fill="auto"/>
            <w:noWrap/>
            <w:vAlign w:val="center"/>
            <w:hideMark/>
          </w:tcPr>
          <w:p w14:paraId="1A932F0F"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43</w:t>
            </w:r>
          </w:p>
        </w:tc>
        <w:tc>
          <w:tcPr>
            <w:tcW w:w="1134" w:type="dxa"/>
            <w:tcBorders>
              <w:top w:val="nil"/>
              <w:left w:val="nil"/>
              <w:bottom w:val="double" w:sz="4" w:space="0" w:color="auto"/>
              <w:right w:val="nil"/>
            </w:tcBorders>
            <w:shd w:val="clear" w:color="auto" w:fill="auto"/>
            <w:noWrap/>
            <w:vAlign w:val="center"/>
            <w:hideMark/>
          </w:tcPr>
          <w:p w14:paraId="1B811D9B"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01</w:t>
            </w:r>
          </w:p>
        </w:tc>
        <w:tc>
          <w:tcPr>
            <w:tcW w:w="1392" w:type="dxa"/>
            <w:tcBorders>
              <w:top w:val="nil"/>
              <w:left w:val="nil"/>
              <w:bottom w:val="double" w:sz="4" w:space="0" w:color="auto"/>
              <w:right w:val="single" w:sz="4" w:space="0" w:color="auto"/>
            </w:tcBorders>
            <w:vAlign w:val="center"/>
          </w:tcPr>
          <w:p w14:paraId="43597DE7" w14:textId="77777777" w:rsidR="00B67A3C" w:rsidRPr="00C411E2" w:rsidRDefault="00B67A3C" w:rsidP="00777918">
            <w:pPr>
              <w:jc w:val="center"/>
              <w:rPr>
                <w:color w:val="000000"/>
                <w:lang w:eastAsia="ja-JP"/>
              </w:rPr>
            </w:pPr>
            <w:r w:rsidRPr="00C411E2">
              <w:rPr>
                <w:color w:val="000000"/>
                <w:lang w:eastAsia="ja-JP"/>
              </w:rPr>
              <w:t>0.43</w:t>
            </w:r>
          </w:p>
        </w:tc>
        <w:tc>
          <w:tcPr>
            <w:tcW w:w="1018" w:type="dxa"/>
            <w:tcBorders>
              <w:top w:val="nil"/>
              <w:left w:val="single" w:sz="4" w:space="0" w:color="auto"/>
              <w:bottom w:val="double" w:sz="4" w:space="0" w:color="auto"/>
              <w:right w:val="nil"/>
            </w:tcBorders>
            <w:shd w:val="clear" w:color="auto" w:fill="auto"/>
            <w:noWrap/>
            <w:vAlign w:val="center"/>
            <w:hideMark/>
          </w:tcPr>
          <w:p w14:paraId="5B3FE267" w14:textId="77777777" w:rsidR="00B67A3C" w:rsidRPr="00C411E2" w:rsidRDefault="00B67A3C" w:rsidP="00777918">
            <w:pPr>
              <w:jc w:val="center"/>
              <w:rPr>
                <w:rFonts w:eastAsia="Times New Roman"/>
                <w:color w:val="000000"/>
              </w:rPr>
            </w:pPr>
            <w:r w:rsidRPr="00C411E2">
              <w:rPr>
                <w:color w:val="000000"/>
                <w:lang w:eastAsia="ja-JP"/>
              </w:rPr>
              <w:t>0.08</w:t>
            </w:r>
          </w:p>
        </w:tc>
        <w:tc>
          <w:tcPr>
            <w:tcW w:w="1134" w:type="dxa"/>
            <w:tcBorders>
              <w:top w:val="nil"/>
              <w:left w:val="nil"/>
              <w:bottom w:val="double" w:sz="4" w:space="0" w:color="auto"/>
              <w:right w:val="nil"/>
            </w:tcBorders>
            <w:shd w:val="clear" w:color="auto" w:fill="auto"/>
            <w:noWrap/>
            <w:vAlign w:val="center"/>
            <w:hideMark/>
          </w:tcPr>
          <w:p w14:paraId="3CDD814E" w14:textId="77777777" w:rsidR="00B67A3C" w:rsidRPr="00C411E2" w:rsidRDefault="00B67A3C" w:rsidP="00777918">
            <w:pPr>
              <w:jc w:val="center"/>
              <w:rPr>
                <w:rFonts w:eastAsia="Times New Roman"/>
                <w:color w:val="000000"/>
              </w:rPr>
            </w:pPr>
            <w:r w:rsidRPr="00C411E2">
              <w:rPr>
                <w:rFonts w:eastAsia="Times New Roman"/>
                <w:color w:val="000000"/>
              </w:rPr>
              <w:t>0.</w:t>
            </w:r>
            <w:r w:rsidRPr="00C411E2">
              <w:rPr>
                <w:color w:val="000000"/>
                <w:lang w:eastAsia="ja-JP"/>
              </w:rPr>
              <w:t>08</w:t>
            </w:r>
          </w:p>
        </w:tc>
        <w:tc>
          <w:tcPr>
            <w:tcW w:w="1392" w:type="dxa"/>
            <w:tcBorders>
              <w:top w:val="nil"/>
              <w:left w:val="nil"/>
              <w:bottom w:val="double" w:sz="4" w:space="0" w:color="auto"/>
            </w:tcBorders>
            <w:vAlign w:val="center"/>
          </w:tcPr>
          <w:p w14:paraId="18B658CB" w14:textId="77777777" w:rsidR="00B67A3C" w:rsidRPr="00C411E2" w:rsidRDefault="00B67A3C" w:rsidP="00777918">
            <w:pPr>
              <w:jc w:val="center"/>
              <w:rPr>
                <w:color w:val="000000"/>
                <w:lang w:eastAsia="ja-JP"/>
              </w:rPr>
            </w:pPr>
            <w:r w:rsidRPr="00C411E2">
              <w:rPr>
                <w:color w:val="000000"/>
                <w:lang w:eastAsia="ja-JP"/>
              </w:rPr>
              <w:t>0.13</w:t>
            </w:r>
          </w:p>
        </w:tc>
      </w:tr>
      <w:tr w:rsidR="00B67A3C" w:rsidRPr="00C411E2" w14:paraId="7F33408B" w14:textId="77777777" w:rsidTr="00777918">
        <w:trPr>
          <w:trHeight w:val="360"/>
        </w:trPr>
        <w:tc>
          <w:tcPr>
            <w:tcW w:w="8330" w:type="dxa"/>
            <w:gridSpan w:val="7"/>
            <w:tcBorders>
              <w:top w:val="double" w:sz="4" w:space="0" w:color="auto"/>
              <w:left w:val="nil"/>
            </w:tcBorders>
            <w:shd w:val="clear" w:color="auto" w:fill="auto"/>
            <w:noWrap/>
            <w:vAlign w:val="center"/>
          </w:tcPr>
          <w:p w14:paraId="0DFB5D34" w14:textId="77777777" w:rsidR="00B67A3C" w:rsidRPr="00C411E2" w:rsidRDefault="00B67A3C" w:rsidP="00777918">
            <w:pPr>
              <w:rPr>
                <w:color w:val="000000"/>
                <w:lang w:eastAsia="ja-JP"/>
              </w:rPr>
            </w:pPr>
            <w:r w:rsidRPr="00C411E2">
              <w:rPr>
                <w:rFonts w:eastAsia="Times New Roman"/>
                <w:color w:val="000000"/>
              </w:rPr>
              <w:t xml:space="preserve">Notes: Standard errors clustered by </w:t>
            </w:r>
            <w:r w:rsidRPr="00C411E2">
              <w:rPr>
                <w:color w:val="000000"/>
                <w:lang w:eastAsia="ja-JP"/>
              </w:rPr>
              <w:t>session</w:t>
            </w:r>
            <w:r w:rsidRPr="00C411E2">
              <w:rPr>
                <w:rFonts w:eastAsia="Times New Roman"/>
                <w:color w:val="000000"/>
              </w:rPr>
              <w:t xml:space="preserve"> in parenthesis.  Significance levels: * (10%), ** (5%) and *** (1%).</w:t>
            </w:r>
          </w:p>
        </w:tc>
      </w:tr>
    </w:tbl>
    <w:p w14:paraId="6C401E96" w14:textId="77777777" w:rsidR="00B67A3C" w:rsidRPr="00E97161" w:rsidRDefault="00B67A3C" w:rsidP="00B67A3C">
      <w:pPr>
        <w:pStyle w:val="Numberedlistitemspaced"/>
        <w:numPr>
          <w:ilvl w:val="0"/>
          <w:numId w:val="0"/>
        </w:numPr>
        <w:spacing w:line="360" w:lineRule="auto"/>
        <w:ind w:left="360" w:hanging="360"/>
        <w:rPr>
          <w:rFonts w:ascii="Times New Roman" w:hAnsi="Times New Roman"/>
          <w:sz w:val="24"/>
          <w:szCs w:val="24"/>
          <w:lang w:eastAsia="ja-JP"/>
        </w:rPr>
      </w:pPr>
    </w:p>
    <w:p w14:paraId="19014450" w14:textId="77777777" w:rsidR="00F15CFA" w:rsidRDefault="00F15CFA" w:rsidP="00F15CFA">
      <w:pPr>
        <w:spacing w:beforeLines="50" w:before="120" w:line="480" w:lineRule="auto"/>
        <w:jc w:val="both"/>
        <w:rPr>
          <w:sz w:val="22"/>
          <w:szCs w:val="22"/>
          <w:lang w:eastAsia="ja-JP"/>
        </w:rPr>
      </w:pPr>
    </w:p>
    <w:p w14:paraId="60A6637D" w14:textId="77777777" w:rsidR="00F15CFA" w:rsidRDefault="00F15CFA" w:rsidP="00F15CFA">
      <w:pPr>
        <w:spacing w:line="480" w:lineRule="auto"/>
        <w:jc w:val="center"/>
        <w:rPr>
          <w:b/>
          <w:sz w:val="24"/>
          <w:lang w:eastAsia="ja-JP"/>
        </w:rPr>
        <w:sectPr w:rsidR="00F15CFA" w:rsidSect="00A964ED">
          <w:endnotePr>
            <w:numFmt w:val="decimal"/>
          </w:endnotePr>
          <w:pgSz w:w="11907" w:h="16840" w:code="9"/>
          <w:pgMar w:top="1440" w:right="1440" w:bottom="1440" w:left="1440" w:header="850" w:footer="994" w:gutter="0"/>
          <w:cols w:space="425"/>
          <w:docGrid w:linePitch="552"/>
        </w:sectPr>
      </w:pPr>
    </w:p>
    <w:p w14:paraId="7ADA24D5" w14:textId="77777777" w:rsidR="000C50F0" w:rsidRDefault="000C50F0" w:rsidP="000C50F0">
      <w:pPr>
        <w:jc w:val="center"/>
        <w:rPr>
          <w:b/>
          <w:sz w:val="24"/>
          <w:lang w:eastAsia="ja-JP"/>
        </w:rPr>
      </w:pPr>
      <w:r>
        <w:rPr>
          <w:b/>
          <w:sz w:val="24"/>
          <w:lang w:eastAsia="ja-JP"/>
        </w:rPr>
        <w:lastRenderedPageBreak/>
        <w:t>Figure</w:t>
      </w:r>
      <w:r w:rsidRPr="00C83731">
        <w:rPr>
          <w:b/>
          <w:sz w:val="24"/>
          <w:lang w:eastAsia="ja-JP"/>
        </w:rPr>
        <w:t xml:space="preserve"> </w:t>
      </w:r>
      <w:r w:rsidR="004631CE">
        <w:rPr>
          <w:rFonts w:hint="eastAsia"/>
          <w:b/>
          <w:sz w:val="24"/>
          <w:lang w:eastAsia="ja-JP"/>
        </w:rPr>
        <w:t>1</w:t>
      </w:r>
      <w:r>
        <w:rPr>
          <w:b/>
          <w:sz w:val="24"/>
          <w:lang w:eastAsia="ja-JP"/>
        </w:rPr>
        <w:t>:</w:t>
      </w:r>
      <w:r w:rsidRPr="00C83731">
        <w:rPr>
          <w:b/>
          <w:sz w:val="24"/>
          <w:lang w:eastAsia="ja-JP"/>
        </w:rPr>
        <w:t xml:space="preserve"> Overlapping generations</w:t>
      </w:r>
    </w:p>
    <w:p w14:paraId="1DC3FCD0" w14:textId="77777777" w:rsidR="000C50F0" w:rsidRPr="00C83731" w:rsidRDefault="000C50F0" w:rsidP="000C50F0">
      <w:pPr>
        <w:jc w:val="both"/>
        <w:rPr>
          <w:b/>
          <w:sz w:val="24"/>
          <w:lang w:eastAsia="ja-JP"/>
        </w:rPr>
      </w:pPr>
    </w:p>
    <w:tbl>
      <w:tblPr>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29"/>
        <w:gridCol w:w="490"/>
        <w:gridCol w:w="491"/>
        <w:gridCol w:w="491"/>
        <w:gridCol w:w="490"/>
        <w:gridCol w:w="491"/>
        <w:gridCol w:w="491"/>
        <w:gridCol w:w="490"/>
        <w:gridCol w:w="491"/>
        <w:gridCol w:w="491"/>
        <w:gridCol w:w="490"/>
        <w:gridCol w:w="491"/>
        <w:gridCol w:w="491"/>
        <w:gridCol w:w="490"/>
        <w:gridCol w:w="491"/>
        <w:gridCol w:w="491"/>
        <w:gridCol w:w="491"/>
        <w:gridCol w:w="518"/>
      </w:tblGrid>
      <w:tr w:rsidR="000C50F0" w:rsidRPr="004B0BFC" w14:paraId="3E20C1E0" w14:textId="77777777" w:rsidTr="00616C2F">
        <w:trPr>
          <w:trHeight w:val="567"/>
        </w:trPr>
        <w:tc>
          <w:tcPr>
            <w:tcW w:w="675" w:type="dxa"/>
            <w:tcBorders>
              <w:bottom w:val="single" w:sz="18" w:space="0" w:color="000000"/>
            </w:tcBorders>
            <w:vAlign w:val="center"/>
          </w:tcPr>
          <w:p w14:paraId="02C66DBD" w14:textId="77777777" w:rsidR="000C50F0" w:rsidRPr="00121434" w:rsidRDefault="00926D3D" w:rsidP="00F43DFC">
            <w:pPr>
              <w:jc w:val="center"/>
              <w:rPr>
                <w:sz w:val="18"/>
                <w:szCs w:val="18"/>
                <w:lang w:eastAsia="ja-JP"/>
              </w:rPr>
            </w:pPr>
            <w:r w:rsidRPr="00121434">
              <w:rPr>
                <w:sz w:val="18"/>
                <w:szCs w:val="18"/>
                <w:lang w:eastAsia="ja-JP"/>
              </w:rPr>
              <w:t>Treat</w:t>
            </w:r>
            <w:r w:rsidR="00CD366E">
              <w:rPr>
                <w:rFonts w:hint="eastAsia"/>
                <w:sz w:val="18"/>
                <w:szCs w:val="18"/>
                <w:lang w:eastAsia="ja-JP"/>
              </w:rPr>
              <w:t>-</w:t>
            </w:r>
            <w:proofErr w:type="spellStart"/>
            <w:r w:rsidRPr="00121434">
              <w:rPr>
                <w:sz w:val="18"/>
                <w:szCs w:val="18"/>
                <w:lang w:eastAsia="ja-JP"/>
              </w:rPr>
              <w:t>ment</w:t>
            </w:r>
            <w:proofErr w:type="spellEnd"/>
          </w:p>
        </w:tc>
        <w:tc>
          <w:tcPr>
            <w:tcW w:w="729" w:type="dxa"/>
            <w:tcBorders>
              <w:bottom w:val="single" w:sz="18" w:space="0" w:color="000000"/>
              <w:tl2br w:val="single" w:sz="4" w:space="0" w:color="000000"/>
            </w:tcBorders>
            <w:vAlign w:val="center"/>
          </w:tcPr>
          <w:p w14:paraId="116CABA7" w14:textId="77777777" w:rsidR="00E9154C" w:rsidRPr="00121434" w:rsidRDefault="00CD366E" w:rsidP="00121434">
            <w:pPr>
              <w:wordWrap w:val="0"/>
              <w:jc w:val="right"/>
              <w:rPr>
                <w:sz w:val="14"/>
                <w:szCs w:val="14"/>
                <w:lang w:eastAsia="ja-JP"/>
              </w:rPr>
            </w:pPr>
            <w:r>
              <w:rPr>
                <w:rFonts w:hint="eastAsia"/>
                <w:sz w:val="14"/>
                <w:szCs w:val="14"/>
                <w:lang w:eastAsia="ja-JP"/>
              </w:rPr>
              <w:t xml:space="preserve">  </w:t>
            </w:r>
            <w:r w:rsidR="00926D3D" w:rsidRPr="00121434">
              <w:rPr>
                <w:sz w:val="14"/>
                <w:szCs w:val="14"/>
                <w:lang w:eastAsia="ja-JP"/>
              </w:rPr>
              <w:t>Period</w:t>
            </w:r>
          </w:p>
          <w:p w14:paraId="1101DDCB" w14:textId="77777777" w:rsidR="00CD366E" w:rsidRDefault="00CD366E" w:rsidP="00F43DFC">
            <w:pPr>
              <w:rPr>
                <w:sz w:val="12"/>
                <w:szCs w:val="12"/>
                <w:lang w:eastAsia="ja-JP"/>
              </w:rPr>
            </w:pPr>
          </w:p>
          <w:p w14:paraId="0FA6811A" w14:textId="77777777" w:rsidR="000C50F0" w:rsidRPr="00121434" w:rsidRDefault="00926D3D" w:rsidP="00F43DFC">
            <w:pPr>
              <w:rPr>
                <w:sz w:val="12"/>
                <w:szCs w:val="12"/>
                <w:lang w:eastAsia="ja-JP"/>
              </w:rPr>
            </w:pPr>
            <w:r w:rsidRPr="00121434">
              <w:rPr>
                <w:sz w:val="12"/>
                <w:szCs w:val="12"/>
                <w:lang w:eastAsia="ja-JP"/>
              </w:rPr>
              <w:t># of</w:t>
            </w:r>
          </w:p>
          <w:p w14:paraId="01B37972" w14:textId="77777777" w:rsidR="000C50F0" w:rsidRPr="003C32D9" w:rsidRDefault="00926D3D" w:rsidP="00F43DFC">
            <w:pPr>
              <w:rPr>
                <w:sz w:val="14"/>
                <w:szCs w:val="14"/>
                <w:lang w:eastAsia="ja-JP"/>
              </w:rPr>
            </w:pPr>
            <w:r w:rsidRPr="00121434">
              <w:rPr>
                <w:sz w:val="12"/>
                <w:szCs w:val="12"/>
                <w:lang w:eastAsia="ja-JP"/>
              </w:rPr>
              <w:t>Subjects</w:t>
            </w:r>
          </w:p>
        </w:tc>
        <w:tc>
          <w:tcPr>
            <w:tcW w:w="490" w:type="dxa"/>
            <w:tcBorders>
              <w:bottom w:val="single" w:sz="18" w:space="0" w:color="000000"/>
            </w:tcBorders>
            <w:vAlign w:val="center"/>
          </w:tcPr>
          <w:p w14:paraId="5D46CA54" w14:textId="77777777" w:rsidR="000C50F0" w:rsidRPr="004B0BFC" w:rsidRDefault="000C50F0" w:rsidP="00F43DFC">
            <w:pPr>
              <w:jc w:val="center"/>
              <w:rPr>
                <w:sz w:val="24"/>
                <w:lang w:eastAsia="ja-JP"/>
              </w:rPr>
            </w:pPr>
            <w:r w:rsidRPr="004B0BFC">
              <w:rPr>
                <w:sz w:val="24"/>
                <w:lang w:eastAsia="ja-JP"/>
              </w:rPr>
              <w:t>1</w:t>
            </w:r>
          </w:p>
        </w:tc>
        <w:tc>
          <w:tcPr>
            <w:tcW w:w="491" w:type="dxa"/>
            <w:tcBorders>
              <w:bottom w:val="single" w:sz="18" w:space="0" w:color="000000"/>
            </w:tcBorders>
            <w:vAlign w:val="center"/>
          </w:tcPr>
          <w:p w14:paraId="7FCCD008" w14:textId="77777777" w:rsidR="000C50F0" w:rsidRPr="004B0BFC" w:rsidRDefault="000C50F0" w:rsidP="00F43DFC">
            <w:pPr>
              <w:jc w:val="center"/>
              <w:rPr>
                <w:sz w:val="24"/>
                <w:lang w:eastAsia="ja-JP"/>
              </w:rPr>
            </w:pPr>
            <w:r w:rsidRPr="004B0BFC">
              <w:rPr>
                <w:sz w:val="24"/>
                <w:lang w:eastAsia="ja-JP"/>
              </w:rPr>
              <w:t>2</w:t>
            </w:r>
          </w:p>
        </w:tc>
        <w:tc>
          <w:tcPr>
            <w:tcW w:w="491" w:type="dxa"/>
            <w:tcBorders>
              <w:bottom w:val="single" w:sz="18" w:space="0" w:color="000000"/>
            </w:tcBorders>
            <w:vAlign w:val="center"/>
          </w:tcPr>
          <w:p w14:paraId="6F55B9BD" w14:textId="77777777" w:rsidR="000C50F0" w:rsidRPr="004B0BFC" w:rsidRDefault="000C50F0" w:rsidP="00F43DFC">
            <w:pPr>
              <w:jc w:val="center"/>
              <w:rPr>
                <w:sz w:val="24"/>
                <w:lang w:eastAsia="ja-JP"/>
              </w:rPr>
            </w:pPr>
            <w:r w:rsidRPr="004B0BFC">
              <w:rPr>
                <w:sz w:val="24"/>
                <w:lang w:eastAsia="ja-JP"/>
              </w:rPr>
              <w:t>3</w:t>
            </w:r>
          </w:p>
        </w:tc>
        <w:tc>
          <w:tcPr>
            <w:tcW w:w="490" w:type="dxa"/>
            <w:tcBorders>
              <w:bottom w:val="single" w:sz="18" w:space="0" w:color="000000"/>
            </w:tcBorders>
            <w:vAlign w:val="center"/>
          </w:tcPr>
          <w:p w14:paraId="46C38B29" w14:textId="77777777" w:rsidR="000C50F0" w:rsidRPr="004B0BFC" w:rsidRDefault="000C50F0" w:rsidP="00F43DFC">
            <w:pPr>
              <w:jc w:val="center"/>
              <w:rPr>
                <w:sz w:val="24"/>
                <w:lang w:eastAsia="ja-JP"/>
              </w:rPr>
            </w:pPr>
            <w:r w:rsidRPr="004B0BFC">
              <w:rPr>
                <w:sz w:val="24"/>
                <w:lang w:eastAsia="ja-JP"/>
              </w:rPr>
              <w:t>4</w:t>
            </w:r>
          </w:p>
        </w:tc>
        <w:tc>
          <w:tcPr>
            <w:tcW w:w="491" w:type="dxa"/>
            <w:tcBorders>
              <w:bottom w:val="single" w:sz="18" w:space="0" w:color="000000"/>
            </w:tcBorders>
            <w:vAlign w:val="center"/>
          </w:tcPr>
          <w:p w14:paraId="56BE7557" w14:textId="77777777" w:rsidR="000C50F0" w:rsidRPr="004B0BFC" w:rsidRDefault="000C50F0" w:rsidP="00F43DFC">
            <w:pPr>
              <w:jc w:val="center"/>
              <w:rPr>
                <w:sz w:val="24"/>
                <w:lang w:eastAsia="ja-JP"/>
              </w:rPr>
            </w:pPr>
            <w:r w:rsidRPr="004B0BFC">
              <w:rPr>
                <w:sz w:val="24"/>
                <w:lang w:eastAsia="ja-JP"/>
              </w:rPr>
              <w:t>5</w:t>
            </w:r>
          </w:p>
        </w:tc>
        <w:tc>
          <w:tcPr>
            <w:tcW w:w="491" w:type="dxa"/>
            <w:tcBorders>
              <w:bottom w:val="single" w:sz="18" w:space="0" w:color="000000"/>
            </w:tcBorders>
            <w:vAlign w:val="center"/>
          </w:tcPr>
          <w:p w14:paraId="63A87574" w14:textId="77777777" w:rsidR="000C50F0" w:rsidRPr="004B0BFC" w:rsidRDefault="000C50F0" w:rsidP="00F43DFC">
            <w:pPr>
              <w:jc w:val="center"/>
              <w:rPr>
                <w:sz w:val="24"/>
                <w:lang w:eastAsia="ja-JP"/>
              </w:rPr>
            </w:pPr>
            <w:r w:rsidRPr="004B0BFC">
              <w:rPr>
                <w:sz w:val="24"/>
                <w:lang w:eastAsia="ja-JP"/>
              </w:rPr>
              <w:t>6</w:t>
            </w:r>
          </w:p>
        </w:tc>
        <w:tc>
          <w:tcPr>
            <w:tcW w:w="490" w:type="dxa"/>
            <w:tcBorders>
              <w:bottom w:val="single" w:sz="18" w:space="0" w:color="000000"/>
            </w:tcBorders>
            <w:vAlign w:val="center"/>
          </w:tcPr>
          <w:p w14:paraId="50AEBDBA" w14:textId="77777777" w:rsidR="000C50F0" w:rsidRPr="004B0BFC" w:rsidRDefault="000C50F0" w:rsidP="00F43DFC">
            <w:pPr>
              <w:jc w:val="center"/>
              <w:rPr>
                <w:sz w:val="24"/>
                <w:lang w:eastAsia="ja-JP"/>
              </w:rPr>
            </w:pPr>
            <w:r w:rsidRPr="004B0BFC">
              <w:rPr>
                <w:sz w:val="24"/>
                <w:lang w:eastAsia="ja-JP"/>
              </w:rPr>
              <w:t>7</w:t>
            </w:r>
          </w:p>
        </w:tc>
        <w:tc>
          <w:tcPr>
            <w:tcW w:w="491" w:type="dxa"/>
            <w:tcBorders>
              <w:bottom w:val="single" w:sz="18" w:space="0" w:color="000000"/>
            </w:tcBorders>
            <w:vAlign w:val="center"/>
          </w:tcPr>
          <w:p w14:paraId="5AB17990" w14:textId="77777777" w:rsidR="000C50F0" w:rsidRPr="004B0BFC" w:rsidRDefault="000C50F0" w:rsidP="00F43DFC">
            <w:pPr>
              <w:jc w:val="center"/>
              <w:rPr>
                <w:sz w:val="24"/>
                <w:lang w:eastAsia="ja-JP"/>
              </w:rPr>
            </w:pPr>
            <w:r w:rsidRPr="004B0BFC">
              <w:rPr>
                <w:sz w:val="24"/>
                <w:lang w:eastAsia="ja-JP"/>
              </w:rPr>
              <w:t>8</w:t>
            </w:r>
          </w:p>
        </w:tc>
        <w:tc>
          <w:tcPr>
            <w:tcW w:w="491" w:type="dxa"/>
            <w:tcBorders>
              <w:bottom w:val="single" w:sz="18" w:space="0" w:color="000000"/>
            </w:tcBorders>
            <w:vAlign w:val="center"/>
          </w:tcPr>
          <w:p w14:paraId="65915FDA" w14:textId="77777777" w:rsidR="000C50F0" w:rsidRPr="004B0BFC" w:rsidRDefault="000C50F0" w:rsidP="00F43DFC">
            <w:pPr>
              <w:jc w:val="center"/>
              <w:rPr>
                <w:sz w:val="24"/>
                <w:lang w:eastAsia="ja-JP"/>
              </w:rPr>
            </w:pPr>
            <w:r w:rsidRPr="004B0BFC">
              <w:rPr>
                <w:sz w:val="24"/>
                <w:lang w:eastAsia="ja-JP"/>
              </w:rPr>
              <w:t>9</w:t>
            </w:r>
          </w:p>
        </w:tc>
        <w:tc>
          <w:tcPr>
            <w:tcW w:w="490" w:type="dxa"/>
            <w:tcBorders>
              <w:bottom w:val="single" w:sz="18" w:space="0" w:color="000000"/>
            </w:tcBorders>
            <w:vAlign w:val="center"/>
          </w:tcPr>
          <w:p w14:paraId="15172688" w14:textId="77777777" w:rsidR="000C50F0" w:rsidRPr="004B0BFC" w:rsidRDefault="000C50F0" w:rsidP="00F43DFC">
            <w:pPr>
              <w:jc w:val="center"/>
              <w:rPr>
                <w:sz w:val="24"/>
                <w:lang w:eastAsia="ja-JP"/>
              </w:rPr>
            </w:pPr>
            <w:r w:rsidRPr="004B0BFC">
              <w:rPr>
                <w:sz w:val="24"/>
                <w:lang w:eastAsia="ja-JP"/>
              </w:rPr>
              <w:t>10</w:t>
            </w:r>
          </w:p>
        </w:tc>
        <w:tc>
          <w:tcPr>
            <w:tcW w:w="491" w:type="dxa"/>
            <w:tcBorders>
              <w:bottom w:val="single" w:sz="18" w:space="0" w:color="000000"/>
            </w:tcBorders>
            <w:vAlign w:val="center"/>
          </w:tcPr>
          <w:p w14:paraId="342DFE4F" w14:textId="77777777" w:rsidR="000C50F0" w:rsidRPr="004B0BFC" w:rsidRDefault="000C50F0" w:rsidP="00F43DFC">
            <w:pPr>
              <w:jc w:val="center"/>
              <w:rPr>
                <w:sz w:val="24"/>
                <w:lang w:eastAsia="ja-JP"/>
              </w:rPr>
            </w:pPr>
            <w:r w:rsidRPr="004B0BFC">
              <w:rPr>
                <w:sz w:val="24"/>
                <w:lang w:eastAsia="ja-JP"/>
              </w:rPr>
              <w:t>11</w:t>
            </w:r>
          </w:p>
        </w:tc>
        <w:tc>
          <w:tcPr>
            <w:tcW w:w="491" w:type="dxa"/>
            <w:tcBorders>
              <w:bottom w:val="single" w:sz="18" w:space="0" w:color="000000"/>
            </w:tcBorders>
            <w:vAlign w:val="center"/>
          </w:tcPr>
          <w:p w14:paraId="6381DA70" w14:textId="77777777" w:rsidR="000C50F0" w:rsidRPr="004B0BFC" w:rsidRDefault="000C50F0" w:rsidP="00F43DFC">
            <w:pPr>
              <w:jc w:val="center"/>
              <w:rPr>
                <w:sz w:val="24"/>
                <w:lang w:eastAsia="ja-JP"/>
              </w:rPr>
            </w:pPr>
            <w:r w:rsidRPr="004B0BFC">
              <w:rPr>
                <w:sz w:val="24"/>
                <w:lang w:eastAsia="ja-JP"/>
              </w:rPr>
              <w:t>12</w:t>
            </w:r>
          </w:p>
        </w:tc>
        <w:tc>
          <w:tcPr>
            <w:tcW w:w="490" w:type="dxa"/>
            <w:tcBorders>
              <w:bottom w:val="single" w:sz="18" w:space="0" w:color="000000"/>
            </w:tcBorders>
            <w:vAlign w:val="center"/>
          </w:tcPr>
          <w:p w14:paraId="07A5EE4E" w14:textId="77777777" w:rsidR="000C50F0" w:rsidRPr="004B0BFC" w:rsidRDefault="000C50F0" w:rsidP="00F43DFC">
            <w:pPr>
              <w:jc w:val="center"/>
              <w:rPr>
                <w:sz w:val="24"/>
                <w:lang w:eastAsia="ja-JP"/>
              </w:rPr>
            </w:pPr>
            <w:r w:rsidRPr="004B0BFC">
              <w:rPr>
                <w:sz w:val="24"/>
                <w:lang w:eastAsia="ja-JP"/>
              </w:rPr>
              <w:t>13</w:t>
            </w:r>
          </w:p>
        </w:tc>
        <w:tc>
          <w:tcPr>
            <w:tcW w:w="491" w:type="dxa"/>
            <w:tcBorders>
              <w:bottom w:val="single" w:sz="18" w:space="0" w:color="000000"/>
            </w:tcBorders>
            <w:vAlign w:val="center"/>
          </w:tcPr>
          <w:p w14:paraId="03B3E43B" w14:textId="77777777" w:rsidR="000C50F0" w:rsidRPr="004B0BFC" w:rsidRDefault="000C50F0" w:rsidP="00F43DFC">
            <w:pPr>
              <w:jc w:val="center"/>
              <w:rPr>
                <w:sz w:val="24"/>
                <w:lang w:eastAsia="ja-JP"/>
              </w:rPr>
            </w:pPr>
            <w:r w:rsidRPr="004B0BFC">
              <w:rPr>
                <w:sz w:val="24"/>
                <w:lang w:eastAsia="ja-JP"/>
              </w:rPr>
              <w:t>14</w:t>
            </w:r>
          </w:p>
        </w:tc>
        <w:tc>
          <w:tcPr>
            <w:tcW w:w="491" w:type="dxa"/>
            <w:tcBorders>
              <w:bottom w:val="single" w:sz="18" w:space="0" w:color="000000"/>
            </w:tcBorders>
            <w:vAlign w:val="center"/>
          </w:tcPr>
          <w:p w14:paraId="27476043" w14:textId="77777777" w:rsidR="000C50F0" w:rsidRPr="004B0BFC" w:rsidRDefault="000C50F0" w:rsidP="00F43DFC">
            <w:pPr>
              <w:jc w:val="center"/>
              <w:rPr>
                <w:sz w:val="24"/>
                <w:lang w:eastAsia="ja-JP"/>
              </w:rPr>
            </w:pPr>
            <w:r w:rsidRPr="004B0BFC">
              <w:rPr>
                <w:sz w:val="24"/>
                <w:lang w:eastAsia="ja-JP"/>
              </w:rPr>
              <w:t>15</w:t>
            </w:r>
          </w:p>
        </w:tc>
        <w:tc>
          <w:tcPr>
            <w:tcW w:w="491" w:type="dxa"/>
            <w:tcBorders>
              <w:bottom w:val="single" w:sz="18" w:space="0" w:color="000000"/>
            </w:tcBorders>
            <w:vAlign w:val="center"/>
          </w:tcPr>
          <w:p w14:paraId="78449FFC" w14:textId="77777777" w:rsidR="000C50F0" w:rsidRPr="004B0BFC" w:rsidRDefault="000C50F0" w:rsidP="00F43DFC">
            <w:pPr>
              <w:jc w:val="center"/>
              <w:rPr>
                <w:sz w:val="24"/>
                <w:lang w:eastAsia="ja-JP"/>
              </w:rPr>
            </w:pPr>
            <w:r>
              <w:rPr>
                <w:sz w:val="24"/>
                <w:lang w:eastAsia="ja-JP"/>
              </w:rPr>
              <w:t>16</w:t>
            </w:r>
          </w:p>
        </w:tc>
        <w:tc>
          <w:tcPr>
            <w:tcW w:w="518" w:type="dxa"/>
            <w:tcBorders>
              <w:bottom w:val="single" w:sz="18" w:space="0" w:color="000000"/>
            </w:tcBorders>
            <w:vAlign w:val="center"/>
          </w:tcPr>
          <w:p w14:paraId="7BBA88D8" w14:textId="77777777" w:rsidR="000C50F0" w:rsidRDefault="000C50F0" w:rsidP="00F43DFC">
            <w:pPr>
              <w:jc w:val="center"/>
              <w:rPr>
                <w:sz w:val="18"/>
                <w:szCs w:val="18"/>
                <w:lang w:eastAsia="ja-JP"/>
              </w:rPr>
            </w:pPr>
            <w:r w:rsidRPr="009F356A">
              <w:rPr>
                <w:sz w:val="18"/>
                <w:szCs w:val="18"/>
                <w:lang w:eastAsia="ja-JP"/>
              </w:rPr>
              <w:t>End of 16</w:t>
            </w:r>
          </w:p>
        </w:tc>
      </w:tr>
      <w:tr w:rsidR="000C50F0" w:rsidRPr="004B0BFC" w14:paraId="24F3A25D" w14:textId="77777777" w:rsidTr="00616C2F">
        <w:trPr>
          <w:trHeight w:hRule="exact" w:val="340"/>
        </w:trPr>
        <w:tc>
          <w:tcPr>
            <w:tcW w:w="675" w:type="dxa"/>
            <w:vMerge w:val="restart"/>
            <w:tcBorders>
              <w:top w:val="single" w:sz="18" w:space="0" w:color="000000"/>
            </w:tcBorders>
            <w:vAlign w:val="center"/>
          </w:tcPr>
          <w:p w14:paraId="09BA8E83" w14:textId="77777777" w:rsidR="000C50F0" w:rsidRPr="00C306F8" w:rsidRDefault="000C50F0" w:rsidP="00F43DFC">
            <w:pPr>
              <w:jc w:val="center"/>
              <w:rPr>
                <w:b/>
                <w:sz w:val="24"/>
                <w:lang w:eastAsia="ja-JP"/>
              </w:rPr>
            </w:pPr>
            <w:r>
              <w:rPr>
                <w:b/>
                <w:sz w:val="24"/>
                <w:lang w:eastAsia="ja-JP"/>
              </w:rPr>
              <w:t>T1</w:t>
            </w:r>
          </w:p>
        </w:tc>
        <w:tc>
          <w:tcPr>
            <w:tcW w:w="729" w:type="dxa"/>
            <w:tcBorders>
              <w:top w:val="single" w:sz="18" w:space="0" w:color="000000"/>
              <w:right w:val="single" w:sz="18" w:space="0" w:color="000000"/>
            </w:tcBorders>
            <w:vAlign w:val="center"/>
          </w:tcPr>
          <w:p w14:paraId="54F9ECCA" w14:textId="77777777" w:rsidR="000C50F0" w:rsidRPr="004B0BFC" w:rsidRDefault="000C50F0" w:rsidP="00F43DFC">
            <w:pPr>
              <w:jc w:val="center"/>
              <w:rPr>
                <w:sz w:val="24"/>
                <w:lang w:eastAsia="ja-JP"/>
              </w:rPr>
            </w:pPr>
            <w:r>
              <w:rPr>
                <w:sz w:val="24"/>
                <w:lang w:eastAsia="ja-JP"/>
              </w:rPr>
              <w:t>5</w:t>
            </w:r>
          </w:p>
        </w:tc>
        <w:tc>
          <w:tcPr>
            <w:tcW w:w="490" w:type="dxa"/>
            <w:tcBorders>
              <w:top w:val="single" w:sz="18" w:space="0" w:color="000000"/>
              <w:left w:val="single" w:sz="18" w:space="0" w:color="000000"/>
              <w:bottom w:val="single" w:sz="4" w:space="0" w:color="000000"/>
            </w:tcBorders>
            <w:shd w:val="clear" w:color="auto" w:fill="FF99CC"/>
            <w:vAlign w:val="center"/>
          </w:tcPr>
          <w:p w14:paraId="12FDD9E0" w14:textId="77777777" w:rsidR="000C50F0" w:rsidRPr="00A76A8C" w:rsidRDefault="000C50F0" w:rsidP="00F43DFC">
            <w:pPr>
              <w:jc w:val="center"/>
              <w:rPr>
                <w:b/>
                <w:sz w:val="24"/>
                <w:lang w:eastAsia="ja-JP"/>
              </w:rPr>
            </w:pPr>
            <w:r w:rsidRPr="00A76A8C">
              <w:rPr>
                <w:b/>
                <w:sz w:val="18"/>
                <w:lang w:eastAsia="ja-JP"/>
              </w:rPr>
              <w:t>G</w:t>
            </w:r>
            <w:r>
              <w:rPr>
                <w:rFonts w:hint="eastAsia"/>
                <w:b/>
                <w:sz w:val="18"/>
                <w:lang w:eastAsia="ja-JP"/>
              </w:rPr>
              <w:t>0</w:t>
            </w:r>
          </w:p>
        </w:tc>
        <w:tc>
          <w:tcPr>
            <w:tcW w:w="491" w:type="dxa"/>
            <w:tcBorders>
              <w:top w:val="single" w:sz="18" w:space="0" w:color="000000"/>
              <w:bottom w:val="single" w:sz="4" w:space="0" w:color="000000"/>
            </w:tcBorders>
            <w:shd w:val="clear" w:color="auto" w:fill="FF99CC"/>
            <w:vAlign w:val="center"/>
          </w:tcPr>
          <w:p w14:paraId="2F9C2DB5"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99CC"/>
            <w:vAlign w:val="center"/>
          </w:tcPr>
          <w:p w14:paraId="15924F99" w14:textId="77777777" w:rsidR="000C50F0" w:rsidRPr="004B0BFC" w:rsidRDefault="000C50F0" w:rsidP="00F43DFC">
            <w:pPr>
              <w:jc w:val="center"/>
              <w:rPr>
                <w:sz w:val="24"/>
                <w:lang w:eastAsia="ja-JP"/>
              </w:rPr>
            </w:pPr>
          </w:p>
        </w:tc>
        <w:tc>
          <w:tcPr>
            <w:tcW w:w="490" w:type="dxa"/>
            <w:tcBorders>
              <w:top w:val="single" w:sz="18" w:space="0" w:color="000000"/>
              <w:bottom w:val="single" w:sz="4" w:space="0" w:color="000000"/>
            </w:tcBorders>
            <w:shd w:val="clear" w:color="auto" w:fill="FF99CC"/>
            <w:vAlign w:val="center"/>
          </w:tcPr>
          <w:p w14:paraId="29046811"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99CC"/>
            <w:vAlign w:val="center"/>
          </w:tcPr>
          <w:p w14:paraId="29191298"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99CC"/>
            <w:vAlign w:val="center"/>
          </w:tcPr>
          <w:p w14:paraId="41EB1075" w14:textId="77777777" w:rsidR="000C50F0" w:rsidRPr="004B0BFC" w:rsidRDefault="000C50F0" w:rsidP="00F43DFC">
            <w:pPr>
              <w:jc w:val="center"/>
              <w:rPr>
                <w:sz w:val="24"/>
                <w:lang w:eastAsia="ja-JP"/>
              </w:rPr>
            </w:pPr>
          </w:p>
        </w:tc>
        <w:tc>
          <w:tcPr>
            <w:tcW w:w="490" w:type="dxa"/>
            <w:tcBorders>
              <w:top w:val="single" w:sz="18" w:space="0" w:color="000000"/>
              <w:bottom w:val="single" w:sz="4" w:space="0" w:color="000000"/>
            </w:tcBorders>
            <w:shd w:val="clear" w:color="auto" w:fill="FF99CC"/>
            <w:vAlign w:val="center"/>
          </w:tcPr>
          <w:p w14:paraId="71E33E07"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99CC"/>
            <w:vAlign w:val="center"/>
          </w:tcPr>
          <w:p w14:paraId="35CF9777"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99CC"/>
            <w:vAlign w:val="center"/>
          </w:tcPr>
          <w:p w14:paraId="77F2930F" w14:textId="77777777" w:rsidR="000C50F0" w:rsidRPr="004B0BFC" w:rsidRDefault="000C50F0" w:rsidP="00F43DFC">
            <w:pPr>
              <w:jc w:val="center"/>
              <w:rPr>
                <w:sz w:val="24"/>
                <w:lang w:eastAsia="ja-JP"/>
              </w:rPr>
            </w:pPr>
          </w:p>
        </w:tc>
        <w:tc>
          <w:tcPr>
            <w:tcW w:w="490" w:type="dxa"/>
            <w:tcBorders>
              <w:top w:val="single" w:sz="18" w:space="0" w:color="000000"/>
              <w:bottom w:val="single" w:sz="4" w:space="0" w:color="000000"/>
            </w:tcBorders>
            <w:shd w:val="clear" w:color="auto" w:fill="FF99CC"/>
            <w:vAlign w:val="center"/>
          </w:tcPr>
          <w:p w14:paraId="300096B1"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99CC"/>
            <w:vAlign w:val="center"/>
          </w:tcPr>
          <w:p w14:paraId="21A1E20A"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99CC"/>
            <w:vAlign w:val="center"/>
          </w:tcPr>
          <w:p w14:paraId="5A695606" w14:textId="77777777" w:rsidR="000C50F0" w:rsidRPr="004B0BFC" w:rsidRDefault="000C50F0" w:rsidP="00F43DFC">
            <w:pPr>
              <w:jc w:val="center"/>
              <w:rPr>
                <w:sz w:val="24"/>
                <w:lang w:eastAsia="ja-JP"/>
              </w:rPr>
            </w:pPr>
          </w:p>
        </w:tc>
        <w:tc>
          <w:tcPr>
            <w:tcW w:w="490" w:type="dxa"/>
            <w:tcBorders>
              <w:top w:val="single" w:sz="18" w:space="0" w:color="000000"/>
              <w:bottom w:val="single" w:sz="4" w:space="0" w:color="000000"/>
            </w:tcBorders>
            <w:shd w:val="clear" w:color="auto" w:fill="FF99CC"/>
            <w:vAlign w:val="center"/>
          </w:tcPr>
          <w:p w14:paraId="16160D75"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99CC"/>
            <w:vAlign w:val="center"/>
          </w:tcPr>
          <w:p w14:paraId="670EFCD8" w14:textId="77777777" w:rsidR="000C50F0" w:rsidRPr="0025160E"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99CC"/>
            <w:vAlign w:val="center"/>
          </w:tcPr>
          <w:p w14:paraId="4506E547" w14:textId="77777777" w:rsidR="000C50F0" w:rsidRPr="0025160E"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99CC"/>
            <w:vAlign w:val="center"/>
          </w:tcPr>
          <w:p w14:paraId="3496A378" w14:textId="77777777" w:rsidR="000C50F0" w:rsidRPr="0025160E" w:rsidRDefault="000C50F0" w:rsidP="00F43DFC">
            <w:pPr>
              <w:jc w:val="center"/>
              <w:rPr>
                <w:sz w:val="24"/>
                <w:lang w:eastAsia="ja-JP"/>
              </w:rPr>
            </w:pPr>
          </w:p>
        </w:tc>
        <w:tc>
          <w:tcPr>
            <w:tcW w:w="518" w:type="dxa"/>
            <w:tcBorders>
              <w:top w:val="single" w:sz="18" w:space="0" w:color="000000"/>
              <w:bottom w:val="single" w:sz="4" w:space="0" w:color="000000"/>
            </w:tcBorders>
            <w:shd w:val="clear" w:color="auto" w:fill="auto"/>
          </w:tcPr>
          <w:p w14:paraId="120A01CC" w14:textId="77777777" w:rsidR="000C50F0" w:rsidRPr="0025160E" w:rsidRDefault="000C50F0" w:rsidP="00F43DFC">
            <w:pPr>
              <w:jc w:val="center"/>
              <w:rPr>
                <w:sz w:val="24"/>
                <w:lang w:eastAsia="ja-JP"/>
              </w:rPr>
            </w:pPr>
          </w:p>
        </w:tc>
      </w:tr>
      <w:tr w:rsidR="000C50F0" w:rsidRPr="004B0BFC" w14:paraId="23113ECA" w14:textId="77777777" w:rsidTr="00616C2F">
        <w:trPr>
          <w:trHeight w:hRule="exact" w:val="340"/>
        </w:trPr>
        <w:tc>
          <w:tcPr>
            <w:tcW w:w="675" w:type="dxa"/>
            <w:vMerge/>
            <w:tcBorders>
              <w:bottom w:val="single" w:sz="18" w:space="0" w:color="000000"/>
            </w:tcBorders>
            <w:vAlign w:val="center"/>
          </w:tcPr>
          <w:p w14:paraId="31A8868E" w14:textId="77777777" w:rsidR="000C50F0" w:rsidRPr="00C306F8" w:rsidRDefault="000C50F0" w:rsidP="00F43DFC">
            <w:pPr>
              <w:jc w:val="center"/>
              <w:rPr>
                <w:b/>
                <w:sz w:val="24"/>
                <w:lang w:eastAsia="ja-JP"/>
              </w:rPr>
            </w:pPr>
          </w:p>
        </w:tc>
        <w:tc>
          <w:tcPr>
            <w:tcW w:w="729" w:type="dxa"/>
            <w:tcBorders>
              <w:bottom w:val="single" w:sz="18" w:space="0" w:color="000000"/>
              <w:right w:val="single" w:sz="18" w:space="0" w:color="000000"/>
            </w:tcBorders>
            <w:vAlign w:val="center"/>
          </w:tcPr>
          <w:p w14:paraId="293EB4FA" w14:textId="77777777" w:rsidR="000C50F0" w:rsidRDefault="000C50F0" w:rsidP="00F43DFC">
            <w:pPr>
              <w:jc w:val="center"/>
              <w:rPr>
                <w:sz w:val="24"/>
                <w:lang w:eastAsia="ja-JP"/>
              </w:rPr>
            </w:pPr>
            <w:r>
              <w:rPr>
                <w:sz w:val="24"/>
                <w:lang w:eastAsia="ja-JP"/>
              </w:rPr>
              <w:t>5</w:t>
            </w:r>
          </w:p>
        </w:tc>
        <w:tc>
          <w:tcPr>
            <w:tcW w:w="490" w:type="dxa"/>
            <w:tcBorders>
              <w:left w:val="single" w:sz="18" w:space="0" w:color="000000"/>
              <w:bottom w:val="single" w:sz="18" w:space="0" w:color="000000"/>
            </w:tcBorders>
            <w:shd w:val="clear" w:color="auto" w:fill="95B3D7"/>
            <w:vAlign w:val="center"/>
          </w:tcPr>
          <w:p w14:paraId="65B1A7EB" w14:textId="77777777" w:rsidR="000C50F0" w:rsidRPr="00A76A8C" w:rsidRDefault="000C50F0" w:rsidP="00F43DFC">
            <w:pPr>
              <w:jc w:val="center"/>
              <w:rPr>
                <w:b/>
                <w:sz w:val="18"/>
                <w:szCs w:val="18"/>
                <w:lang w:eastAsia="ja-JP"/>
              </w:rPr>
            </w:pPr>
            <w:r w:rsidRPr="00A76A8C">
              <w:rPr>
                <w:b/>
                <w:sz w:val="18"/>
                <w:szCs w:val="18"/>
                <w:lang w:eastAsia="ja-JP"/>
              </w:rPr>
              <w:t>G</w:t>
            </w:r>
            <w:r>
              <w:rPr>
                <w:rFonts w:hint="eastAsia"/>
                <w:b/>
                <w:sz w:val="18"/>
                <w:szCs w:val="18"/>
                <w:lang w:eastAsia="ja-JP"/>
              </w:rPr>
              <w:t>1</w:t>
            </w:r>
          </w:p>
        </w:tc>
        <w:tc>
          <w:tcPr>
            <w:tcW w:w="491" w:type="dxa"/>
            <w:tcBorders>
              <w:bottom w:val="single" w:sz="18" w:space="0" w:color="000000"/>
            </w:tcBorders>
            <w:shd w:val="clear" w:color="auto" w:fill="95B3D7"/>
            <w:vAlign w:val="center"/>
          </w:tcPr>
          <w:p w14:paraId="6B83DF0D"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95B3D7"/>
            <w:vAlign w:val="center"/>
          </w:tcPr>
          <w:p w14:paraId="3D10D927" w14:textId="77777777" w:rsidR="000C50F0" w:rsidRPr="004B0BFC" w:rsidRDefault="000C50F0" w:rsidP="00F43DFC">
            <w:pPr>
              <w:jc w:val="center"/>
              <w:rPr>
                <w:sz w:val="24"/>
                <w:lang w:eastAsia="ja-JP"/>
              </w:rPr>
            </w:pPr>
          </w:p>
        </w:tc>
        <w:tc>
          <w:tcPr>
            <w:tcW w:w="490" w:type="dxa"/>
            <w:tcBorders>
              <w:bottom w:val="single" w:sz="18" w:space="0" w:color="000000"/>
            </w:tcBorders>
            <w:shd w:val="clear" w:color="auto" w:fill="95B3D7"/>
            <w:vAlign w:val="center"/>
          </w:tcPr>
          <w:p w14:paraId="4A678881"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95B3D7"/>
            <w:vAlign w:val="center"/>
          </w:tcPr>
          <w:p w14:paraId="00ECA6D1"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95B3D7"/>
            <w:vAlign w:val="center"/>
          </w:tcPr>
          <w:p w14:paraId="11C84D43" w14:textId="77777777" w:rsidR="000C50F0" w:rsidRPr="004B0BFC" w:rsidRDefault="000C50F0" w:rsidP="00F43DFC">
            <w:pPr>
              <w:jc w:val="center"/>
              <w:rPr>
                <w:sz w:val="24"/>
                <w:lang w:eastAsia="ja-JP"/>
              </w:rPr>
            </w:pPr>
          </w:p>
        </w:tc>
        <w:tc>
          <w:tcPr>
            <w:tcW w:w="490" w:type="dxa"/>
            <w:tcBorders>
              <w:bottom w:val="single" w:sz="18" w:space="0" w:color="000000"/>
            </w:tcBorders>
            <w:shd w:val="clear" w:color="auto" w:fill="95B3D7"/>
            <w:vAlign w:val="center"/>
          </w:tcPr>
          <w:p w14:paraId="4C48B2B2"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95B3D7"/>
            <w:vAlign w:val="center"/>
          </w:tcPr>
          <w:p w14:paraId="1BFC3437"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95B3D7"/>
            <w:vAlign w:val="center"/>
          </w:tcPr>
          <w:p w14:paraId="356BE02C" w14:textId="77777777" w:rsidR="000C50F0" w:rsidRPr="004B0BFC" w:rsidRDefault="000C50F0" w:rsidP="00F43DFC">
            <w:pPr>
              <w:jc w:val="center"/>
              <w:rPr>
                <w:sz w:val="24"/>
                <w:lang w:eastAsia="ja-JP"/>
              </w:rPr>
            </w:pPr>
          </w:p>
        </w:tc>
        <w:tc>
          <w:tcPr>
            <w:tcW w:w="490" w:type="dxa"/>
            <w:tcBorders>
              <w:bottom w:val="single" w:sz="18" w:space="0" w:color="000000"/>
            </w:tcBorders>
            <w:shd w:val="clear" w:color="auto" w:fill="95B3D7"/>
            <w:vAlign w:val="center"/>
          </w:tcPr>
          <w:p w14:paraId="0683C8B0"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95B3D7"/>
            <w:vAlign w:val="center"/>
          </w:tcPr>
          <w:p w14:paraId="08B6AD1B"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95B3D7"/>
            <w:vAlign w:val="center"/>
          </w:tcPr>
          <w:p w14:paraId="631B9BE1" w14:textId="77777777" w:rsidR="000C50F0" w:rsidRPr="004B0BFC" w:rsidRDefault="000C50F0" w:rsidP="00F43DFC">
            <w:pPr>
              <w:jc w:val="center"/>
              <w:rPr>
                <w:sz w:val="24"/>
                <w:lang w:eastAsia="ja-JP"/>
              </w:rPr>
            </w:pPr>
          </w:p>
        </w:tc>
        <w:tc>
          <w:tcPr>
            <w:tcW w:w="490" w:type="dxa"/>
            <w:tcBorders>
              <w:bottom w:val="single" w:sz="18" w:space="0" w:color="000000"/>
            </w:tcBorders>
            <w:shd w:val="clear" w:color="auto" w:fill="95B3D7"/>
            <w:vAlign w:val="center"/>
          </w:tcPr>
          <w:p w14:paraId="3537F3FC"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95B3D7"/>
            <w:vAlign w:val="center"/>
          </w:tcPr>
          <w:p w14:paraId="3E97DDF1"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95B3D7"/>
            <w:vAlign w:val="center"/>
          </w:tcPr>
          <w:p w14:paraId="632A46C2"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95B3D7"/>
            <w:vAlign w:val="center"/>
          </w:tcPr>
          <w:p w14:paraId="67E96301" w14:textId="77777777" w:rsidR="000C50F0" w:rsidRPr="004B0BFC" w:rsidRDefault="000C50F0" w:rsidP="00F43DFC">
            <w:pPr>
              <w:jc w:val="center"/>
              <w:rPr>
                <w:sz w:val="24"/>
                <w:lang w:eastAsia="ja-JP"/>
              </w:rPr>
            </w:pPr>
          </w:p>
        </w:tc>
        <w:tc>
          <w:tcPr>
            <w:tcW w:w="518" w:type="dxa"/>
            <w:tcBorders>
              <w:bottom w:val="single" w:sz="18" w:space="0" w:color="000000"/>
            </w:tcBorders>
            <w:shd w:val="clear" w:color="auto" w:fill="95B3D7" w:themeFill="accent1" w:themeFillTint="99"/>
            <w:vAlign w:val="center"/>
          </w:tcPr>
          <w:p w14:paraId="7F881818" w14:textId="77777777" w:rsidR="000C50F0" w:rsidRPr="0025160E" w:rsidRDefault="000C50F0" w:rsidP="00F43DFC">
            <w:pPr>
              <w:jc w:val="center"/>
              <w:rPr>
                <w:sz w:val="24"/>
                <w:highlight w:val="red"/>
                <w:lang w:eastAsia="ja-JP"/>
              </w:rPr>
            </w:pPr>
            <w:r w:rsidRPr="009F356A">
              <w:rPr>
                <w:sz w:val="24"/>
                <w:lang w:eastAsia="ja-JP"/>
              </w:rPr>
              <w:t>D</w:t>
            </w:r>
          </w:p>
        </w:tc>
      </w:tr>
      <w:tr w:rsidR="000C50F0" w:rsidRPr="004B0BFC" w14:paraId="2B617419" w14:textId="77777777" w:rsidTr="00616C2F">
        <w:trPr>
          <w:trHeight w:hRule="exact" w:val="340"/>
        </w:trPr>
        <w:tc>
          <w:tcPr>
            <w:tcW w:w="675" w:type="dxa"/>
            <w:vMerge w:val="restart"/>
            <w:tcBorders>
              <w:top w:val="single" w:sz="18" w:space="0" w:color="000000"/>
            </w:tcBorders>
            <w:vAlign w:val="center"/>
          </w:tcPr>
          <w:p w14:paraId="67A29EC7" w14:textId="77777777" w:rsidR="000C50F0" w:rsidRPr="00C306F8" w:rsidRDefault="000C50F0" w:rsidP="00F43DFC">
            <w:pPr>
              <w:jc w:val="center"/>
              <w:rPr>
                <w:b/>
                <w:sz w:val="24"/>
                <w:lang w:eastAsia="ja-JP"/>
              </w:rPr>
            </w:pPr>
            <w:r w:rsidRPr="00C306F8">
              <w:rPr>
                <w:b/>
                <w:sz w:val="24"/>
                <w:lang w:eastAsia="ja-JP"/>
              </w:rPr>
              <w:t>T2</w:t>
            </w:r>
          </w:p>
        </w:tc>
        <w:tc>
          <w:tcPr>
            <w:tcW w:w="729" w:type="dxa"/>
            <w:tcBorders>
              <w:top w:val="single" w:sz="18" w:space="0" w:color="000000"/>
              <w:right w:val="single" w:sz="18" w:space="0" w:color="000000"/>
            </w:tcBorders>
            <w:vAlign w:val="center"/>
          </w:tcPr>
          <w:p w14:paraId="64B21880" w14:textId="77777777" w:rsidR="000C50F0" w:rsidRPr="004B0BFC" w:rsidRDefault="000C50F0" w:rsidP="00F43DFC">
            <w:pPr>
              <w:jc w:val="center"/>
              <w:rPr>
                <w:sz w:val="24"/>
                <w:lang w:eastAsia="ja-JP"/>
              </w:rPr>
            </w:pPr>
            <w:r>
              <w:rPr>
                <w:sz w:val="24"/>
                <w:lang w:eastAsia="ja-JP"/>
              </w:rPr>
              <w:t>5</w:t>
            </w:r>
          </w:p>
        </w:tc>
        <w:tc>
          <w:tcPr>
            <w:tcW w:w="490" w:type="dxa"/>
            <w:tcBorders>
              <w:top w:val="single" w:sz="18" w:space="0" w:color="000000"/>
              <w:left w:val="single" w:sz="18" w:space="0" w:color="000000"/>
              <w:bottom w:val="single" w:sz="4" w:space="0" w:color="000000"/>
            </w:tcBorders>
            <w:shd w:val="clear" w:color="auto" w:fill="FFCC00"/>
            <w:vAlign w:val="center"/>
          </w:tcPr>
          <w:p w14:paraId="1F62C908" w14:textId="77777777" w:rsidR="000C50F0" w:rsidRPr="00A76A8C" w:rsidRDefault="000C50F0" w:rsidP="00F43DFC">
            <w:pPr>
              <w:jc w:val="center"/>
              <w:rPr>
                <w:b/>
                <w:sz w:val="18"/>
                <w:szCs w:val="18"/>
                <w:lang w:eastAsia="ja-JP"/>
              </w:rPr>
            </w:pPr>
            <w:r w:rsidRPr="00A76A8C">
              <w:rPr>
                <w:b/>
                <w:sz w:val="18"/>
                <w:szCs w:val="18"/>
                <w:lang w:eastAsia="ja-JP"/>
              </w:rPr>
              <w:t>G</w:t>
            </w:r>
            <w:r>
              <w:rPr>
                <w:rFonts w:hint="eastAsia"/>
                <w:b/>
                <w:sz w:val="18"/>
                <w:szCs w:val="18"/>
                <w:lang w:eastAsia="ja-JP"/>
              </w:rPr>
              <w:t>0</w:t>
            </w:r>
          </w:p>
        </w:tc>
        <w:tc>
          <w:tcPr>
            <w:tcW w:w="491" w:type="dxa"/>
            <w:tcBorders>
              <w:top w:val="single" w:sz="18" w:space="0" w:color="000000"/>
              <w:bottom w:val="single" w:sz="4" w:space="0" w:color="000000"/>
            </w:tcBorders>
            <w:shd w:val="clear" w:color="auto" w:fill="FFCC00"/>
            <w:vAlign w:val="center"/>
          </w:tcPr>
          <w:p w14:paraId="2BC70C47"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CC00"/>
            <w:vAlign w:val="center"/>
          </w:tcPr>
          <w:p w14:paraId="0E2EC781" w14:textId="77777777" w:rsidR="000C50F0" w:rsidRPr="004B0BFC" w:rsidRDefault="000C50F0" w:rsidP="00F43DFC">
            <w:pPr>
              <w:jc w:val="center"/>
              <w:rPr>
                <w:sz w:val="24"/>
                <w:lang w:eastAsia="ja-JP"/>
              </w:rPr>
            </w:pPr>
          </w:p>
        </w:tc>
        <w:tc>
          <w:tcPr>
            <w:tcW w:w="490" w:type="dxa"/>
            <w:tcBorders>
              <w:top w:val="single" w:sz="18" w:space="0" w:color="000000"/>
              <w:bottom w:val="single" w:sz="4" w:space="0" w:color="000000"/>
            </w:tcBorders>
            <w:shd w:val="clear" w:color="auto" w:fill="FFCC00"/>
            <w:vAlign w:val="center"/>
          </w:tcPr>
          <w:p w14:paraId="33A84CD2"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CC00"/>
            <w:vAlign w:val="center"/>
          </w:tcPr>
          <w:p w14:paraId="5A97ED87"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CC00"/>
            <w:vAlign w:val="center"/>
          </w:tcPr>
          <w:p w14:paraId="11803AB3" w14:textId="77777777" w:rsidR="000C50F0" w:rsidRPr="004B0BFC" w:rsidRDefault="000C50F0" w:rsidP="00F43DFC">
            <w:pPr>
              <w:jc w:val="center"/>
              <w:rPr>
                <w:sz w:val="24"/>
                <w:lang w:eastAsia="ja-JP"/>
              </w:rPr>
            </w:pPr>
          </w:p>
        </w:tc>
        <w:tc>
          <w:tcPr>
            <w:tcW w:w="490" w:type="dxa"/>
            <w:tcBorders>
              <w:top w:val="single" w:sz="18" w:space="0" w:color="000000"/>
              <w:bottom w:val="single" w:sz="4" w:space="0" w:color="000000"/>
            </w:tcBorders>
            <w:shd w:val="clear" w:color="auto" w:fill="FFCC00"/>
            <w:vAlign w:val="center"/>
          </w:tcPr>
          <w:p w14:paraId="7F5892A8"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FFCC00"/>
            <w:vAlign w:val="center"/>
          </w:tcPr>
          <w:p w14:paraId="03FF28A0"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auto"/>
            <w:vAlign w:val="center"/>
          </w:tcPr>
          <w:p w14:paraId="6EC643AF" w14:textId="77777777" w:rsidR="000C50F0" w:rsidRPr="004B0BFC" w:rsidRDefault="000C50F0" w:rsidP="00F43DFC">
            <w:pPr>
              <w:jc w:val="center"/>
              <w:rPr>
                <w:sz w:val="24"/>
                <w:lang w:eastAsia="ja-JP"/>
              </w:rPr>
            </w:pPr>
          </w:p>
        </w:tc>
        <w:tc>
          <w:tcPr>
            <w:tcW w:w="490" w:type="dxa"/>
            <w:tcBorders>
              <w:top w:val="single" w:sz="18" w:space="0" w:color="000000"/>
              <w:bottom w:val="single" w:sz="4" w:space="0" w:color="000000"/>
            </w:tcBorders>
            <w:shd w:val="clear" w:color="auto" w:fill="auto"/>
            <w:vAlign w:val="center"/>
          </w:tcPr>
          <w:p w14:paraId="471F8E4E"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auto"/>
            <w:vAlign w:val="center"/>
          </w:tcPr>
          <w:p w14:paraId="20A31862"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auto"/>
            <w:vAlign w:val="center"/>
          </w:tcPr>
          <w:p w14:paraId="2BEB3D79" w14:textId="77777777" w:rsidR="000C50F0" w:rsidRPr="004B0BFC" w:rsidRDefault="000C50F0" w:rsidP="00F43DFC">
            <w:pPr>
              <w:jc w:val="center"/>
              <w:rPr>
                <w:sz w:val="24"/>
                <w:lang w:eastAsia="ja-JP"/>
              </w:rPr>
            </w:pPr>
          </w:p>
        </w:tc>
        <w:tc>
          <w:tcPr>
            <w:tcW w:w="490" w:type="dxa"/>
            <w:tcBorders>
              <w:top w:val="single" w:sz="18" w:space="0" w:color="000000"/>
              <w:bottom w:val="single" w:sz="4" w:space="0" w:color="000000"/>
            </w:tcBorders>
            <w:shd w:val="clear" w:color="auto" w:fill="auto"/>
            <w:vAlign w:val="center"/>
          </w:tcPr>
          <w:p w14:paraId="7AA20493"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auto"/>
            <w:vAlign w:val="center"/>
          </w:tcPr>
          <w:p w14:paraId="34966F64"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auto"/>
            <w:vAlign w:val="center"/>
          </w:tcPr>
          <w:p w14:paraId="0A3C3010"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vAlign w:val="center"/>
          </w:tcPr>
          <w:p w14:paraId="420C9C65" w14:textId="77777777" w:rsidR="000C50F0" w:rsidRPr="004B0BFC" w:rsidRDefault="000C50F0" w:rsidP="00F43DFC">
            <w:pPr>
              <w:jc w:val="center"/>
              <w:rPr>
                <w:sz w:val="24"/>
                <w:lang w:eastAsia="ja-JP"/>
              </w:rPr>
            </w:pPr>
          </w:p>
        </w:tc>
        <w:tc>
          <w:tcPr>
            <w:tcW w:w="518" w:type="dxa"/>
            <w:tcBorders>
              <w:top w:val="single" w:sz="18" w:space="0" w:color="000000"/>
              <w:bottom w:val="single" w:sz="4" w:space="0" w:color="000000"/>
            </w:tcBorders>
            <w:shd w:val="clear" w:color="auto" w:fill="auto"/>
          </w:tcPr>
          <w:p w14:paraId="78D8AC93" w14:textId="77777777" w:rsidR="000C50F0" w:rsidRPr="0025160E" w:rsidRDefault="000C50F0" w:rsidP="00F43DFC">
            <w:pPr>
              <w:jc w:val="center"/>
              <w:rPr>
                <w:sz w:val="24"/>
                <w:highlight w:val="red"/>
                <w:lang w:eastAsia="ja-JP"/>
              </w:rPr>
            </w:pPr>
          </w:p>
        </w:tc>
      </w:tr>
      <w:tr w:rsidR="000C50F0" w:rsidRPr="0025160E" w14:paraId="26239B25" w14:textId="77777777" w:rsidTr="00616C2F">
        <w:trPr>
          <w:trHeight w:hRule="exact" w:val="340"/>
        </w:trPr>
        <w:tc>
          <w:tcPr>
            <w:tcW w:w="675" w:type="dxa"/>
            <w:vMerge/>
            <w:vAlign w:val="center"/>
          </w:tcPr>
          <w:p w14:paraId="54AF9DC0" w14:textId="77777777" w:rsidR="000C50F0" w:rsidRPr="00C306F8" w:rsidRDefault="000C50F0" w:rsidP="00F43DFC">
            <w:pPr>
              <w:jc w:val="center"/>
              <w:rPr>
                <w:b/>
                <w:sz w:val="24"/>
                <w:lang w:eastAsia="ja-JP"/>
              </w:rPr>
            </w:pPr>
          </w:p>
        </w:tc>
        <w:tc>
          <w:tcPr>
            <w:tcW w:w="729" w:type="dxa"/>
            <w:tcBorders>
              <w:right w:val="single" w:sz="18" w:space="0" w:color="000000"/>
            </w:tcBorders>
            <w:vAlign w:val="center"/>
          </w:tcPr>
          <w:p w14:paraId="7043B134"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tcBorders>
            <w:shd w:val="clear" w:color="auto" w:fill="FFFF00"/>
            <w:vAlign w:val="center"/>
          </w:tcPr>
          <w:p w14:paraId="6FF20BA7" w14:textId="77777777" w:rsidR="000C50F0" w:rsidRPr="00A76A8C" w:rsidRDefault="000C50F0" w:rsidP="00F43DFC">
            <w:pPr>
              <w:jc w:val="center"/>
              <w:rPr>
                <w:b/>
                <w:sz w:val="18"/>
                <w:szCs w:val="18"/>
                <w:lang w:eastAsia="ja-JP"/>
              </w:rPr>
            </w:pPr>
            <w:r w:rsidRPr="00A76A8C">
              <w:rPr>
                <w:b/>
                <w:sz w:val="18"/>
                <w:szCs w:val="18"/>
                <w:lang w:eastAsia="ja-JP"/>
              </w:rPr>
              <w:t>G</w:t>
            </w:r>
            <w:r>
              <w:rPr>
                <w:rFonts w:hint="eastAsia"/>
                <w:b/>
                <w:sz w:val="18"/>
                <w:szCs w:val="18"/>
                <w:lang w:eastAsia="ja-JP"/>
              </w:rPr>
              <w:t>1</w:t>
            </w:r>
          </w:p>
        </w:tc>
        <w:tc>
          <w:tcPr>
            <w:tcW w:w="491" w:type="dxa"/>
            <w:shd w:val="clear" w:color="auto" w:fill="FFFF00"/>
            <w:vAlign w:val="center"/>
          </w:tcPr>
          <w:p w14:paraId="33B5F7EF" w14:textId="77777777" w:rsidR="000C50F0" w:rsidRPr="0044650E" w:rsidRDefault="000C50F0" w:rsidP="00F43DFC">
            <w:pPr>
              <w:jc w:val="center"/>
              <w:rPr>
                <w:sz w:val="24"/>
                <w:lang w:eastAsia="ja-JP"/>
              </w:rPr>
            </w:pPr>
          </w:p>
        </w:tc>
        <w:tc>
          <w:tcPr>
            <w:tcW w:w="491" w:type="dxa"/>
            <w:shd w:val="clear" w:color="auto" w:fill="FFFF00"/>
            <w:vAlign w:val="center"/>
          </w:tcPr>
          <w:p w14:paraId="66F565D0" w14:textId="77777777" w:rsidR="000C50F0" w:rsidRPr="0044650E" w:rsidRDefault="000C50F0" w:rsidP="00F43DFC">
            <w:pPr>
              <w:jc w:val="center"/>
              <w:rPr>
                <w:sz w:val="24"/>
                <w:lang w:eastAsia="ja-JP"/>
              </w:rPr>
            </w:pPr>
          </w:p>
        </w:tc>
        <w:tc>
          <w:tcPr>
            <w:tcW w:w="490" w:type="dxa"/>
            <w:shd w:val="clear" w:color="auto" w:fill="FFFF00"/>
            <w:vAlign w:val="center"/>
          </w:tcPr>
          <w:p w14:paraId="6F4FBC2B" w14:textId="77777777" w:rsidR="000C50F0" w:rsidRPr="0044650E" w:rsidRDefault="000C50F0" w:rsidP="00F43DFC">
            <w:pPr>
              <w:jc w:val="center"/>
              <w:rPr>
                <w:sz w:val="24"/>
                <w:lang w:eastAsia="ja-JP"/>
              </w:rPr>
            </w:pPr>
          </w:p>
        </w:tc>
        <w:tc>
          <w:tcPr>
            <w:tcW w:w="491" w:type="dxa"/>
            <w:shd w:val="clear" w:color="auto" w:fill="FFFF00"/>
            <w:vAlign w:val="center"/>
          </w:tcPr>
          <w:p w14:paraId="60F2B521" w14:textId="77777777" w:rsidR="000C50F0" w:rsidRPr="004B0BFC" w:rsidRDefault="000C50F0" w:rsidP="00F43DFC">
            <w:pPr>
              <w:jc w:val="center"/>
              <w:rPr>
                <w:sz w:val="24"/>
                <w:lang w:eastAsia="ja-JP"/>
              </w:rPr>
            </w:pPr>
          </w:p>
        </w:tc>
        <w:tc>
          <w:tcPr>
            <w:tcW w:w="491" w:type="dxa"/>
            <w:shd w:val="clear" w:color="auto" w:fill="FFFF00"/>
            <w:vAlign w:val="center"/>
          </w:tcPr>
          <w:p w14:paraId="5A1BA866" w14:textId="77777777" w:rsidR="000C50F0" w:rsidRPr="004B0BFC" w:rsidRDefault="000C50F0" w:rsidP="00F43DFC">
            <w:pPr>
              <w:jc w:val="center"/>
              <w:rPr>
                <w:sz w:val="24"/>
                <w:lang w:eastAsia="ja-JP"/>
              </w:rPr>
            </w:pPr>
          </w:p>
        </w:tc>
        <w:tc>
          <w:tcPr>
            <w:tcW w:w="490" w:type="dxa"/>
            <w:shd w:val="clear" w:color="auto" w:fill="FFFF00"/>
            <w:vAlign w:val="center"/>
          </w:tcPr>
          <w:p w14:paraId="72184318" w14:textId="77777777" w:rsidR="000C50F0" w:rsidRPr="004B0BFC" w:rsidRDefault="000C50F0" w:rsidP="00F43DFC">
            <w:pPr>
              <w:jc w:val="center"/>
              <w:rPr>
                <w:sz w:val="24"/>
                <w:lang w:eastAsia="ja-JP"/>
              </w:rPr>
            </w:pPr>
          </w:p>
        </w:tc>
        <w:tc>
          <w:tcPr>
            <w:tcW w:w="491" w:type="dxa"/>
            <w:shd w:val="clear" w:color="auto" w:fill="FFFF00"/>
            <w:vAlign w:val="center"/>
          </w:tcPr>
          <w:p w14:paraId="27D2DB18"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FFFF00"/>
            <w:vAlign w:val="center"/>
          </w:tcPr>
          <w:p w14:paraId="5F2BE66F"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FFFF00"/>
            <w:vAlign w:val="center"/>
          </w:tcPr>
          <w:p w14:paraId="32340B70"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FFFF00"/>
            <w:vAlign w:val="center"/>
          </w:tcPr>
          <w:p w14:paraId="11A79CBC"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FFFF00"/>
            <w:vAlign w:val="center"/>
          </w:tcPr>
          <w:p w14:paraId="663491FD"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FFFF00"/>
            <w:vAlign w:val="center"/>
          </w:tcPr>
          <w:p w14:paraId="09D191DF"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FFFF00"/>
            <w:vAlign w:val="center"/>
          </w:tcPr>
          <w:p w14:paraId="47D5CE42"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FFFF00"/>
            <w:vAlign w:val="center"/>
          </w:tcPr>
          <w:p w14:paraId="7056A74B"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FFFF00"/>
            <w:vAlign w:val="center"/>
          </w:tcPr>
          <w:p w14:paraId="475CE8F9" w14:textId="77777777" w:rsidR="000C50F0" w:rsidRPr="004B0BFC" w:rsidRDefault="000C50F0" w:rsidP="00F43DFC">
            <w:pPr>
              <w:jc w:val="center"/>
              <w:rPr>
                <w:sz w:val="24"/>
                <w:lang w:eastAsia="ja-JP"/>
              </w:rPr>
            </w:pPr>
          </w:p>
        </w:tc>
        <w:tc>
          <w:tcPr>
            <w:tcW w:w="518" w:type="dxa"/>
            <w:tcBorders>
              <w:bottom w:val="single" w:sz="4" w:space="0" w:color="000000"/>
            </w:tcBorders>
            <w:shd w:val="clear" w:color="auto" w:fill="auto"/>
          </w:tcPr>
          <w:p w14:paraId="526274B1" w14:textId="77777777" w:rsidR="000C50F0" w:rsidRPr="0025160E" w:rsidRDefault="000C50F0" w:rsidP="00F43DFC">
            <w:pPr>
              <w:jc w:val="center"/>
              <w:rPr>
                <w:sz w:val="24"/>
                <w:highlight w:val="red"/>
                <w:lang w:eastAsia="ja-JP"/>
              </w:rPr>
            </w:pPr>
          </w:p>
        </w:tc>
      </w:tr>
      <w:tr w:rsidR="000C50F0" w:rsidRPr="004B0BFC" w14:paraId="7B8AA2FF" w14:textId="77777777" w:rsidTr="00616C2F">
        <w:trPr>
          <w:trHeight w:hRule="exact" w:val="340"/>
        </w:trPr>
        <w:tc>
          <w:tcPr>
            <w:tcW w:w="675" w:type="dxa"/>
            <w:vMerge/>
            <w:tcBorders>
              <w:bottom w:val="single" w:sz="18" w:space="0" w:color="000000"/>
            </w:tcBorders>
            <w:vAlign w:val="center"/>
          </w:tcPr>
          <w:p w14:paraId="3F03A30C" w14:textId="77777777" w:rsidR="000C50F0" w:rsidRPr="00C306F8" w:rsidRDefault="000C50F0" w:rsidP="00F43DFC">
            <w:pPr>
              <w:jc w:val="center"/>
              <w:rPr>
                <w:b/>
                <w:sz w:val="24"/>
                <w:lang w:eastAsia="ja-JP"/>
              </w:rPr>
            </w:pPr>
          </w:p>
        </w:tc>
        <w:tc>
          <w:tcPr>
            <w:tcW w:w="729" w:type="dxa"/>
            <w:tcBorders>
              <w:bottom w:val="single" w:sz="18" w:space="0" w:color="000000"/>
              <w:right w:val="single" w:sz="18" w:space="0" w:color="000000"/>
            </w:tcBorders>
            <w:vAlign w:val="center"/>
          </w:tcPr>
          <w:p w14:paraId="0992DD94"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bottom w:val="single" w:sz="18" w:space="0" w:color="000000"/>
            </w:tcBorders>
            <w:vAlign w:val="center"/>
          </w:tcPr>
          <w:p w14:paraId="624B1E8D"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76DFF25E"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0861F69D" w14:textId="77777777" w:rsidR="000C50F0" w:rsidRPr="004B0BFC" w:rsidRDefault="000C50F0" w:rsidP="00F43DFC">
            <w:pPr>
              <w:jc w:val="center"/>
              <w:rPr>
                <w:sz w:val="24"/>
                <w:lang w:eastAsia="ja-JP"/>
              </w:rPr>
            </w:pPr>
          </w:p>
        </w:tc>
        <w:tc>
          <w:tcPr>
            <w:tcW w:w="490" w:type="dxa"/>
            <w:tcBorders>
              <w:bottom w:val="single" w:sz="18" w:space="0" w:color="000000"/>
            </w:tcBorders>
            <w:vAlign w:val="center"/>
          </w:tcPr>
          <w:p w14:paraId="313E9F41"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4A705F9F"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54113CE3" w14:textId="77777777" w:rsidR="000C50F0" w:rsidRPr="004B0BFC" w:rsidRDefault="000C50F0" w:rsidP="00F43DFC">
            <w:pPr>
              <w:jc w:val="center"/>
              <w:rPr>
                <w:sz w:val="24"/>
                <w:lang w:eastAsia="ja-JP"/>
              </w:rPr>
            </w:pPr>
          </w:p>
        </w:tc>
        <w:tc>
          <w:tcPr>
            <w:tcW w:w="490" w:type="dxa"/>
            <w:tcBorders>
              <w:bottom w:val="single" w:sz="18" w:space="0" w:color="000000"/>
            </w:tcBorders>
            <w:vAlign w:val="center"/>
          </w:tcPr>
          <w:p w14:paraId="3459C069"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72373DDB"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00FF00"/>
            <w:vAlign w:val="center"/>
          </w:tcPr>
          <w:p w14:paraId="4C4CDFDC" w14:textId="77777777" w:rsidR="000C50F0" w:rsidRPr="00A76A8C" w:rsidRDefault="000C50F0" w:rsidP="00F43DFC">
            <w:pPr>
              <w:jc w:val="center"/>
              <w:rPr>
                <w:b/>
                <w:sz w:val="18"/>
                <w:szCs w:val="18"/>
                <w:lang w:eastAsia="ja-JP"/>
              </w:rPr>
            </w:pPr>
            <w:r w:rsidRPr="00A76A8C">
              <w:rPr>
                <w:b/>
                <w:sz w:val="18"/>
                <w:szCs w:val="18"/>
                <w:lang w:eastAsia="ja-JP"/>
              </w:rPr>
              <w:t>G</w:t>
            </w:r>
            <w:r>
              <w:rPr>
                <w:rFonts w:hint="eastAsia"/>
                <w:b/>
                <w:sz w:val="18"/>
                <w:szCs w:val="18"/>
                <w:lang w:eastAsia="ja-JP"/>
              </w:rPr>
              <w:t>2</w:t>
            </w:r>
          </w:p>
        </w:tc>
        <w:tc>
          <w:tcPr>
            <w:tcW w:w="490" w:type="dxa"/>
            <w:tcBorders>
              <w:bottom w:val="single" w:sz="18" w:space="0" w:color="000000"/>
            </w:tcBorders>
            <w:shd w:val="clear" w:color="auto" w:fill="00FF00"/>
            <w:vAlign w:val="center"/>
          </w:tcPr>
          <w:p w14:paraId="3C34EAF1"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00FF00"/>
            <w:vAlign w:val="center"/>
          </w:tcPr>
          <w:p w14:paraId="5525E83B"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00FF00"/>
            <w:vAlign w:val="center"/>
          </w:tcPr>
          <w:p w14:paraId="2A4B009E" w14:textId="77777777" w:rsidR="000C50F0" w:rsidRPr="004B0BFC" w:rsidRDefault="000C50F0" w:rsidP="00F43DFC">
            <w:pPr>
              <w:jc w:val="center"/>
              <w:rPr>
                <w:sz w:val="24"/>
                <w:lang w:eastAsia="ja-JP"/>
              </w:rPr>
            </w:pPr>
          </w:p>
        </w:tc>
        <w:tc>
          <w:tcPr>
            <w:tcW w:w="490" w:type="dxa"/>
            <w:tcBorders>
              <w:bottom w:val="single" w:sz="18" w:space="0" w:color="000000"/>
            </w:tcBorders>
            <w:shd w:val="clear" w:color="auto" w:fill="00FF00"/>
            <w:vAlign w:val="center"/>
          </w:tcPr>
          <w:p w14:paraId="1A63776E"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00FF00"/>
            <w:vAlign w:val="center"/>
          </w:tcPr>
          <w:p w14:paraId="74E97C1E"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00FF00"/>
            <w:vAlign w:val="center"/>
          </w:tcPr>
          <w:p w14:paraId="3C4B7DD7"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00FF00"/>
            <w:vAlign w:val="center"/>
          </w:tcPr>
          <w:p w14:paraId="37276D29" w14:textId="77777777" w:rsidR="000C50F0" w:rsidRPr="004B0BFC" w:rsidRDefault="000C50F0" w:rsidP="00F43DFC">
            <w:pPr>
              <w:jc w:val="center"/>
              <w:rPr>
                <w:sz w:val="24"/>
                <w:lang w:eastAsia="ja-JP"/>
              </w:rPr>
            </w:pPr>
          </w:p>
        </w:tc>
        <w:tc>
          <w:tcPr>
            <w:tcW w:w="518" w:type="dxa"/>
            <w:tcBorders>
              <w:bottom w:val="single" w:sz="18" w:space="0" w:color="000000"/>
            </w:tcBorders>
            <w:shd w:val="clear" w:color="auto" w:fill="92D050"/>
            <w:vAlign w:val="center"/>
          </w:tcPr>
          <w:p w14:paraId="7E937F61" w14:textId="77777777" w:rsidR="000C50F0" w:rsidRPr="0025160E" w:rsidRDefault="000C50F0" w:rsidP="00F43DFC">
            <w:pPr>
              <w:jc w:val="center"/>
              <w:rPr>
                <w:sz w:val="24"/>
                <w:highlight w:val="red"/>
                <w:lang w:eastAsia="ja-JP"/>
              </w:rPr>
            </w:pPr>
            <w:r w:rsidRPr="008B7FA3">
              <w:rPr>
                <w:rFonts w:hint="eastAsia"/>
                <w:sz w:val="24"/>
                <w:lang w:eastAsia="ja-JP"/>
              </w:rPr>
              <w:t>D</w:t>
            </w:r>
          </w:p>
        </w:tc>
      </w:tr>
      <w:tr w:rsidR="000C50F0" w:rsidRPr="004B0BFC" w14:paraId="517FEB03" w14:textId="77777777" w:rsidTr="00616C2F">
        <w:trPr>
          <w:trHeight w:hRule="exact" w:val="340"/>
        </w:trPr>
        <w:tc>
          <w:tcPr>
            <w:tcW w:w="675" w:type="dxa"/>
            <w:vMerge w:val="restart"/>
            <w:tcBorders>
              <w:top w:val="single" w:sz="18" w:space="0" w:color="000000"/>
            </w:tcBorders>
            <w:vAlign w:val="center"/>
          </w:tcPr>
          <w:p w14:paraId="109C0D19" w14:textId="77777777" w:rsidR="000C50F0" w:rsidRPr="00C306F8" w:rsidRDefault="000C50F0" w:rsidP="00F43DFC">
            <w:pPr>
              <w:jc w:val="center"/>
              <w:rPr>
                <w:b/>
                <w:sz w:val="24"/>
                <w:lang w:eastAsia="ja-JP"/>
              </w:rPr>
            </w:pPr>
            <w:r>
              <w:rPr>
                <w:b/>
                <w:sz w:val="24"/>
                <w:lang w:eastAsia="ja-JP"/>
              </w:rPr>
              <w:t>T</w:t>
            </w:r>
            <w:r w:rsidRPr="00C306F8">
              <w:rPr>
                <w:b/>
                <w:sz w:val="24"/>
                <w:lang w:eastAsia="ja-JP"/>
              </w:rPr>
              <w:t>4</w:t>
            </w:r>
          </w:p>
        </w:tc>
        <w:tc>
          <w:tcPr>
            <w:tcW w:w="729" w:type="dxa"/>
            <w:tcBorders>
              <w:top w:val="single" w:sz="18" w:space="0" w:color="000000"/>
              <w:right w:val="single" w:sz="18" w:space="0" w:color="000000"/>
            </w:tcBorders>
            <w:vAlign w:val="center"/>
          </w:tcPr>
          <w:p w14:paraId="4DAF2051" w14:textId="77777777" w:rsidR="000C50F0" w:rsidRPr="004B0BFC" w:rsidRDefault="000C50F0" w:rsidP="00F43DFC">
            <w:pPr>
              <w:jc w:val="center"/>
              <w:rPr>
                <w:sz w:val="24"/>
                <w:lang w:eastAsia="ja-JP"/>
              </w:rPr>
            </w:pPr>
            <w:r>
              <w:rPr>
                <w:sz w:val="24"/>
                <w:lang w:eastAsia="ja-JP"/>
              </w:rPr>
              <w:t>5</w:t>
            </w:r>
          </w:p>
        </w:tc>
        <w:tc>
          <w:tcPr>
            <w:tcW w:w="490" w:type="dxa"/>
            <w:tcBorders>
              <w:top w:val="single" w:sz="18" w:space="0" w:color="000000"/>
              <w:left w:val="single" w:sz="18" w:space="0" w:color="000000"/>
              <w:bottom w:val="single" w:sz="4" w:space="0" w:color="000000"/>
            </w:tcBorders>
            <w:shd w:val="clear" w:color="auto" w:fill="00FFFF"/>
            <w:vAlign w:val="center"/>
          </w:tcPr>
          <w:p w14:paraId="5277B205" w14:textId="77777777" w:rsidR="000C50F0" w:rsidRPr="00A76A8C" w:rsidRDefault="000C50F0" w:rsidP="00F43DFC">
            <w:pPr>
              <w:jc w:val="center"/>
              <w:rPr>
                <w:b/>
                <w:sz w:val="18"/>
                <w:szCs w:val="18"/>
                <w:lang w:eastAsia="ja-JP"/>
              </w:rPr>
            </w:pPr>
            <w:r w:rsidRPr="00A76A8C">
              <w:rPr>
                <w:b/>
                <w:sz w:val="18"/>
                <w:szCs w:val="18"/>
                <w:lang w:eastAsia="ja-JP"/>
              </w:rPr>
              <w:t>G</w:t>
            </w:r>
            <w:r>
              <w:rPr>
                <w:rFonts w:hint="eastAsia"/>
                <w:b/>
                <w:sz w:val="18"/>
                <w:szCs w:val="18"/>
                <w:lang w:eastAsia="ja-JP"/>
              </w:rPr>
              <w:t>0</w:t>
            </w:r>
          </w:p>
        </w:tc>
        <w:tc>
          <w:tcPr>
            <w:tcW w:w="491" w:type="dxa"/>
            <w:tcBorders>
              <w:top w:val="single" w:sz="18" w:space="0" w:color="000000"/>
              <w:bottom w:val="single" w:sz="4" w:space="0" w:color="000000"/>
            </w:tcBorders>
            <w:shd w:val="clear" w:color="auto" w:fill="00FFFF"/>
            <w:vAlign w:val="center"/>
          </w:tcPr>
          <w:p w14:paraId="54F5478D"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shd w:val="clear" w:color="auto" w:fill="00FFFF"/>
            <w:vAlign w:val="center"/>
          </w:tcPr>
          <w:p w14:paraId="60C6CEFA" w14:textId="77777777" w:rsidR="000C50F0" w:rsidRPr="004B0BFC" w:rsidRDefault="000C50F0" w:rsidP="00F43DFC">
            <w:pPr>
              <w:jc w:val="center"/>
              <w:rPr>
                <w:sz w:val="24"/>
                <w:lang w:eastAsia="ja-JP"/>
              </w:rPr>
            </w:pPr>
          </w:p>
        </w:tc>
        <w:tc>
          <w:tcPr>
            <w:tcW w:w="490" w:type="dxa"/>
            <w:tcBorders>
              <w:top w:val="single" w:sz="18" w:space="0" w:color="000000"/>
              <w:bottom w:val="single" w:sz="4" w:space="0" w:color="000000"/>
            </w:tcBorders>
            <w:shd w:val="clear" w:color="auto" w:fill="00FFFF"/>
            <w:vAlign w:val="center"/>
          </w:tcPr>
          <w:p w14:paraId="45FF3618"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vAlign w:val="center"/>
          </w:tcPr>
          <w:p w14:paraId="6ACB186C"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vAlign w:val="center"/>
          </w:tcPr>
          <w:p w14:paraId="0C74E20C" w14:textId="77777777" w:rsidR="000C50F0" w:rsidRPr="004B0BFC" w:rsidRDefault="000C50F0" w:rsidP="00F43DFC">
            <w:pPr>
              <w:jc w:val="center"/>
              <w:rPr>
                <w:sz w:val="24"/>
                <w:lang w:eastAsia="ja-JP"/>
              </w:rPr>
            </w:pPr>
          </w:p>
        </w:tc>
        <w:tc>
          <w:tcPr>
            <w:tcW w:w="490" w:type="dxa"/>
            <w:tcBorders>
              <w:top w:val="single" w:sz="18" w:space="0" w:color="000000"/>
              <w:bottom w:val="single" w:sz="4" w:space="0" w:color="000000"/>
            </w:tcBorders>
            <w:vAlign w:val="center"/>
          </w:tcPr>
          <w:p w14:paraId="7B108EBE"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vAlign w:val="center"/>
          </w:tcPr>
          <w:p w14:paraId="45410B8E"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6B651C3A" w14:textId="77777777" w:rsidR="000C50F0" w:rsidRPr="004B0BFC" w:rsidRDefault="000C50F0" w:rsidP="00F43DFC">
            <w:pPr>
              <w:jc w:val="center"/>
              <w:rPr>
                <w:sz w:val="24"/>
                <w:lang w:eastAsia="ja-JP"/>
              </w:rPr>
            </w:pPr>
          </w:p>
        </w:tc>
        <w:tc>
          <w:tcPr>
            <w:tcW w:w="490" w:type="dxa"/>
            <w:tcBorders>
              <w:top w:val="single" w:sz="18" w:space="0" w:color="000000"/>
            </w:tcBorders>
            <w:vAlign w:val="center"/>
          </w:tcPr>
          <w:p w14:paraId="20F8CE84"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041751BC"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0DA73A1E" w14:textId="77777777" w:rsidR="000C50F0" w:rsidRPr="004B0BFC" w:rsidRDefault="000C50F0" w:rsidP="00F43DFC">
            <w:pPr>
              <w:jc w:val="center"/>
              <w:rPr>
                <w:sz w:val="24"/>
                <w:lang w:eastAsia="ja-JP"/>
              </w:rPr>
            </w:pPr>
          </w:p>
        </w:tc>
        <w:tc>
          <w:tcPr>
            <w:tcW w:w="490" w:type="dxa"/>
            <w:tcBorders>
              <w:top w:val="single" w:sz="18" w:space="0" w:color="000000"/>
            </w:tcBorders>
            <w:vAlign w:val="center"/>
          </w:tcPr>
          <w:p w14:paraId="636D59CD"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751B038F"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286468FB"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2F1C2B8B" w14:textId="77777777" w:rsidR="000C50F0" w:rsidRPr="004B0BFC" w:rsidRDefault="000C50F0" w:rsidP="00F43DFC">
            <w:pPr>
              <w:jc w:val="center"/>
              <w:rPr>
                <w:sz w:val="24"/>
                <w:lang w:eastAsia="ja-JP"/>
              </w:rPr>
            </w:pPr>
          </w:p>
        </w:tc>
        <w:tc>
          <w:tcPr>
            <w:tcW w:w="518" w:type="dxa"/>
            <w:tcBorders>
              <w:top w:val="single" w:sz="18" w:space="0" w:color="000000"/>
            </w:tcBorders>
            <w:shd w:val="clear" w:color="auto" w:fill="auto"/>
          </w:tcPr>
          <w:p w14:paraId="66BF3C79" w14:textId="77777777" w:rsidR="000C50F0" w:rsidRPr="0025160E" w:rsidRDefault="000C50F0" w:rsidP="00F43DFC">
            <w:pPr>
              <w:jc w:val="center"/>
              <w:rPr>
                <w:sz w:val="24"/>
                <w:highlight w:val="red"/>
                <w:lang w:eastAsia="ja-JP"/>
              </w:rPr>
            </w:pPr>
          </w:p>
        </w:tc>
      </w:tr>
      <w:tr w:rsidR="000C50F0" w:rsidRPr="004B0BFC" w14:paraId="323A3C9A" w14:textId="77777777" w:rsidTr="00616C2F">
        <w:trPr>
          <w:trHeight w:hRule="exact" w:val="340"/>
        </w:trPr>
        <w:tc>
          <w:tcPr>
            <w:tcW w:w="675" w:type="dxa"/>
            <w:vMerge/>
            <w:vAlign w:val="center"/>
          </w:tcPr>
          <w:p w14:paraId="3367B200" w14:textId="77777777" w:rsidR="000C50F0" w:rsidRPr="00C306F8" w:rsidRDefault="000C50F0" w:rsidP="00F43DFC">
            <w:pPr>
              <w:jc w:val="center"/>
              <w:rPr>
                <w:b/>
                <w:sz w:val="24"/>
                <w:lang w:eastAsia="ja-JP"/>
              </w:rPr>
            </w:pPr>
          </w:p>
        </w:tc>
        <w:tc>
          <w:tcPr>
            <w:tcW w:w="729" w:type="dxa"/>
            <w:tcBorders>
              <w:right w:val="single" w:sz="18" w:space="0" w:color="000000"/>
            </w:tcBorders>
            <w:vAlign w:val="center"/>
          </w:tcPr>
          <w:p w14:paraId="2C2470A9"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tcBorders>
            <w:shd w:val="clear" w:color="auto" w:fill="00CCFF"/>
            <w:vAlign w:val="center"/>
          </w:tcPr>
          <w:p w14:paraId="0D02C1E3" w14:textId="77777777" w:rsidR="000C50F0" w:rsidRPr="00A76A8C" w:rsidRDefault="000C50F0" w:rsidP="00F43DFC">
            <w:pPr>
              <w:jc w:val="center"/>
              <w:rPr>
                <w:b/>
                <w:sz w:val="18"/>
                <w:szCs w:val="18"/>
                <w:lang w:eastAsia="ja-JP"/>
              </w:rPr>
            </w:pPr>
            <w:r w:rsidRPr="00A76A8C">
              <w:rPr>
                <w:b/>
                <w:sz w:val="18"/>
                <w:szCs w:val="18"/>
                <w:lang w:eastAsia="ja-JP"/>
              </w:rPr>
              <w:t>G</w:t>
            </w:r>
            <w:r>
              <w:rPr>
                <w:rFonts w:hint="eastAsia"/>
                <w:b/>
                <w:sz w:val="18"/>
                <w:szCs w:val="18"/>
                <w:lang w:eastAsia="ja-JP"/>
              </w:rPr>
              <w:t>1</w:t>
            </w:r>
          </w:p>
        </w:tc>
        <w:tc>
          <w:tcPr>
            <w:tcW w:w="491" w:type="dxa"/>
            <w:shd w:val="clear" w:color="auto" w:fill="00CCFF"/>
            <w:vAlign w:val="center"/>
          </w:tcPr>
          <w:p w14:paraId="3DD4E7AC" w14:textId="77777777" w:rsidR="000C50F0" w:rsidRPr="004B0BFC" w:rsidRDefault="000C50F0" w:rsidP="00F43DFC">
            <w:pPr>
              <w:jc w:val="center"/>
              <w:rPr>
                <w:sz w:val="24"/>
                <w:lang w:eastAsia="ja-JP"/>
              </w:rPr>
            </w:pPr>
          </w:p>
        </w:tc>
        <w:tc>
          <w:tcPr>
            <w:tcW w:w="491" w:type="dxa"/>
            <w:shd w:val="clear" w:color="auto" w:fill="00CCFF"/>
            <w:vAlign w:val="center"/>
          </w:tcPr>
          <w:p w14:paraId="2BC892E5" w14:textId="77777777" w:rsidR="000C50F0" w:rsidRPr="004B0BFC" w:rsidRDefault="000C50F0" w:rsidP="00F43DFC">
            <w:pPr>
              <w:jc w:val="center"/>
              <w:rPr>
                <w:sz w:val="24"/>
                <w:lang w:eastAsia="ja-JP"/>
              </w:rPr>
            </w:pPr>
          </w:p>
        </w:tc>
        <w:tc>
          <w:tcPr>
            <w:tcW w:w="490" w:type="dxa"/>
            <w:shd w:val="clear" w:color="auto" w:fill="00CCFF"/>
            <w:vAlign w:val="center"/>
          </w:tcPr>
          <w:p w14:paraId="48B813C3"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00CCFF"/>
            <w:vAlign w:val="center"/>
          </w:tcPr>
          <w:p w14:paraId="58DAFEFF"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00CCFF"/>
            <w:vAlign w:val="center"/>
          </w:tcPr>
          <w:p w14:paraId="647570B3"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00CCFF"/>
            <w:vAlign w:val="center"/>
          </w:tcPr>
          <w:p w14:paraId="08716ABB"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00CCFF"/>
            <w:vAlign w:val="center"/>
          </w:tcPr>
          <w:p w14:paraId="02184A66" w14:textId="77777777" w:rsidR="000C50F0" w:rsidRPr="004B0BFC" w:rsidRDefault="000C50F0" w:rsidP="00F43DFC">
            <w:pPr>
              <w:jc w:val="center"/>
              <w:rPr>
                <w:sz w:val="24"/>
                <w:lang w:eastAsia="ja-JP"/>
              </w:rPr>
            </w:pPr>
          </w:p>
        </w:tc>
        <w:tc>
          <w:tcPr>
            <w:tcW w:w="491" w:type="dxa"/>
            <w:tcBorders>
              <w:bottom w:val="single" w:sz="4" w:space="0" w:color="000000"/>
            </w:tcBorders>
            <w:vAlign w:val="center"/>
          </w:tcPr>
          <w:p w14:paraId="78EAE2F3" w14:textId="77777777" w:rsidR="000C50F0" w:rsidRPr="004B0BFC" w:rsidRDefault="000C50F0" w:rsidP="00F43DFC">
            <w:pPr>
              <w:jc w:val="center"/>
              <w:rPr>
                <w:sz w:val="24"/>
                <w:lang w:eastAsia="ja-JP"/>
              </w:rPr>
            </w:pPr>
          </w:p>
        </w:tc>
        <w:tc>
          <w:tcPr>
            <w:tcW w:w="490" w:type="dxa"/>
            <w:tcBorders>
              <w:bottom w:val="single" w:sz="4" w:space="0" w:color="000000"/>
            </w:tcBorders>
            <w:vAlign w:val="center"/>
          </w:tcPr>
          <w:p w14:paraId="66117173" w14:textId="77777777" w:rsidR="000C50F0" w:rsidRPr="004B0BFC" w:rsidRDefault="000C50F0" w:rsidP="00F43DFC">
            <w:pPr>
              <w:jc w:val="center"/>
              <w:rPr>
                <w:sz w:val="24"/>
                <w:lang w:eastAsia="ja-JP"/>
              </w:rPr>
            </w:pPr>
          </w:p>
        </w:tc>
        <w:tc>
          <w:tcPr>
            <w:tcW w:w="491" w:type="dxa"/>
            <w:tcBorders>
              <w:bottom w:val="single" w:sz="4" w:space="0" w:color="000000"/>
            </w:tcBorders>
            <w:vAlign w:val="center"/>
          </w:tcPr>
          <w:p w14:paraId="463A2C35" w14:textId="77777777" w:rsidR="000C50F0" w:rsidRPr="004B0BFC" w:rsidRDefault="000C50F0" w:rsidP="00F43DFC">
            <w:pPr>
              <w:jc w:val="center"/>
              <w:rPr>
                <w:sz w:val="24"/>
                <w:lang w:eastAsia="ja-JP"/>
              </w:rPr>
            </w:pPr>
          </w:p>
        </w:tc>
        <w:tc>
          <w:tcPr>
            <w:tcW w:w="491" w:type="dxa"/>
            <w:tcBorders>
              <w:bottom w:val="single" w:sz="4" w:space="0" w:color="000000"/>
            </w:tcBorders>
            <w:vAlign w:val="center"/>
          </w:tcPr>
          <w:p w14:paraId="40BEC884" w14:textId="77777777" w:rsidR="000C50F0" w:rsidRPr="004B0BFC" w:rsidRDefault="000C50F0" w:rsidP="00F43DFC">
            <w:pPr>
              <w:jc w:val="center"/>
              <w:rPr>
                <w:sz w:val="24"/>
                <w:lang w:eastAsia="ja-JP"/>
              </w:rPr>
            </w:pPr>
          </w:p>
        </w:tc>
        <w:tc>
          <w:tcPr>
            <w:tcW w:w="490" w:type="dxa"/>
            <w:vAlign w:val="center"/>
          </w:tcPr>
          <w:p w14:paraId="721F52EE" w14:textId="77777777" w:rsidR="000C50F0" w:rsidRPr="004B0BFC" w:rsidRDefault="000C50F0" w:rsidP="00F43DFC">
            <w:pPr>
              <w:jc w:val="center"/>
              <w:rPr>
                <w:sz w:val="24"/>
                <w:lang w:eastAsia="ja-JP"/>
              </w:rPr>
            </w:pPr>
          </w:p>
        </w:tc>
        <w:tc>
          <w:tcPr>
            <w:tcW w:w="491" w:type="dxa"/>
            <w:vAlign w:val="center"/>
          </w:tcPr>
          <w:p w14:paraId="36BD72A4" w14:textId="77777777" w:rsidR="000C50F0" w:rsidRPr="004B0BFC" w:rsidRDefault="000C50F0" w:rsidP="00F43DFC">
            <w:pPr>
              <w:jc w:val="center"/>
              <w:rPr>
                <w:sz w:val="24"/>
                <w:lang w:eastAsia="ja-JP"/>
              </w:rPr>
            </w:pPr>
          </w:p>
        </w:tc>
        <w:tc>
          <w:tcPr>
            <w:tcW w:w="491" w:type="dxa"/>
            <w:vAlign w:val="center"/>
          </w:tcPr>
          <w:p w14:paraId="1CE3D2ED" w14:textId="77777777" w:rsidR="000C50F0" w:rsidRPr="004B0BFC" w:rsidRDefault="000C50F0" w:rsidP="00F43DFC">
            <w:pPr>
              <w:jc w:val="center"/>
              <w:rPr>
                <w:sz w:val="24"/>
                <w:lang w:eastAsia="ja-JP"/>
              </w:rPr>
            </w:pPr>
          </w:p>
        </w:tc>
        <w:tc>
          <w:tcPr>
            <w:tcW w:w="491" w:type="dxa"/>
            <w:vAlign w:val="center"/>
          </w:tcPr>
          <w:p w14:paraId="6B1F7D4D" w14:textId="77777777" w:rsidR="000C50F0" w:rsidRPr="004B0BFC" w:rsidRDefault="000C50F0" w:rsidP="00F43DFC">
            <w:pPr>
              <w:jc w:val="center"/>
              <w:rPr>
                <w:sz w:val="24"/>
                <w:lang w:eastAsia="ja-JP"/>
              </w:rPr>
            </w:pPr>
          </w:p>
        </w:tc>
        <w:tc>
          <w:tcPr>
            <w:tcW w:w="518" w:type="dxa"/>
            <w:shd w:val="clear" w:color="auto" w:fill="auto"/>
          </w:tcPr>
          <w:p w14:paraId="3216DD72" w14:textId="77777777" w:rsidR="000C50F0" w:rsidRPr="0025160E" w:rsidRDefault="000C50F0" w:rsidP="00F43DFC">
            <w:pPr>
              <w:jc w:val="center"/>
              <w:rPr>
                <w:sz w:val="24"/>
                <w:highlight w:val="red"/>
                <w:lang w:eastAsia="ja-JP"/>
              </w:rPr>
            </w:pPr>
          </w:p>
        </w:tc>
      </w:tr>
      <w:tr w:rsidR="000C50F0" w:rsidRPr="004B0BFC" w14:paraId="778A584A" w14:textId="77777777" w:rsidTr="00616C2F">
        <w:trPr>
          <w:trHeight w:hRule="exact" w:val="340"/>
        </w:trPr>
        <w:tc>
          <w:tcPr>
            <w:tcW w:w="675" w:type="dxa"/>
            <w:vMerge/>
            <w:vAlign w:val="center"/>
          </w:tcPr>
          <w:p w14:paraId="7F339FC8" w14:textId="77777777" w:rsidR="000C50F0" w:rsidRPr="00C306F8" w:rsidRDefault="000C50F0" w:rsidP="00F43DFC">
            <w:pPr>
              <w:jc w:val="center"/>
              <w:rPr>
                <w:b/>
                <w:sz w:val="24"/>
                <w:lang w:eastAsia="ja-JP"/>
              </w:rPr>
            </w:pPr>
          </w:p>
        </w:tc>
        <w:tc>
          <w:tcPr>
            <w:tcW w:w="729" w:type="dxa"/>
            <w:tcBorders>
              <w:right w:val="single" w:sz="18" w:space="0" w:color="000000"/>
            </w:tcBorders>
            <w:vAlign w:val="center"/>
          </w:tcPr>
          <w:p w14:paraId="7A85B290"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tcBorders>
            <w:vAlign w:val="center"/>
          </w:tcPr>
          <w:p w14:paraId="762048B4" w14:textId="77777777" w:rsidR="000C50F0" w:rsidRPr="004B0BFC" w:rsidRDefault="000C50F0" w:rsidP="00F43DFC">
            <w:pPr>
              <w:jc w:val="center"/>
              <w:rPr>
                <w:sz w:val="24"/>
                <w:lang w:eastAsia="ja-JP"/>
              </w:rPr>
            </w:pPr>
          </w:p>
        </w:tc>
        <w:tc>
          <w:tcPr>
            <w:tcW w:w="491" w:type="dxa"/>
            <w:vAlign w:val="center"/>
          </w:tcPr>
          <w:p w14:paraId="4F920E1C" w14:textId="77777777" w:rsidR="000C50F0" w:rsidRPr="004B0BFC" w:rsidRDefault="000C50F0" w:rsidP="00F43DFC">
            <w:pPr>
              <w:jc w:val="center"/>
              <w:rPr>
                <w:sz w:val="24"/>
                <w:lang w:eastAsia="ja-JP"/>
              </w:rPr>
            </w:pPr>
          </w:p>
        </w:tc>
        <w:tc>
          <w:tcPr>
            <w:tcW w:w="491" w:type="dxa"/>
            <w:vAlign w:val="center"/>
          </w:tcPr>
          <w:p w14:paraId="31343797" w14:textId="77777777" w:rsidR="000C50F0" w:rsidRPr="004B0BFC" w:rsidRDefault="000C50F0" w:rsidP="00F43DFC">
            <w:pPr>
              <w:jc w:val="center"/>
              <w:rPr>
                <w:sz w:val="24"/>
                <w:lang w:eastAsia="ja-JP"/>
              </w:rPr>
            </w:pPr>
          </w:p>
        </w:tc>
        <w:tc>
          <w:tcPr>
            <w:tcW w:w="490" w:type="dxa"/>
            <w:vAlign w:val="center"/>
          </w:tcPr>
          <w:p w14:paraId="3B457984" w14:textId="77777777" w:rsidR="000C50F0" w:rsidRPr="004B0BFC" w:rsidRDefault="000C50F0" w:rsidP="00F43DFC">
            <w:pPr>
              <w:jc w:val="center"/>
              <w:rPr>
                <w:sz w:val="24"/>
                <w:lang w:eastAsia="ja-JP"/>
              </w:rPr>
            </w:pPr>
          </w:p>
        </w:tc>
        <w:tc>
          <w:tcPr>
            <w:tcW w:w="491" w:type="dxa"/>
            <w:shd w:val="clear" w:color="auto" w:fill="993366"/>
            <w:vAlign w:val="center"/>
          </w:tcPr>
          <w:p w14:paraId="735398BD" w14:textId="77777777" w:rsidR="000C50F0" w:rsidRPr="003C188A" w:rsidRDefault="000C50F0" w:rsidP="00F43DFC">
            <w:pPr>
              <w:jc w:val="center"/>
              <w:rPr>
                <w:b/>
                <w:sz w:val="18"/>
                <w:szCs w:val="18"/>
                <w:lang w:eastAsia="ja-JP"/>
              </w:rPr>
            </w:pPr>
            <w:r w:rsidRPr="003C188A">
              <w:rPr>
                <w:b/>
                <w:sz w:val="18"/>
                <w:szCs w:val="18"/>
                <w:lang w:eastAsia="ja-JP"/>
              </w:rPr>
              <w:t>G</w:t>
            </w:r>
            <w:r>
              <w:rPr>
                <w:rFonts w:hint="eastAsia"/>
                <w:b/>
                <w:sz w:val="18"/>
                <w:szCs w:val="18"/>
                <w:lang w:eastAsia="ja-JP"/>
              </w:rPr>
              <w:t>2</w:t>
            </w:r>
          </w:p>
        </w:tc>
        <w:tc>
          <w:tcPr>
            <w:tcW w:w="491" w:type="dxa"/>
            <w:shd w:val="clear" w:color="auto" w:fill="993366"/>
            <w:vAlign w:val="center"/>
          </w:tcPr>
          <w:p w14:paraId="6917780E" w14:textId="77777777" w:rsidR="000C50F0" w:rsidRPr="004B0BFC" w:rsidRDefault="000C50F0" w:rsidP="00F43DFC">
            <w:pPr>
              <w:jc w:val="center"/>
              <w:rPr>
                <w:sz w:val="24"/>
                <w:lang w:eastAsia="ja-JP"/>
              </w:rPr>
            </w:pPr>
          </w:p>
        </w:tc>
        <w:tc>
          <w:tcPr>
            <w:tcW w:w="490" w:type="dxa"/>
            <w:shd w:val="clear" w:color="auto" w:fill="993366"/>
            <w:vAlign w:val="center"/>
          </w:tcPr>
          <w:p w14:paraId="4465926B" w14:textId="77777777" w:rsidR="000C50F0" w:rsidRPr="004B0BFC" w:rsidRDefault="000C50F0" w:rsidP="00F43DFC">
            <w:pPr>
              <w:jc w:val="center"/>
              <w:rPr>
                <w:sz w:val="24"/>
                <w:lang w:eastAsia="ja-JP"/>
              </w:rPr>
            </w:pPr>
          </w:p>
        </w:tc>
        <w:tc>
          <w:tcPr>
            <w:tcW w:w="491" w:type="dxa"/>
            <w:shd w:val="clear" w:color="auto" w:fill="993366"/>
            <w:vAlign w:val="center"/>
          </w:tcPr>
          <w:p w14:paraId="07AEEAD7"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993366"/>
            <w:vAlign w:val="center"/>
          </w:tcPr>
          <w:p w14:paraId="5C73F705"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993366"/>
            <w:vAlign w:val="center"/>
          </w:tcPr>
          <w:p w14:paraId="67D86E81"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993366"/>
            <w:vAlign w:val="center"/>
          </w:tcPr>
          <w:p w14:paraId="75143615"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993366"/>
            <w:vAlign w:val="center"/>
          </w:tcPr>
          <w:p w14:paraId="236BC110" w14:textId="77777777" w:rsidR="000C50F0" w:rsidRPr="004B0BFC" w:rsidRDefault="000C50F0" w:rsidP="00F43DFC">
            <w:pPr>
              <w:jc w:val="center"/>
              <w:rPr>
                <w:sz w:val="24"/>
                <w:lang w:eastAsia="ja-JP"/>
              </w:rPr>
            </w:pPr>
          </w:p>
        </w:tc>
        <w:tc>
          <w:tcPr>
            <w:tcW w:w="490" w:type="dxa"/>
            <w:tcBorders>
              <w:bottom w:val="single" w:sz="4" w:space="0" w:color="000000"/>
            </w:tcBorders>
            <w:vAlign w:val="center"/>
          </w:tcPr>
          <w:p w14:paraId="77DA38FC" w14:textId="77777777" w:rsidR="000C50F0" w:rsidRPr="004B0BFC" w:rsidRDefault="000C50F0" w:rsidP="00F43DFC">
            <w:pPr>
              <w:jc w:val="center"/>
              <w:rPr>
                <w:sz w:val="24"/>
                <w:lang w:eastAsia="ja-JP"/>
              </w:rPr>
            </w:pPr>
          </w:p>
        </w:tc>
        <w:tc>
          <w:tcPr>
            <w:tcW w:w="491" w:type="dxa"/>
            <w:tcBorders>
              <w:bottom w:val="single" w:sz="4" w:space="0" w:color="000000"/>
            </w:tcBorders>
            <w:vAlign w:val="center"/>
          </w:tcPr>
          <w:p w14:paraId="09C901E7" w14:textId="77777777" w:rsidR="000C50F0" w:rsidRPr="004B0BFC" w:rsidRDefault="000C50F0" w:rsidP="00F43DFC">
            <w:pPr>
              <w:jc w:val="center"/>
              <w:rPr>
                <w:sz w:val="24"/>
                <w:lang w:eastAsia="ja-JP"/>
              </w:rPr>
            </w:pPr>
          </w:p>
        </w:tc>
        <w:tc>
          <w:tcPr>
            <w:tcW w:w="491" w:type="dxa"/>
            <w:tcBorders>
              <w:bottom w:val="single" w:sz="4" w:space="0" w:color="000000"/>
            </w:tcBorders>
            <w:vAlign w:val="center"/>
          </w:tcPr>
          <w:p w14:paraId="7F5AB330" w14:textId="77777777" w:rsidR="000C50F0" w:rsidRPr="004B0BFC" w:rsidRDefault="000C50F0" w:rsidP="00F43DFC">
            <w:pPr>
              <w:jc w:val="center"/>
              <w:rPr>
                <w:sz w:val="24"/>
                <w:lang w:eastAsia="ja-JP"/>
              </w:rPr>
            </w:pPr>
          </w:p>
        </w:tc>
        <w:tc>
          <w:tcPr>
            <w:tcW w:w="491" w:type="dxa"/>
            <w:tcBorders>
              <w:bottom w:val="single" w:sz="4" w:space="0" w:color="000000"/>
            </w:tcBorders>
            <w:vAlign w:val="center"/>
          </w:tcPr>
          <w:p w14:paraId="55992216" w14:textId="77777777" w:rsidR="000C50F0" w:rsidRPr="004B0BFC" w:rsidRDefault="000C50F0" w:rsidP="00F43DFC">
            <w:pPr>
              <w:jc w:val="center"/>
              <w:rPr>
                <w:sz w:val="24"/>
                <w:lang w:eastAsia="ja-JP"/>
              </w:rPr>
            </w:pPr>
          </w:p>
        </w:tc>
        <w:tc>
          <w:tcPr>
            <w:tcW w:w="518" w:type="dxa"/>
            <w:tcBorders>
              <w:bottom w:val="single" w:sz="4" w:space="0" w:color="000000"/>
            </w:tcBorders>
            <w:shd w:val="clear" w:color="auto" w:fill="auto"/>
          </w:tcPr>
          <w:p w14:paraId="6EBD8453" w14:textId="77777777" w:rsidR="000C50F0" w:rsidRPr="0025160E" w:rsidRDefault="000C50F0" w:rsidP="00F43DFC">
            <w:pPr>
              <w:jc w:val="center"/>
              <w:rPr>
                <w:sz w:val="24"/>
                <w:highlight w:val="red"/>
                <w:lang w:eastAsia="ja-JP"/>
              </w:rPr>
            </w:pPr>
          </w:p>
        </w:tc>
      </w:tr>
      <w:tr w:rsidR="000C50F0" w:rsidRPr="004B0BFC" w14:paraId="1074224F" w14:textId="77777777" w:rsidTr="00616C2F">
        <w:trPr>
          <w:trHeight w:hRule="exact" w:val="340"/>
        </w:trPr>
        <w:tc>
          <w:tcPr>
            <w:tcW w:w="675" w:type="dxa"/>
            <w:vMerge/>
            <w:vAlign w:val="center"/>
          </w:tcPr>
          <w:p w14:paraId="1169FDB4" w14:textId="77777777" w:rsidR="000C50F0" w:rsidRPr="00C306F8" w:rsidRDefault="000C50F0" w:rsidP="00F43DFC">
            <w:pPr>
              <w:jc w:val="center"/>
              <w:rPr>
                <w:b/>
                <w:sz w:val="24"/>
                <w:lang w:eastAsia="ja-JP"/>
              </w:rPr>
            </w:pPr>
          </w:p>
        </w:tc>
        <w:tc>
          <w:tcPr>
            <w:tcW w:w="729" w:type="dxa"/>
            <w:tcBorders>
              <w:right w:val="single" w:sz="18" w:space="0" w:color="000000"/>
            </w:tcBorders>
            <w:vAlign w:val="center"/>
          </w:tcPr>
          <w:p w14:paraId="2A36AEBF"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tcBorders>
            <w:vAlign w:val="center"/>
          </w:tcPr>
          <w:p w14:paraId="0EDA8C63" w14:textId="77777777" w:rsidR="000C50F0" w:rsidRPr="004B0BFC" w:rsidRDefault="000C50F0" w:rsidP="00F43DFC">
            <w:pPr>
              <w:jc w:val="center"/>
              <w:rPr>
                <w:sz w:val="24"/>
                <w:lang w:eastAsia="ja-JP"/>
              </w:rPr>
            </w:pPr>
          </w:p>
        </w:tc>
        <w:tc>
          <w:tcPr>
            <w:tcW w:w="491" w:type="dxa"/>
            <w:vAlign w:val="center"/>
          </w:tcPr>
          <w:p w14:paraId="714871E0" w14:textId="77777777" w:rsidR="000C50F0" w:rsidRPr="004B0BFC" w:rsidRDefault="000C50F0" w:rsidP="00F43DFC">
            <w:pPr>
              <w:jc w:val="center"/>
              <w:rPr>
                <w:sz w:val="24"/>
                <w:lang w:eastAsia="ja-JP"/>
              </w:rPr>
            </w:pPr>
          </w:p>
        </w:tc>
        <w:tc>
          <w:tcPr>
            <w:tcW w:w="491" w:type="dxa"/>
            <w:vAlign w:val="center"/>
          </w:tcPr>
          <w:p w14:paraId="03459C42" w14:textId="77777777" w:rsidR="000C50F0" w:rsidRPr="004B0BFC" w:rsidRDefault="000C50F0" w:rsidP="00F43DFC">
            <w:pPr>
              <w:jc w:val="center"/>
              <w:rPr>
                <w:sz w:val="24"/>
                <w:lang w:eastAsia="ja-JP"/>
              </w:rPr>
            </w:pPr>
          </w:p>
        </w:tc>
        <w:tc>
          <w:tcPr>
            <w:tcW w:w="490" w:type="dxa"/>
            <w:vAlign w:val="center"/>
          </w:tcPr>
          <w:p w14:paraId="20884973" w14:textId="77777777" w:rsidR="000C50F0" w:rsidRPr="004B0BFC" w:rsidRDefault="000C50F0" w:rsidP="00F43DFC">
            <w:pPr>
              <w:jc w:val="center"/>
              <w:rPr>
                <w:sz w:val="24"/>
                <w:lang w:eastAsia="ja-JP"/>
              </w:rPr>
            </w:pPr>
          </w:p>
        </w:tc>
        <w:tc>
          <w:tcPr>
            <w:tcW w:w="491" w:type="dxa"/>
            <w:vAlign w:val="center"/>
          </w:tcPr>
          <w:p w14:paraId="27768078" w14:textId="77777777" w:rsidR="000C50F0" w:rsidRPr="004B0BFC" w:rsidRDefault="000C50F0" w:rsidP="00F43DFC">
            <w:pPr>
              <w:jc w:val="center"/>
              <w:rPr>
                <w:sz w:val="24"/>
                <w:lang w:eastAsia="ja-JP"/>
              </w:rPr>
            </w:pPr>
          </w:p>
        </w:tc>
        <w:tc>
          <w:tcPr>
            <w:tcW w:w="491" w:type="dxa"/>
            <w:vAlign w:val="center"/>
          </w:tcPr>
          <w:p w14:paraId="082B5536" w14:textId="77777777" w:rsidR="000C50F0" w:rsidRPr="004B0BFC" w:rsidRDefault="000C50F0" w:rsidP="00F43DFC">
            <w:pPr>
              <w:jc w:val="center"/>
              <w:rPr>
                <w:sz w:val="24"/>
                <w:lang w:eastAsia="ja-JP"/>
              </w:rPr>
            </w:pPr>
          </w:p>
        </w:tc>
        <w:tc>
          <w:tcPr>
            <w:tcW w:w="490" w:type="dxa"/>
            <w:vAlign w:val="center"/>
          </w:tcPr>
          <w:p w14:paraId="0170B563" w14:textId="77777777" w:rsidR="000C50F0" w:rsidRPr="004B0BFC" w:rsidRDefault="000C50F0" w:rsidP="00F43DFC">
            <w:pPr>
              <w:jc w:val="center"/>
              <w:rPr>
                <w:sz w:val="24"/>
                <w:lang w:eastAsia="ja-JP"/>
              </w:rPr>
            </w:pPr>
          </w:p>
        </w:tc>
        <w:tc>
          <w:tcPr>
            <w:tcW w:w="491" w:type="dxa"/>
            <w:vAlign w:val="center"/>
          </w:tcPr>
          <w:p w14:paraId="5BEB565A" w14:textId="77777777" w:rsidR="000C50F0" w:rsidRPr="004B0BFC" w:rsidRDefault="000C50F0" w:rsidP="00F43DFC">
            <w:pPr>
              <w:jc w:val="center"/>
              <w:rPr>
                <w:sz w:val="24"/>
                <w:lang w:eastAsia="ja-JP"/>
              </w:rPr>
            </w:pPr>
          </w:p>
        </w:tc>
        <w:tc>
          <w:tcPr>
            <w:tcW w:w="491" w:type="dxa"/>
            <w:shd w:val="clear" w:color="auto" w:fill="C0C0C0"/>
            <w:vAlign w:val="center"/>
          </w:tcPr>
          <w:p w14:paraId="6E5CAE29" w14:textId="77777777" w:rsidR="000C50F0" w:rsidRPr="003C188A" w:rsidRDefault="000C50F0" w:rsidP="00F43DFC">
            <w:pPr>
              <w:jc w:val="center"/>
              <w:rPr>
                <w:b/>
                <w:sz w:val="18"/>
                <w:szCs w:val="18"/>
                <w:lang w:eastAsia="ja-JP"/>
              </w:rPr>
            </w:pPr>
            <w:r w:rsidRPr="003C188A">
              <w:rPr>
                <w:b/>
                <w:sz w:val="18"/>
                <w:szCs w:val="18"/>
                <w:lang w:eastAsia="ja-JP"/>
              </w:rPr>
              <w:t>G</w:t>
            </w:r>
            <w:r>
              <w:rPr>
                <w:rFonts w:hint="eastAsia"/>
                <w:b/>
                <w:sz w:val="18"/>
                <w:szCs w:val="18"/>
                <w:lang w:eastAsia="ja-JP"/>
              </w:rPr>
              <w:t>3</w:t>
            </w:r>
          </w:p>
        </w:tc>
        <w:tc>
          <w:tcPr>
            <w:tcW w:w="490" w:type="dxa"/>
            <w:shd w:val="clear" w:color="auto" w:fill="C0C0C0"/>
            <w:vAlign w:val="center"/>
          </w:tcPr>
          <w:p w14:paraId="74923CAC" w14:textId="77777777" w:rsidR="000C50F0" w:rsidRPr="004B0BFC" w:rsidRDefault="000C50F0" w:rsidP="00F43DFC">
            <w:pPr>
              <w:jc w:val="center"/>
              <w:rPr>
                <w:sz w:val="24"/>
                <w:lang w:eastAsia="ja-JP"/>
              </w:rPr>
            </w:pPr>
          </w:p>
        </w:tc>
        <w:tc>
          <w:tcPr>
            <w:tcW w:w="491" w:type="dxa"/>
            <w:shd w:val="clear" w:color="auto" w:fill="C0C0C0"/>
            <w:vAlign w:val="center"/>
          </w:tcPr>
          <w:p w14:paraId="292E9456" w14:textId="77777777" w:rsidR="000C50F0" w:rsidRPr="004B0BFC" w:rsidRDefault="000C50F0" w:rsidP="00F43DFC">
            <w:pPr>
              <w:jc w:val="center"/>
              <w:rPr>
                <w:sz w:val="24"/>
                <w:lang w:eastAsia="ja-JP"/>
              </w:rPr>
            </w:pPr>
          </w:p>
        </w:tc>
        <w:tc>
          <w:tcPr>
            <w:tcW w:w="491" w:type="dxa"/>
            <w:shd w:val="clear" w:color="auto" w:fill="C0C0C0"/>
            <w:vAlign w:val="center"/>
          </w:tcPr>
          <w:p w14:paraId="7AFD78D6"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C0C0C0"/>
            <w:vAlign w:val="center"/>
          </w:tcPr>
          <w:p w14:paraId="6911A286"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C0C0C0"/>
            <w:vAlign w:val="center"/>
          </w:tcPr>
          <w:p w14:paraId="6494E763"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C0C0C0"/>
            <w:vAlign w:val="center"/>
          </w:tcPr>
          <w:p w14:paraId="3F7DB2B5"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C0C0C0"/>
            <w:vAlign w:val="center"/>
          </w:tcPr>
          <w:p w14:paraId="543D9940" w14:textId="77777777" w:rsidR="000C50F0" w:rsidRPr="004B0BFC" w:rsidRDefault="000C50F0" w:rsidP="00F43DFC">
            <w:pPr>
              <w:jc w:val="center"/>
              <w:rPr>
                <w:sz w:val="24"/>
                <w:lang w:eastAsia="ja-JP"/>
              </w:rPr>
            </w:pPr>
          </w:p>
        </w:tc>
        <w:tc>
          <w:tcPr>
            <w:tcW w:w="518" w:type="dxa"/>
            <w:tcBorders>
              <w:bottom w:val="single" w:sz="4" w:space="0" w:color="000000"/>
            </w:tcBorders>
            <w:shd w:val="clear" w:color="auto" w:fill="auto"/>
          </w:tcPr>
          <w:p w14:paraId="5A2D21BC" w14:textId="77777777" w:rsidR="000C50F0" w:rsidRPr="0025160E" w:rsidRDefault="000C50F0" w:rsidP="00F43DFC">
            <w:pPr>
              <w:jc w:val="center"/>
              <w:rPr>
                <w:sz w:val="24"/>
                <w:highlight w:val="red"/>
                <w:lang w:eastAsia="ja-JP"/>
              </w:rPr>
            </w:pPr>
          </w:p>
        </w:tc>
      </w:tr>
      <w:tr w:rsidR="000C50F0" w:rsidRPr="004B0BFC" w14:paraId="3F4E43CD" w14:textId="77777777" w:rsidTr="00616C2F">
        <w:trPr>
          <w:trHeight w:hRule="exact" w:val="340"/>
        </w:trPr>
        <w:tc>
          <w:tcPr>
            <w:tcW w:w="675" w:type="dxa"/>
            <w:vMerge/>
            <w:tcBorders>
              <w:bottom w:val="single" w:sz="18" w:space="0" w:color="000000"/>
            </w:tcBorders>
            <w:vAlign w:val="center"/>
          </w:tcPr>
          <w:p w14:paraId="5254F196" w14:textId="77777777" w:rsidR="000C50F0" w:rsidRPr="00C306F8" w:rsidRDefault="000C50F0" w:rsidP="00F43DFC">
            <w:pPr>
              <w:jc w:val="center"/>
              <w:rPr>
                <w:b/>
                <w:sz w:val="24"/>
                <w:lang w:eastAsia="ja-JP"/>
              </w:rPr>
            </w:pPr>
          </w:p>
        </w:tc>
        <w:tc>
          <w:tcPr>
            <w:tcW w:w="729" w:type="dxa"/>
            <w:tcBorders>
              <w:bottom w:val="single" w:sz="18" w:space="0" w:color="000000"/>
              <w:right w:val="single" w:sz="18" w:space="0" w:color="000000"/>
            </w:tcBorders>
            <w:vAlign w:val="center"/>
          </w:tcPr>
          <w:p w14:paraId="1FC4ECDF"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bottom w:val="single" w:sz="18" w:space="0" w:color="000000"/>
            </w:tcBorders>
            <w:vAlign w:val="center"/>
          </w:tcPr>
          <w:p w14:paraId="60BFF7A2"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3F8BECC6"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7607497C" w14:textId="77777777" w:rsidR="000C50F0" w:rsidRPr="004B0BFC" w:rsidRDefault="000C50F0" w:rsidP="00F43DFC">
            <w:pPr>
              <w:jc w:val="center"/>
              <w:rPr>
                <w:sz w:val="24"/>
                <w:lang w:eastAsia="ja-JP"/>
              </w:rPr>
            </w:pPr>
          </w:p>
        </w:tc>
        <w:tc>
          <w:tcPr>
            <w:tcW w:w="490" w:type="dxa"/>
            <w:tcBorders>
              <w:bottom w:val="single" w:sz="18" w:space="0" w:color="000000"/>
            </w:tcBorders>
            <w:vAlign w:val="center"/>
          </w:tcPr>
          <w:p w14:paraId="109B06EC"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26653C5D"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14C99135" w14:textId="77777777" w:rsidR="000C50F0" w:rsidRPr="004B0BFC" w:rsidRDefault="000C50F0" w:rsidP="00F43DFC">
            <w:pPr>
              <w:jc w:val="center"/>
              <w:rPr>
                <w:sz w:val="24"/>
                <w:lang w:eastAsia="ja-JP"/>
              </w:rPr>
            </w:pPr>
          </w:p>
        </w:tc>
        <w:tc>
          <w:tcPr>
            <w:tcW w:w="490" w:type="dxa"/>
            <w:tcBorders>
              <w:bottom w:val="single" w:sz="18" w:space="0" w:color="000000"/>
            </w:tcBorders>
            <w:vAlign w:val="center"/>
          </w:tcPr>
          <w:p w14:paraId="13D4546E"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53B7BFF3"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4B4BABC3" w14:textId="77777777" w:rsidR="000C50F0" w:rsidRPr="004B0BFC" w:rsidRDefault="000C50F0" w:rsidP="00F43DFC">
            <w:pPr>
              <w:jc w:val="center"/>
              <w:rPr>
                <w:sz w:val="24"/>
                <w:lang w:eastAsia="ja-JP"/>
              </w:rPr>
            </w:pPr>
          </w:p>
        </w:tc>
        <w:tc>
          <w:tcPr>
            <w:tcW w:w="490" w:type="dxa"/>
            <w:tcBorders>
              <w:bottom w:val="single" w:sz="18" w:space="0" w:color="000000"/>
            </w:tcBorders>
            <w:vAlign w:val="center"/>
          </w:tcPr>
          <w:p w14:paraId="3109338E"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490B8EA6" w14:textId="77777777" w:rsidR="000C50F0" w:rsidRPr="004B0BFC" w:rsidRDefault="000C50F0" w:rsidP="00F43DFC">
            <w:pPr>
              <w:jc w:val="center"/>
              <w:rPr>
                <w:sz w:val="24"/>
                <w:lang w:eastAsia="ja-JP"/>
              </w:rPr>
            </w:pPr>
          </w:p>
        </w:tc>
        <w:tc>
          <w:tcPr>
            <w:tcW w:w="491" w:type="dxa"/>
            <w:tcBorders>
              <w:bottom w:val="single" w:sz="18" w:space="0" w:color="000000"/>
            </w:tcBorders>
            <w:vAlign w:val="center"/>
          </w:tcPr>
          <w:p w14:paraId="5B6C5BC2" w14:textId="77777777" w:rsidR="000C50F0" w:rsidRPr="004B0BFC" w:rsidRDefault="000C50F0" w:rsidP="00F43DFC">
            <w:pPr>
              <w:jc w:val="center"/>
              <w:rPr>
                <w:sz w:val="24"/>
                <w:lang w:eastAsia="ja-JP"/>
              </w:rPr>
            </w:pPr>
          </w:p>
        </w:tc>
        <w:tc>
          <w:tcPr>
            <w:tcW w:w="490" w:type="dxa"/>
            <w:tcBorders>
              <w:bottom w:val="single" w:sz="18" w:space="0" w:color="000000"/>
            </w:tcBorders>
            <w:shd w:val="clear" w:color="auto" w:fill="FF99CC"/>
            <w:vAlign w:val="center"/>
          </w:tcPr>
          <w:p w14:paraId="6708F911" w14:textId="77777777" w:rsidR="000C50F0" w:rsidRPr="00A76A8C" w:rsidRDefault="000C50F0" w:rsidP="00F43DFC">
            <w:pPr>
              <w:jc w:val="center"/>
              <w:rPr>
                <w:sz w:val="18"/>
                <w:szCs w:val="18"/>
                <w:lang w:eastAsia="ja-JP"/>
              </w:rPr>
            </w:pPr>
            <w:r w:rsidRPr="003C188A">
              <w:rPr>
                <w:b/>
                <w:sz w:val="18"/>
                <w:szCs w:val="18"/>
                <w:lang w:eastAsia="ja-JP"/>
              </w:rPr>
              <w:t>G</w:t>
            </w:r>
            <w:r>
              <w:rPr>
                <w:rFonts w:hint="eastAsia"/>
                <w:b/>
                <w:sz w:val="18"/>
                <w:szCs w:val="18"/>
                <w:lang w:eastAsia="ja-JP"/>
              </w:rPr>
              <w:t>4</w:t>
            </w:r>
          </w:p>
        </w:tc>
        <w:tc>
          <w:tcPr>
            <w:tcW w:w="491" w:type="dxa"/>
            <w:tcBorders>
              <w:bottom w:val="single" w:sz="18" w:space="0" w:color="000000"/>
            </w:tcBorders>
            <w:shd w:val="clear" w:color="auto" w:fill="FF99CC"/>
            <w:vAlign w:val="center"/>
          </w:tcPr>
          <w:p w14:paraId="5E47E7FA"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FF99CC"/>
            <w:vAlign w:val="center"/>
          </w:tcPr>
          <w:p w14:paraId="079B43C1" w14:textId="77777777" w:rsidR="000C50F0" w:rsidRPr="004B0BFC" w:rsidRDefault="000C50F0" w:rsidP="00F43DFC">
            <w:pPr>
              <w:jc w:val="center"/>
              <w:rPr>
                <w:sz w:val="24"/>
                <w:lang w:eastAsia="ja-JP"/>
              </w:rPr>
            </w:pPr>
          </w:p>
        </w:tc>
        <w:tc>
          <w:tcPr>
            <w:tcW w:w="491" w:type="dxa"/>
            <w:tcBorders>
              <w:bottom w:val="single" w:sz="18" w:space="0" w:color="000000"/>
            </w:tcBorders>
            <w:shd w:val="clear" w:color="auto" w:fill="FF99CC"/>
            <w:vAlign w:val="center"/>
          </w:tcPr>
          <w:p w14:paraId="6A830619" w14:textId="77777777" w:rsidR="000C50F0" w:rsidRPr="004B0BFC" w:rsidRDefault="000C50F0" w:rsidP="00F43DFC">
            <w:pPr>
              <w:jc w:val="center"/>
              <w:rPr>
                <w:sz w:val="24"/>
                <w:lang w:eastAsia="ja-JP"/>
              </w:rPr>
            </w:pPr>
          </w:p>
        </w:tc>
        <w:tc>
          <w:tcPr>
            <w:tcW w:w="518" w:type="dxa"/>
            <w:tcBorders>
              <w:bottom w:val="single" w:sz="18" w:space="0" w:color="000000"/>
            </w:tcBorders>
            <w:shd w:val="clear" w:color="auto" w:fill="E5B8B7" w:themeFill="accent2" w:themeFillTint="66"/>
            <w:vAlign w:val="center"/>
          </w:tcPr>
          <w:p w14:paraId="3F8DD5C2" w14:textId="77777777" w:rsidR="000C50F0" w:rsidRPr="0025160E" w:rsidRDefault="000C50F0" w:rsidP="00F43DFC">
            <w:pPr>
              <w:jc w:val="center"/>
              <w:rPr>
                <w:sz w:val="24"/>
                <w:highlight w:val="red"/>
                <w:lang w:eastAsia="ja-JP"/>
              </w:rPr>
            </w:pPr>
            <w:r w:rsidRPr="008B7FA3">
              <w:rPr>
                <w:rFonts w:hint="eastAsia"/>
                <w:sz w:val="24"/>
                <w:lang w:eastAsia="ja-JP"/>
              </w:rPr>
              <w:t>D</w:t>
            </w:r>
          </w:p>
        </w:tc>
      </w:tr>
      <w:tr w:rsidR="000C50F0" w:rsidRPr="004B0BFC" w14:paraId="11DB200F" w14:textId="77777777" w:rsidTr="00616C2F">
        <w:trPr>
          <w:trHeight w:hRule="exact" w:val="340"/>
        </w:trPr>
        <w:tc>
          <w:tcPr>
            <w:tcW w:w="675" w:type="dxa"/>
            <w:vMerge w:val="restart"/>
            <w:tcBorders>
              <w:top w:val="single" w:sz="18" w:space="0" w:color="000000"/>
            </w:tcBorders>
            <w:vAlign w:val="center"/>
          </w:tcPr>
          <w:p w14:paraId="388BDE86" w14:textId="77777777" w:rsidR="000C50F0" w:rsidRPr="00C306F8" w:rsidRDefault="000C50F0" w:rsidP="00F43DFC">
            <w:pPr>
              <w:jc w:val="center"/>
              <w:rPr>
                <w:b/>
                <w:sz w:val="24"/>
                <w:lang w:eastAsia="ja-JP"/>
              </w:rPr>
            </w:pPr>
            <w:r w:rsidRPr="00C306F8">
              <w:rPr>
                <w:b/>
                <w:sz w:val="24"/>
                <w:lang w:eastAsia="ja-JP"/>
              </w:rPr>
              <w:t>T8</w:t>
            </w:r>
          </w:p>
        </w:tc>
        <w:tc>
          <w:tcPr>
            <w:tcW w:w="729" w:type="dxa"/>
            <w:tcBorders>
              <w:top w:val="single" w:sz="18" w:space="0" w:color="000000"/>
              <w:right w:val="single" w:sz="18" w:space="0" w:color="000000"/>
            </w:tcBorders>
            <w:vAlign w:val="center"/>
          </w:tcPr>
          <w:p w14:paraId="68E4865B" w14:textId="77777777" w:rsidR="000C50F0" w:rsidRPr="004B0BFC" w:rsidRDefault="000C50F0" w:rsidP="00F43DFC">
            <w:pPr>
              <w:jc w:val="center"/>
              <w:rPr>
                <w:sz w:val="24"/>
                <w:lang w:eastAsia="ja-JP"/>
              </w:rPr>
            </w:pPr>
            <w:r>
              <w:rPr>
                <w:sz w:val="24"/>
                <w:lang w:eastAsia="ja-JP"/>
              </w:rPr>
              <w:t>5</w:t>
            </w:r>
          </w:p>
        </w:tc>
        <w:tc>
          <w:tcPr>
            <w:tcW w:w="490" w:type="dxa"/>
            <w:tcBorders>
              <w:top w:val="single" w:sz="18" w:space="0" w:color="000000"/>
              <w:left w:val="single" w:sz="18" w:space="0" w:color="000000"/>
              <w:bottom w:val="single" w:sz="4" w:space="0" w:color="000000"/>
            </w:tcBorders>
            <w:shd w:val="clear" w:color="auto" w:fill="FABF8F"/>
            <w:vAlign w:val="center"/>
          </w:tcPr>
          <w:p w14:paraId="22033C6F" w14:textId="77777777" w:rsidR="000C50F0" w:rsidRPr="003C188A" w:rsidRDefault="000C50F0" w:rsidP="00F43DFC">
            <w:pPr>
              <w:jc w:val="center"/>
              <w:rPr>
                <w:b/>
                <w:sz w:val="18"/>
                <w:szCs w:val="18"/>
                <w:highlight w:val="darkMagenta"/>
                <w:lang w:eastAsia="ja-JP"/>
              </w:rPr>
            </w:pPr>
            <w:r w:rsidRPr="003C188A">
              <w:rPr>
                <w:b/>
                <w:sz w:val="18"/>
                <w:szCs w:val="18"/>
                <w:lang w:eastAsia="ja-JP"/>
              </w:rPr>
              <w:t>G</w:t>
            </w:r>
            <w:r>
              <w:rPr>
                <w:rFonts w:hint="eastAsia"/>
                <w:b/>
                <w:sz w:val="18"/>
                <w:szCs w:val="18"/>
                <w:lang w:eastAsia="ja-JP"/>
              </w:rPr>
              <w:t>0</w:t>
            </w:r>
          </w:p>
        </w:tc>
        <w:tc>
          <w:tcPr>
            <w:tcW w:w="491" w:type="dxa"/>
            <w:tcBorders>
              <w:top w:val="single" w:sz="18" w:space="0" w:color="000000"/>
              <w:bottom w:val="single" w:sz="4" w:space="0" w:color="000000"/>
            </w:tcBorders>
            <w:shd w:val="clear" w:color="auto" w:fill="FBD4B4"/>
            <w:vAlign w:val="center"/>
          </w:tcPr>
          <w:p w14:paraId="71322CF6" w14:textId="77777777" w:rsidR="000C50F0" w:rsidRPr="00125E33" w:rsidRDefault="000C50F0" w:rsidP="00F43DFC">
            <w:pPr>
              <w:jc w:val="center"/>
              <w:rPr>
                <w:sz w:val="24"/>
                <w:highlight w:val="darkMagenta"/>
                <w:lang w:eastAsia="ja-JP"/>
              </w:rPr>
            </w:pPr>
          </w:p>
        </w:tc>
        <w:tc>
          <w:tcPr>
            <w:tcW w:w="491" w:type="dxa"/>
            <w:tcBorders>
              <w:top w:val="single" w:sz="18" w:space="0" w:color="000000"/>
              <w:bottom w:val="single" w:sz="4" w:space="0" w:color="000000"/>
            </w:tcBorders>
            <w:shd w:val="clear" w:color="auto" w:fill="auto"/>
            <w:vAlign w:val="center"/>
          </w:tcPr>
          <w:p w14:paraId="2CF3D3E0" w14:textId="77777777" w:rsidR="000C50F0" w:rsidRPr="00125E33" w:rsidRDefault="000C50F0" w:rsidP="00F43DFC">
            <w:pPr>
              <w:jc w:val="center"/>
              <w:rPr>
                <w:sz w:val="24"/>
                <w:highlight w:val="darkMagenta"/>
                <w:lang w:eastAsia="ja-JP"/>
              </w:rPr>
            </w:pPr>
          </w:p>
        </w:tc>
        <w:tc>
          <w:tcPr>
            <w:tcW w:w="490" w:type="dxa"/>
            <w:tcBorders>
              <w:top w:val="single" w:sz="18" w:space="0" w:color="000000"/>
              <w:bottom w:val="single" w:sz="4" w:space="0" w:color="000000"/>
            </w:tcBorders>
            <w:vAlign w:val="center"/>
          </w:tcPr>
          <w:p w14:paraId="2114119E"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vAlign w:val="center"/>
          </w:tcPr>
          <w:p w14:paraId="19F49AB1" w14:textId="77777777" w:rsidR="000C50F0" w:rsidRPr="004B0BFC" w:rsidRDefault="000C50F0" w:rsidP="00F43DFC">
            <w:pPr>
              <w:jc w:val="center"/>
              <w:rPr>
                <w:sz w:val="24"/>
                <w:lang w:eastAsia="ja-JP"/>
              </w:rPr>
            </w:pPr>
          </w:p>
        </w:tc>
        <w:tc>
          <w:tcPr>
            <w:tcW w:w="491" w:type="dxa"/>
            <w:tcBorders>
              <w:top w:val="single" w:sz="18" w:space="0" w:color="000000"/>
              <w:bottom w:val="single" w:sz="4" w:space="0" w:color="000000"/>
            </w:tcBorders>
            <w:vAlign w:val="center"/>
          </w:tcPr>
          <w:p w14:paraId="57DF25EE" w14:textId="77777777" w:rsidR="000C50F0" w:rsidRPr="004B0BFC" w:rsidRDefault="000C50F0" w:rsidP="00F43DFC">
            <w:pPr>
              <w:jc w:val="center"/>
              <w:rPr>
                <w:sz w:val="24"/>
                <w:lang w:eastAsia="ja-JP"/>
              </w:rPr>
            </w:pPr>
          </w:p>
        </w:tc>
        <w:tc>
          <w:tcPr>
            <w:tcW w:w="490" w:type="dxa"/>
            <w:tcBorders>
              <w:top w:val="single" w:sz="18" w:space="0" w:color="000000"/>
            </w:tcBorders>
            <w:vAlign w:val="center"/>
          </w:tcPr>
          <w:p w14:paraId="26BF0D0E"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0A6493A7"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4F811EAC" w14:textId="77777777" w:rsidR="000C50F0" w:rsidRPr="004B0BFC" w:rsidRDefault="000C50F0" w:rsidP="00F43DFC">
            <w:pPr>
              <w:jc w:val="center"/>
              <w:rPr>
                <w:sz w:val="24"/>
                <w:lang w:eastAsia="ja-JP"/>
              </w:rPr>
            </w:pPr>
          </w:p>
        </w:tc>
        <w:tc>
          <w:tcPr>
            <w:tcW w:w="490" w:type="dxa"/>
            <w:tcBorders>
              <w:top w:val="single" w:sz="18" w:space="0" w:color="000000"/>
            </w:tcBorders>
            <w:vAlign w:val="center"/>
          </w:tcPr>
          <w:p w14:paraId="27827E62"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54373D88"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664072A1" w14:textId="77777777" w:rsidR="000C50F0" w:rsidRPr="004B0BFC" w:rsidRDefault="000C50F0" w:rsidP="00F43DFC">
            <w:pPr>
              <w:jc w:val="center"/>
              <w:rPr>
                <w:sz w:val="24"/>
                <w:lang w:eastAsia="ja-JP"/>
              </w:rPr>
            </w:pPr>
          </w:p>
        </w:tc>
        <w:tc>
          <w:tcPr>
            <w:tcW w:w="490" w:type="dxa"/>
            <w:tcBorders>
              <w:top w:val="single" w:sz="18" w:space="0" w:color="000000"/>
            </w:tcBorders>
            <w:vAlign w:val="center"/>
          </w:tcPr>
          <w:p w14:paraId="517A7DBA"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63363058"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30E98FC3" w14:textId="77777777" w:rsidR="000C50F0" w:rsidRPr="004B0BFC" w:rsidRDefault="000C50F0" w:rsidP="00F43DFC">
            <w:pPr>
              <w:jc w:val="center"/>
              <w:rPr>
                <w:sz w:val="24"/>
                <w:lang w:eastAsia="ja-JP"/>
              </w:rPr>
            </w:pPr>
          </w:p>
        </w:tc>
        <w:tc>
          <w:tcPr>
            <w:tcW w:w="491" w:type="dxa"/>
            <w:tcBorders>
              <w:top w:val="single" w:sz="18" w:space="0" w:color="000000"/>
            </w:tcBorders>
            <w:vAlign w:val="center"/>
          </w:tcPr>
          <w:p w14:paraId="0B3D05FB" w14:textId="77777777" w:rsidR="000C50F0" w:rsidRPr="004B0BFC" w:rsidRDefault="000C50F0" w:rsidP="00F43DFC">
            <w:pPr>
              <w:jc w:val="center"/>
              <w:rPr>
                <w:sz w:val="24"/>
                <w:lang w:eastAsia="ja-JP"/>
              </w:rPr>
            </w:pPr>
          </w:p>
        </w:tc>
        <w:tc>
          <w:tcPr>
            <w:tcW w:w="518" w:type="dxa"/>
            <w:tcBorders>
              <w:top w:val="single" w:sz="18" w:space="0" w:color="000000"/>
            </w:tcBorders>
            <w:shd w:val="clear" w:color="auto" w:fill="auto"/>
          </w:tcPr>
          <w:p w14:paraId="3F1B355E" w14:textId="77777777" w:rsidR="000C50F0" w:rsidRPr="0025160E" w:rsidRDefault="000C50F0" w:rsidP="00F43DFC">
            <w:pPr>
              <w:jc w:val="center"/>
              <w:rPr>
                <w:sz w:val="24"/>
                <w:highlight w:val="red"/>
                <w:lang w:eastAsia="ja-JP"/>
              </w:rPr>
            </w:pPr>
          </w:p>
        </w:tc>
      </w:tr>
      <w:tr w:rsidR="000C50F0" w:rsidRPr="004B0BFC" w14:paraId="49E4EE65" w14:textId="77777777" w:rsidTr="00616C2F">
        <w:trPr>
          <w:trHeight w:hRule="exact" w:val="340"/>
        </w:trPr>
        <w:tc>
          <w:tcPr>
            <w:tcW w:w="675" w:type="dxa"/>
            <w:vMerge/>
            <w:vAlign w:val="center"/>
          </w:tcPr>
          <w:p w14:paraId="1E6988D0" w14:textId="77777777" w:rsidR="000C50F0" w:rsidRPr="004B0BFC" w:rsidRDefault="000C50F0" w:rsidP="00F43DFC">
            <w:pPr>
              <w:jc w:val="center"/>
              <w:rPr>
                <w:sz w:val="24"/>
                <w:lang w:eastAsia="ja-JP"/>
              </w:rPr>
            </w:pPr>
          </w:p>
        </w:tc>
        <w:tc>
          <w:tcPr>
            <w:tcW w:w="729" w:type="dxa"/>
            <w:tcBorders>
              <w:right w:val="single" w:sz="18" w:space="0" w:color="000000"/>
            </w:tcBorders>
            <w:vAlign w:val="center"/>
          </w:tcPr>
          <w:p w14:paraId="51B2513A"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tcBorders>
            <w:shd w:val="clear" w:color="auto" w:fill="DAEEF3"/>
            <w:vAlign w:val="center"/>
          </w:tcPr>
          <w:p w14:paraId="40E30AB7" w14:textId="77777777" w:rsidR="000C50F0" w:rsidRPr="003C188A" w:rsidRDefault="000C50F0" w:rsidP="00F43DFC">
            <w:pPr>
              <w:jc w:val="center"/>
              <w:rPr>
                <w:b/>
                <w:sz w:val="18"/>
                <w:szCs w:val="18"/>
                <w:lang w:eastAsia="ja-JP"/>
              </w:rPr>
            </w:pPr>
            <w:r w:rsidRPr="003C188A">
              <w:rPr>
                <w:b/>
                <w:sz w:val="18"/>
                <w:szCs w:val="18"/>
                <w:lang w:eastAsia="ja-JP"/>
              </w:rPr>
              <w:t>G</w:t>
            </w:r>
            <w:r>
              <w:rPr>
                <w:rFonts w:hint="eastAsia"/>
                <w:b/>
                <w:sz w:val="18"/>
                <w:szCs w:val="18"/>
                <w:lang w:eastAsia="ja-JP"/>
              </w:rPr>
              <w:t>1</w:t>
            </w:r>
          </w:p>
        </w:tc>
        <w:tc>
          <w:tcPr>
            <w:tcW w:w="491" w:type="dxa"/>
            <w:shd w:val="clear" w:color="auto" w:fill="DAEEF3"/>
            <w:vAlign w:val="center"/>
          </w:tcPr>
          <w:p w14:paraId="611EF6DB" w14:textId="77777777" w:rsidR="000C50F0" w:rsidRPr="004B0BFC" w:rsidRDefault="000C50F0" w:rsidP="00F43DFC">
            <w:pPr>
              <w:jc w:val="center"/>
              <w:rPr>
                <w:sz w:val="24"/>
                <w:lang w:eastAsia="ja-JP"/>
              </w:rPr>
            </w:pPr>
          </w:p>
        </w:tc>
        <w:tc>
          <w:tcPr>
            <w:tcW w:w="491" w:type="dxa"/>
            <w:shd w:val="clear" w:color="auto" w:fill="DAEEF3"/>
            <w:vAlign w:val="center"/>
          </w:tcPr>
          <w:p w14:paraId="7BF10A5E" w14:textId="77777777" w:rsidR="000C50F0" w:rsidRPr="004B0BFC" w:rsidRDefault="000C50F0" w:rsidP="00F43DFC">
            <w:pPr>
              <w:jc w:val="center"/>
              <w:rPr>
                <w:sz w:val="24"/>
                <w:lang w:eastAsia="ja-JP"/>
              </w:rPr>
            </w:pPr>
          </w:p>
        </w:tc>
        <w:tc>
          <w:tcPr>
            <w:tcW w:w="490" w:type="dxa"/>
            <w:shd w:val="clear" w:color="auto" w:fill="DAEEF3"/>
            <w:vAlign w:val="center"/>
          </w:tcPr>
          <w:p w14:paraId="6927BE0B"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34B29C9D"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432F0D19"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auto"/>
            <w:vAlign w:val="center"/>
          </w:tcPr>
          <w:p w14:paraId="7F165EA8"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183A466C"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0EAC6C96"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auto"/>
            <w:vAlign w:val="center"/>
          </w:tcPr>
          <w:p w14:paraId="07CE77AF"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16D2291A"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177F8A96" w14:textId="77777777" w:rsidR="000C50F0" w:rsidRPr="004B0BFC" w:rsidRDefault="000C50F0" w:rsidP="00F43DFC">
            <w:pPr>
              <w:jc w:val="center"/>
              <w:rPr>
                <w:sz w:val="24"/>
                <w:lang w:eastAsia="ja-JP"/>
              </w:rPr>
            </w:pPr>
          </w:p>
        </w:tc>
        <w:tc>
          <w:tcPr>
            <w:tcW w:w="490" w:type="dxa"/>
            <w:shd w:val="clear" w:color="auto" w:fill="auto"/>
            <w:vAlign w:val="center"/>
          </w:tcPr>
          <w:p w14:paraId="12F4628E" w14:textId="77777777" w:rsidR="000C50F0" w:rsidRPr="004B0BFC" w:rsidRDefault="000C50F0" w:rsidP="00F43DFC">
            <w:pPr>
              <w:jc w:val="center"/>
              <w:rPr>
                <w:sz w:val="24"/>
                <w:lang w:eastAsia="ja-JP"/>
              </w:rPr>
            </w:pPr>
          </w:p>
        </w:tc>
        <w:tc>
          <w:tcPr>
            <w:tcW w:w="491" w:type="dxa"/>
            <w:shd w:val="clear" w:color="auto" w:fill="auto"/>
            <w:vAlign w:val="center"/>
          </w:tcPr>
          <w:p w14:paraId="44758EB1" w14:textId="77777777" w:rsidR="000C50F0" w:rsidRPr="004B0BFC" w:rsidRDefault="000C50F0" w:rsidP="00F43DFC">
            <w:pPr>
              <w:jc w:val="center"/>
              <w:rPr>
                <w:sz w:val="24"/>
                <w:lang w:eastAsia="ja-JP"/>
              </w:rPr>
            </w:pPr>
          </w:p>
        </w:tc>
        <w:tc>
          <w:tcPr>
            <w:tcW w:w="491" w:type="dxa"/>
            <w:shd w:val="clear" w:color="auto" w:fill="auto"/>
            <w:vAlign w:val="center"/>
          </w:tcPr>
          <w:p w14:paraId="6CF0037A" w14:textId="77777777" w:rsidR="000C50F0" w:rsidRPr="004B0BFC" w:rsidRDefault="000C50F0" w:rsidP="00F43DFC">
            <w:pPr>
              <w:jc w:val="center"/>
              <w:rPr>
                <w:sz w:val="24"/>
                <w:lang w:eastAsia="ja-JP"/>
              </w:rPr>
            </w:pPr>
          </w:p>
        </w:tc>
        <w:tc>
          <w:tcPr>
            <w:tcW w:w="491" w:type="dxa"/>
            <w:shd w:val="clear" w:color="auto" w:fill="auto"/>
            <w:vAlign w:val="center"/>
          </w:tcPr>
          <w:p w14:paraId="4EC23DBB" w14:textId="77777777" w:rsidR="000C50F0" w:rsidRPr="004B0BFC" w:rsidRDefault="000C50F0" w:rsidP="00F43DFC">
            <w:pPr>
              <w:jc w:val="center"/>
              <w:rPr>
                <w:sz w:val="24"/>
                <w:lang w:eastAsia="ja-JP"/>
              </w:rPr>
            </w:pPr>
          </w:p>
        </w:tc>
        <w:tc>
          <w:tcPr>
            <w:tcW w:w="518" w:type="dxa"/>
            <w:shd w:val="clear" w:color="auto" w:fill="auto"/>
          </w:tcPr>
          <w:p w14:paraId="0CC703AE" w14:textId="77777777" w:rsidR="000C50F0" w:rsidRPr="0025160E" w:rsidRDefault="000C50F0" w:rsidP="00F43DFC">
            <w:pPr>
              <w:jc w:val="center"/>
              <w:rPr>
                <w:sz w:val="24"/>
                <w:highlight w:val="red"/>
                <w:lang w:eastAsia="ja-JP"/>
              </w:rPr>
            </w:pPr>
          </w:p>
        </w:tc>
      </w:tr>
      <w:tr w:rsidR="000C50F0" w:rsidRPr="004B0BFC" w14:paraId="5A02DA04" w14:textId="77777777" w:rsidTr="00616C2F">
        <w:trPr>
          <w:trHeight w:hRule="exact" w:val="340"/>
        </w:trPr>
        <w:tc>
          <w:tcPr>
            <w:tcW w:w="675" w:type="dxa"/>
            <w:vMerge/>
            <w:vAlign w:val="center"/>
          </w:tcPr>
          <w:p w14:paraId="6E9A7DC4" w14:textId="77777777" w:rsidR="000C50F0" w:rsidRPr="004B0BFC" w:rsidRDefault="000C50F0" w:rsidP="00F43DFC">
            <w:pPr>
              <w:jc w:val="center"/>
              <w:rPr>
                <w:sz w:val="24"/>
                <w:lang w:eastAsia="ja-JP"/>
              </w:rPr>
            </w:pPr>
          </w:p>
        </w:tc>
        <w:tc>
          <w:tcPr>
            <w:tcW w:w="729" w:type="dxa"/>
            <w:tcBorders>
              <w:right w:val="single" w:sz="18" w:space="0" w:color="000000"/>
            </w:tcBorders>
            <w:vAlign w:val="center"/>
          </w:tcPr>
          <w:p w14:paraId="37D7C9AE"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tcBorders>
            <w:vAlign w:val="center"/>
          </w:tcPr>
          <w:p w14:paraId="6C60ED41" w14:textId="77777777" w:rsidR="000C50F0" w:rsidRPr="004B0BFC" w:rsidRDefault="000C50F0" w:rsidP="00F43DFC">
            <w:pPr>
              <w:jc w:val="center"/>
              <w:rPr>
                <w:sz w:val="24"/>
                <w:lang w:eastAsia="ja-JP"/>
              </w:rPr>
            </w:pPr>
          </w:p>
        </w:tc>
        <w:tc>
          <w:tcPr>
            <w:tcW w:w="491" w:type="dxa"/>
            <w:vAlign w:val="center"/>
          </w:tcPr>
          <w:p w14:paraId="5D7AB6AB" w14:textId="77777777" w:rsidR="000C50F0" w:rsidRPr="004B0BFC" w:rsidRDefault="000C50F0" w:rsidP="00F43DFC">
            <w:pPr>
              <w:jc w:val="center"/>
              <w:rPr>
                <w:sz w:val="24"/>
                <w:lang w:eastAsia="ja-JP"/>
              </w:rPr>
            </w:pPr>
          </w:p>
        </w:tc>
        <w:tc>
          <w:tcPr>
            <w:tcW w:w="491" w:type="dxa"/>
            <w:shd w:val="clear" w:color="auto" w:fill="CCC0D9"/>
            <w:vAlign w:val="center"/>
          </w:tcPr>
          <w:p w14:paraId="47BEB93A" w14:textId="77777777" w:rsidR="000C50F0" w:rsidRPr="003C188A" w:rsidRDefault="000C50F0" w:rsidP="00F43DFC">
            <w:pPr>
              <w:jc w:val="center"/>
              <w:rPr>
                <w:b/>
                <w:sz w:val="18"/>
                <w:szCs w:val="18"/>
                <w:lang w:eastAsia="ja-JP"/>
              </w:rPr>
            </w:pPr>
            <w:r w:rsidRPr="003C188A">
              <w:rPr>
                <w:b/>
                <w:sz w:val="18"/>
                <w:szCs w:val="18"/>
                <w:lang w:eastAsia="ja-JP"/>
              </w:rPr>
              <w:t>G</w:t>
            </w:r>
            <w:r>
              <w:rPr>
                <w:rFonts w:hint="eastAsia"/>
                <w:b/>
                <w:sz w:val="18"/>
                <w:szCs w:val="18"/>
                <w:lang w:eastAsia="ja-JP"/>
              </w:rPr>
              <w:t>2</w:t>
            </w:r>
          </w:p>
        </w:tc>
        <w:tc>
          <w:tcPr>
            <w:tcW w:w="490" w:type="dxa"/>
            <w:shd w:val="clear" w:color="auto" w:fill="CCC0D9"/>
            <w:vAlign w:val="center"/>
          </w:tcPr>
          <w:p w14:paraId="7AD4D09D" w14:textId="77777777" w:rsidR="000C50F0" w:rsidRPr="004B0BFC" w:rsidRDefault="000C50F0" w:rsidP="00F43DFC">
            <w:pPr>
              <w:jc w:val="center"/>
              <w:rPr>
                <w:sz w:val="24"/>
                <w:lang w:eastAsia="ja-JP"/>
              </w:rPr>
            </w:pPr>
          </w:p>
        </w:tc>
        <w:tc>
          <w:tcPr>
            <w:tcW w:w="491" w:type="dxa"/>
            <w:shd w:val="clear" w:color="auto" w:fill="CCC0D9"/>
            <w:vAlign w:val="center"/>
          </w:tcPr>
          <w:p w14:paraId="5154227A" w14:textId="77777777" w:rsidR="000C50F0" w:rsidRPr="004B0BFC" w:rsidRDefault="000C50F0" w:rsidP="00F43DFC">
            <w:pPr>
              <w:jc w:val="center"/>
              <w:rPr>
                <w:sz w:val="24"/>
                <w:lang w:eastAsia="ja-JP"/>
              </w:rPr>
            </w:pPr>
          </w:p>
        </w:tc>
        <w:tc>
          <w:tcPr>
            <w:tcW w:w="491" w:type="dxa"/>
            <w:shd w:val="clear" w:color="auto" w:fill="CCC0D9"/>
            <w:vAlign w:val="center"/>
          </w:tcPr>
          <w:p w14:paraId="23BB7D83"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auto"/>
            <w:vAlign w:val="center"/>
          </w:tcPr>
          <w:p w14:paraId="6ACAC03C"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7F3DC018"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7EFF541F"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auto"/>
            <w:vAlign w:val="center"/>
          </w:tcPr>
          <w:p w14:paraId="244B2FC3"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7374011C"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445B94FE"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auto"/>
            <w:vAlign w:val="center"/>
          </w:tcPr>
          <w:p w14:paraId="086FBE00"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41D8C4CA"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34025B77"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597BB527" w14:textId="77777777" w:rsidR="000C50F0" w:rsidRPr="004B0BFC" w:rsidRDefault="000C50F0" w:rsidP="00F43DFC">
            <w:pPr>
              <w:jc w:val="center"/>
              <w:rPr>
                <w:sz w:val="24"/>
                <w:lang w:eastAsia="ja-JP"/>
              </w:rPr>
            </w:pPr>
          </w:p>
        </w:tc>
        <w:tc>
          <w:tcPr>
            <w:tcW w:w="518" w:type="dxa"/>
            <w:tcBorders>
              <w:bottom w:val="single" w:sz="4" w:space="0" w:color="000000"/>
            </w:tcBorders>
            <w:shd w:val="clear" w:color="auto" w:fill="auto"/>
          </w:tcPr>
          <w:p w14:paraId="79E17999" w14:textId="77777777" w:rsidR="000C50F0" w:rsidRPr="0025160E" w:rsidRDefault="000C50F0" w:rsidP="00F43DFC">
            <w:pPr>
              <w:jc w:val="center"/>
              <w:rPr>
                <w:sz w:val="24"/>
                <w:highlight w:val="red"/>
                <w:lang w:eastAsia="ja-JP"/>
              </w:rPr>
            </w:pPr>
          </w:p>
        </w:tc>
      </w:tr>
      <w:tr w:rsidR="000C50F0" w:rsidRPr="004B0BFC" w14:paraId="291EE3B1" w14:textId="77777777" w:rsidTr="00616C2F">
        <w:trPr>
          <w:trHeight w:hRule="exact" w:val="340"/>
        </w:trPr>
        <w:tc>
          <w:tcPr>
            <w:tcW w:w="675" w:type="dxa"/>
            <w:vMerge/>
            <w:vAlign w:val="center"/>
          </w:tcPr>
          <w:p w14:paraId="3A72B9F9" w14:textId="77777777" w:rsidR="000C50F0" w:rsidRPr="004B0BFC" w:rsidRDefault="000C50F0" w:rsidP="00F43DFC">
            <w:pPr>
              <w:jc w:val="center"/>
              <w:rPr>
                <w:sz w:val="24"/>
                <w:lang w:eastAsia="ja-JP"/>
              </w:rPr>
            </w:pPr>
          </w:p>
        </w:tc>
        <w:tc>
          <w:tcPr>
            <w:tcW w:w="729" w:type="dxa"/>
            <w:tcBorders>
              <w:right w:val="single" w:sz="18" w:space="0" w:color="000000"/>
            </w:tcBorders>
            <w:vAlign w:val="center"/>
          </w:tcPr>
          <w:p w14:paraId="5E555C39"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tcBorders>
            <w:vAlign w:val="center"/>
          </w:tcPr>
          <w:p w14:paraId="0BBFDD96" w14:textId="77777777" w:rsidR="000C50F0" w:rsidRPr="004B0BFC" w:rsidRDefault="000C50F0" w:rsidP="00F43DFC">
            <w:pPr>
              <w:jc w:val="center"/>
              <w:rPr>
                <w:sz w:val="24"/>
                <w:lang w:eastAsia="ja-JP"/>
              </w:rPr>
            </w:pPr>
          </w:p>
        </w:tc>
        <w:tc>
          <w:tcPr>
            <w:tcW w:w="491" w:type="dxa"/>
            <w:vAlign w:val="center"/>
          </w:tcPr>
          <w:p w14:paraId="5AA48607" w14:textId="77777777" w:rsidR="000C50F0" w:rsidRPr="004B0BFC" w:rsidRDefault="000C50F0" w:rsidP="00F43DFC">
            <w:pPr>
              <w:jc w:val="center"/>
              <w:rPr>
                <w:sz w:val="24"/>
                <w:lang w:eastAsia="ja-JP"/>
              </w:rPr>
            </w:pPr>
          </w:p>
        </w:tc>
        <w:tc>
          <w:tcPr>
            <w:tcW w:w="491" w:type="dxa"/>
            <w:vAlign w:val="center"/>
          </w:tcPr>
          <w:p w14:paraId="74B69FC5" w14:textId="77777777" w:rsidR="000C50F0" w:rsidRPr="004B0BFC" w:rsidRDefault="000C50F0" w:rsidP="00F43DFC">
            <w:pPr>
              <w:jc w:val="center"/>
              <w:rPr>
                <w:sz w:val="24"/>
                <w:lang w:eastAsia="ja-JP"/>
              </w:rPr>
            </w:pPr>
          </w:p>
        </w:tc>
        <w:tc>
          <w:tcPr>
            <w:tcW w:w="490" w:type="dxa"/>
            <w:vAlign w:val="center"/>
          </w:tcPr>
          <w:p w14:paraId="1D1C319E" w14:textId="77777777" w:rsidR="000C50F0" w:rsidRPr="004B0BFC" w:rsidRDefault="000C50F0" w:rsidP="00F43DFC">
            <w:pPr>
              <w:jc w:val="center"/>
              <w:rPr>
                <w:sz w:val="24"/>
                <w:lang w:eastAsia="ja-JP"/>
              </w:rPr>
            </w:pPr>
          </w:p>
        </w:tc>
        <w:tc>
          <w:tcPr>
            <w:tcW w:w="491" w:type="dxa"/>
            <w:shd w:val="clear" w:color="auto" w:fill="C2D69B"/>
            <w:vAlign w:val="center"/>
          </w:tcPr>
          <w:p w14:paraId="5DA84759" w14:textId="77777777" w:rsidR="000C50F0" w:rsidRPr="003C188A" w:rsidRDefault="000C50F0" w:rsidP="00F43DFC">
            <w:pPr>
              <w:jc w:val="center"/>
              <w:rPr>
                <w:b/>
                <w:sz w:val="18"/>
                <w:szCs w:val="18"/>
                <w:lang w:eastAsia="ja-JP"/>
              </w:rPr>
            </w:pPr>
            <w:r w:rsidRPr="003C188A">
              <w:rPr>
                <w:b/>
                <w:sz w:val="18"/>
                <w:szCs w:val="18"/>
                <w:lang w:eastAsia="ja-JP"/>
              </w:rPr>
              <w:t>G</w:t>
            </w:r>
            <w:r>
              <w:rPr>
                <w:rFonts w:hint="eastAsia"/>
                <w:b/>
                <w:sz w:val="18"/>
                <w:szCs w:val="18"/>
                <w:lang w:eastAsia="ja-JP"/>
              </w:rPr>
              <w:t>3</w:t>
            </w:r>
          </w:p>
        </w:tc>
        <w:tc>
          <w:tcPr>
            <w:tcW w:w="491" w:type="dxa"/>
            <w:shd w:val="clear" w:color="auto" w:fill="C2D69B"/>
            <w:vAlign w:val="center"/>
          </w:tcPr>
          <w:p w14:paraId="1BC61014" w14:textId="77777777" w:rsidR="000C50F0" w:rsidRPr="004B0BFC" w:rsidRDefault="000C50F0" w:rsidP="00F43DFC">
            <w:pPr>
              <w:jc w:val="center"/>
              <w:rPr>
                <w:sz w:val="24"/>
                <w:lang w:eastAsia="ja-JP"/>
              </w:rPr>
            </w:pPr>
          </w:p>
        </w:tc>
        <w:tc>
          <w:tcPr>
            <w:tcW w:w="490" w:type="dxa"/>
            <w:shd w:val="clear" w:color="auto" w:fill="C2D69B"/>
            <w:vAlign w:val="center"/>
          </w:tcPr>
          <w:p w14:paraId="18639494" w14:textId="77777777" w:rsidR="000C50F0" w:rsidRPr="004B0BFC" w:rsidRDefault="000C50F0" w:rsidP="00F43DFC">
            <w:pPr>
              <w:jc w:val="center"/>
              <w:rPr>
                <w:sz w:val="24"/>
                <w:lang w:eastAsia="ja-JP"/>
              </w:rPr>
            </w:pPr>
          </w:p>
        </w:tc>
        <w:tc>
          <w:tcPr>
            <w:tcW w:w="491" w:type="dxa"/>
            <w:shd w:val="clear" w:color="auto" w:fill="C2D69B"/>
            <w:vAlign w:val="center"/>
          </w:tcPr>
          <w:p w14:paraId="3F47A5EB"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3AB4EC08"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auto"/>
            <w:vAlign w:val="center"/>
          </w:tcPr>
          <w:p w14:paraId="49CFC992"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4374B7A3"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6FB5BAA2"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auto"/>
            <w:vAlign w:val="center"/>
          </w:tcPr>
          <w:p w14:paraId="29C5D190"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25054CC4"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575ED1AB"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6B9E7E7C" w14:textId="77777777" w:rsidR="000C50F0" w:rsidRPr="004B0BFC" w:rsidRDefault="000C50F0" w:rsidP="00F43DFC">
            <w:pPr>
              <w:jc w:val="center"/>
              <w:rPr>
                <w:sz w:val="24"/>
                <w:lang w:eastAsia="ja-JP"/>
              </w:rPr>
            </w:pPr>
          </w:p>
        </w:tc>
        <w:tc>
          <w:tcPr>
            <w:tcW w:w="518" w:type="dxa"/>
            <w:tcBorders>
              <w:bottom w:val="single" w:sz="4" w:space="0" w:color="000000"/>
            </w:tcBorders>
            <w:shd w:val="clear" w:color="auto" w:fill="auto"/>
          </w:tcPr>
          <w:p w14:paraId="3A67546E" w14:textId="77777777" w:rsidR="000C50F0" w:rsidRPr="0025160E" w:rsidRDefault="000C50F0" w:rsidP="00F43DFC">
            <w:pPr>
              <w:jc w:val="center"/>
              <w:rPr>
                <w:sz w:val="24"/>
                <w:highlight w:val="red"/>
                <w:lang w:eastAsia="ja-JP"/>
              </w:rPr>
            </w:pPr>
          </w:p>
        </w:tc>
      </w:tr>
      <w:tr w:rsidR="000C50F0" w:rsidRPr="004B0BFC" w14:paraId="7BC5F9D3" w14:textId="77777777" w:rsidTr="00616C2F">
        <w:trPr>
          <w:trHeight w:hRule="exact" w:val="340"/>
        </w:trPr>
        <w:tc>
          <w:tcPr>
            <w:tcW w:w="675" w:type="dxa"/>
            <w:vMerge/>
            <w:vAlign w:val="center"/>
          </w:tcPr>
          <w:p w14:paraId="2111CE13" w14:textId="77777777" w:rsidR="000C50F0" w:rsidRPr="004B0BFC" w:rsidRDefault="000C50F0" w:rsidP="00F43DFC">
            <w:pPr>
              <w:jc w:val="center"/>
              <w:rPr>
                <w:sz w:val="24"/>
                <w:lang w:eastAsia="ja-JP"/>
              </w:rPr>
            </w:pPr>
          </w:p>
        </w:tc>
        <w:tc>
          <w:tcPr>
            <w:tcW w:w="729" w:type="dxa"/>
            <w:tcBorders>
              <w:right w:val="single" w:sz="18" w:space="0" w:color="000000"/>
            </w:tcBorders>
            <w:vAlign w:val="center"/>
          </w:tcPr>
          <w:p w14:paraId="431B8166"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tcBorders>
            <w:vAlign w:val="center"/>
          </w:tcPr>
          <w:p w14:paraId="113FFF5F" w14:textId="77777777" w:rsidR="000C50F0" w:rsidRPr="004B0BFC" w:rsidRDefault="000C50F0" w:rsidP="00F43DFC">
            <w:pPr>
              <w:jc w:val="center"/>
              <w:rPr>
                <w:sz w:val="24"/>
                <w:lang w:eastAsia="ja-JP"/>
              </w:rPr>
            </w:pPr>
          </w:p>
        </w:tc>
        <w:tc>
          <w:tcPr>
            <w:tcW w:w="491" w:type="dxa"/>
            <w:vAlign w:val="center"/>
          </w:tcPr>
          <w:p w14:paraId="5F34A6C4" w14:textId="77777777" w:rsidR="000C50F0" w:rsidRPr="004B0BFC" w:rsidRDefault="000C50F0" w:rsidP="00F43DFC">
            <w:pPr>
              <w:jc w:val="center"/>
              <w:rPr>
                <w:sz w:val="24"/>
                <w:lang w:eastAsia="ja-JP"/>
              </w:rPr>
            </w:pPr>
          </w:p>
        </w:tc>
        <w:tc>
          <w:tcPr>
            <w:tcW w:w="491" w:type="dxa"/>
            <w:vAlign w:val="center"/>
          </w:tcPr>
          <w:p w14:paraId="01EEA372" w14:textId="77777777" w:rsidR="000C50F0" w:rsidRPr="004B0BFC" w:rsidRDefault="000C50F0" w:rsidP="00F43DFC">
            <w:pPr>
              <w:jc w:val="center"/>
              <w:rPr>
                <w:sz w:val="24"/>
                <w:lang w:eastAsia="ja-JP"/>
              </w:rPr>
            </w:pPr>
          </w:p>
        </w:tc>
        <w:tc>
          <w:tcPr>
            <w:tcW w:w="490" w:type="dxa"/>
            <w:vAlign w:val="center"/>
          </w:tcPr>
          <w:p w14:paraId="3B00F1A7" w14:textId="77777777" w:rsidR="000C50F0" w:rsidRPr="004B0BFC" w:rsidRDefault="000C50F0" w:rsidP="00F43DFC">
            <w:pPr>
              <w:jc w:val="center"/>
              <w:rPr>
                <w:sz w:val="24"/>
                <w:lang w:eastAsia="ja-JP"/>
              </w:rPr>
            </w:pPr>
          </w:p>
        </w:tc>
        <w:tc>
          <w:tcPr>
            <w:tcW w:w="491" w:type="dxa"/>
            <w:shd w:val="clear" w:color="auto" w:fill="auto"/>
            <w:vAlign w:val="center"/>
          </w:tcPr>
          <w:p w14:paraId="2E437813" w14:textId="77777777" w:rsidR="000C50F0" w:rsidRPr="004B0BFC" w:rsidRDefault="000C50F0" w:rsidP="00F43DFC">
            <w:pPr>
              <w:jc w:val="center"/>
              <w:rPr>
                <w:sz w:val="24"/>
                <w:lang w:eastAsia="ja-JP"/>
              </w:rPr>
            </w:pPr>
          </w:p>
        </w:tc>
        <w:tc>
          <w:tcPr>
            <w:tcW w:w="491" w:type="dxa"/>
            <w:shd w:val="clear" w:color="auto" w:fill="auto"/>
            <w:vAlign w:val="center"/>
          </w:tcPr>
          <w:p w14:paraId="6D624AAA" w14:textId="77777777" w:rsidR="000C50F0" w:rsidRPr="004B0BFC" w:rsidRDefault="000C50F0" w:rsidP="00F43DFC">
            <w:pPr>
              <w:jc w:val="center"/>
              <w:rPr>
                <w:sz w:val="24"/>
                <w:lang w:eastAsia="ja-JP"/>
              </w:rPr>
            </w:pPr>
          </w:p>
        </w:tc>
        <w:tc>
          <w:tcPr>
            <w:tcW w:w="490" w:type="dxa"/>
            <w:shd w:val="clear" w:color="auto" w:fill="D99594"/>
            <w:vAlign w:val="center"/>
          </w:tcPr>
          <w:p w14:paraId="6ED74CD2" w14:textId="77777777" w:rsidR="000C50F0" w:rsidRPr="003C188A" w:rsidRDefault="000C50F0" w:rsidP="00F43DFC">
            <w:pPr>
              <w:jc w:val="center"/>
              <w:rPr>
                <w:b/>
                <w:sz w:val="18"/>
                <w:szCs w:val="18"/>
                <w:lang w:eastAsia="ja-JP"/>
              </w:rPr>
            </w:pPr>
            <w:r w:rsidRPr="003C188A">
              <w:rPr>
                <w:b/>
                <w:sz w:val="18"/>
                <w:szCs w:val="18"/>
                <w:lang w:eastAsia="ja-JP"/>
              </w:rPr>
              <w:t>G</w:t>
            </w:r>
            <w:r>
              <w:rPr>
                <w:rFonts w:hint="eastAsia"/>
                <w:b/>
                <w:sz w:val="18"/>
                <w:szCs w:val="18"/>
                <w:lang w:eastAsia="ja-JP"/>
              </w:rPr>
              <w:t>4</w:t>
            </w:r>
          </w:p>
        </w:tc>
        <w:tc>
          <w:tcPr>
            <w:tcW w:w="491" w:type="dxa"/>
            <w:shd w:val="clear" w:color="auto" w:fill="D99594"/>
            <w:vAlign w:val="center"/>
          </w:tcPr>
          <w:p w14:paraId="54AB183D" w14:textId="77777777" w:rsidR="000C50F0" w:rsidRPr="004B0BFC" w:rsidRDefault="000C50F0" w:rsidP="00F43DFC">
            <w:pPr>
              <w:jc w:val="center"/>
              <w:rPr>
                <w:sz w:val="24"/>
                <w:lang w:eastAsia="ja-JP"/>
              </w:rPr>
            </w:pPr>
          </w:p>
        </w:tc>
        <w:tc>
          <w:tcPr>
            <w:tcW w:w="491" w:type="dxa"/>
            <w:shd w:val="clear" w:color="auto" w:fill="D99594"/>
            <w:vAlign w:val="center"/>
          </w:tcPr>
          <w:p w14:paraId="42CDB10E" w14:textId="77777777" w:rsidR="000C50F0" w:rsidRPr="004B0BFC" w:rsidRDefault="000C50F0" w:rsidP="00F43DFC">
            <w:pPr>
              <w:jc w:val="center"/>
              <w:rPr>
                <w:sz w:val="24"/>
                <w:lang w:eastAsia="ja-JP"/>
              </w:rPr>
            </w:pPr>
          </w:p>
        </w:tc>
        <w:tc>
          <w:tcPr>
            <w:tcW w:w="490" w:type="dxa"/>
            <w:shd w:val="clear" w:color="auto" w:fill="D99594"/>
            <w:vAlign w:val="center"/>
          </w:tcPr>
          <w:p w14:paraId="680E3835" w14:textId="77777777" w:rsidR="000C50F0" w:rsidRPr="004B0BFC" w:rsidRDefault="000C50F0" w:rsidP="00F43DFC">
            <w:pPr>
              <w:jc w:val="center"/>
              <w:rPr>
                <w:sz w:val="24"/>
                <w:lang w:eastAsia="ja-JP"/>
              </w:rPr>
            </w:pPr>
          </w:p>
        </w:tc>
        <w:tc>
          <w:tcPr>
            <w:tcW w:w="491" w:type="dxa"/>
            <w:shd w:val="clear" w:color="auto" w:fill="auto"/>
            <w:vAlign w:val="center"/>
          </w:tcPr>
          <w:p w14:paraId="048F2618" w14:textId="77777777" w:rsidR="000C50F0" w:rsidRPr="004B0BFC" w:rsidRDefault="000C50F0" w:rsidP="00F43DFC">
            <w:pPr>
              <w:jc w:val="center"/>
              <w:rPr>
                <w:sz w:val="24"/>
                <w:lang w:eastAsia="ja-JP"/>
              </w:rPr>
            </w:pPr>
          </w:p>
        </w:tc>
        <w:tc>
          <w:tcPr>
            <w:tcW w:w="491" w:type="dxa"/>
            <w:shd w:val="clear" w:color="auto" w:fill="auto"/>
            <w:vAlign w:val="center"/>
          </w:tcPr>
          <w:p w14:paraId="02B51C39" w14:textId="77777777" w:rsidR="000C50F0" w:rsidRPr="004B0BFC" w:rsidRDefault="000C50F0" w:rsidP="00F43DFC">
            <w:pPr>
              <w:jc w:val="center"/>
              <w:rPr>
                <w:sz w:val="24"/>
                <w:lang w:eastAsia="ja-JP"/>
              </w:rPr>
            </w:pPr>
          </w:p>
        </w:tc>
        <w:tc>
          <w:tcPr>
            <w:tcW w:w="490" w:type="dxa"/>
            <w:shd w:val="clear" w:color="auto" w:fill="auto"/>
            <w:vAlign w:val="center"/>
          </w:tcPr>
          <w:p w14:paraId="79085E57" w14:textId="77777777" w:rsidR="000C50F0" w:rsidRPr="004B0BFC" w:rsidRDefault="000C50F0" w:rsidP="00F43DFC">
            <w:pPr>
              <w:jc w:val="center"/>
              <w:rPr>
                <w:sz w:val="24"/>
                <w:lang w:eastAsia="ja-JP"/>
              </w:rPr>
            </w:pPr>
          </w:p>
        </w:tc>
        <w:tc>
          <w:tcPr>
            <w:tcW w:w="491" w:type="dxa"/>
            <w:shd w:val="clear" w:color="auto" w:fill="auto"/>
            <w:vAlign w:val="center"/>
          </w:tcPr>
          <w:p w14:paraId="5118332E" w14:textId="77777777" w:rsidR="000C50F0" w:rsidRPr="004B0BFC" w:rsidRDefault="000C50F0" w:rsidP="00F43DFC">
            <w:pPr>
              <w:jc w:val="center"/>
              <w:rPr>
                <w:sz w:val="24"/>
                <w:lang w:eastAsia="ja-JP"/>
              </w:rPr>
            </w:pPr>
          </w:p>
        </w:tc>
        <w:tc>
          <w:tcPr>
            <w:tcW w:w="491" w:type="dxa"/>
            <w:shd w:val="clear" w:color="auto" w:fill="auto"/>
            <w:vAlign w:val="center"/>
          </w:tcPr>
          <w:p w14:paraId="28705B22" w14:textId="77777777" w:rsidR="000C50F0" w:rsidRPr="004B0BFC" w:rsidRDefault="000C50F0" w:rsidP="00F43DFC">
            <w:pPr>
              <w:jc w:val="center"/>
              <w:rPr>
                <w:sz w:val="24"/>
                <w:lang w:eastAsia="ja-JP"/>
              </w:rPr>
            </w:pPr>
          </w:p>
        </w:tc>
        <w:tc>
          <w:tcPr>
            <w:tcW w:w="491" w:type="dxa"/>
            <w:shd w:val="clear" w:color="auto" w:fill="auto"/>
            <w:vAlign w:val="center"/>
          </w:tcPr>
          <w:p w14:paraId="7964DEA5" w14:textId="77777777" w:rsidR="000C50F0" w:rsidRPr="004B0BFC" w:rsidRDefault="000C50F0" w:rsidP="00F43DFC">
            <w:pPr>
              <w:jc w:val="center"/>
              <w:rPr>
                <w:sz w:val="24"/>
                <w:lang w:eastAsia="ja-JP"/>
              </w:rPr>
            </w:pPr>
          </w:p>
        </w:tc>
        <w:tc>
          <w:tcPr>
            <w:tcW w:w="518" w:type="dxa"/>
            <w:shd w:val="clear" w:color="auto" w:fill="auto"/>
          </w:tcPr>
          <w:p w14:paraId="2DBE6218" w14:textId="77777777" w:rsidR="000C50F0" w:rsidRPr="0025160E" w:rsidRDefault="000C50F0" w:rsidP="00F43DFC">
            <w:pPr>
              <w:jc w:val="center"/>
              <w:rPr>
                <w:sz w:val="24"/>
                <w:highlight w:val="red"/>
                <w:lang w:eastAsia="ja-JP"/>
              </w:rPr>
            </w:pPr>
          </w:p>
        </w:tc>
      </w:tr>
      <w:tr w:rsidR="000C50F0" w:rsidRPr="004B0BFC" w14:paraId="12A25DC7" w14:textId="77777777" w:rsidTr="00616C2F">
        <w:trPr>
          <w:trHeight w:hRule="exact" w:val="340"/>
        </w:trPr>
        <w:tc>
          <w:tcPr>
            <w:tcW w:w="675" w:type="dxa"/>
            <w:vMerge/>
            <w:vAlign w:val="center"/>
          </w:tcPr>
          <w:p w14:paraId="750DFBF3" w14:textId="77777777" w:rsidR="000C50F0" w:rsidRPr="004B0BFC" w:rsidRDefault="000C50F0" w:rsidP="00F43DFC">
            <w:pPr>
              <w:jc w:val="center"/>
              <w:rPr>
                <w:sz w:val="24"/>
                <w:lang w:eastAsia="ja-JP"/>
              </w:rPr>
            </w:pPr>
          </w:p>
        </w:tc>
        <w:tc>
          <w:tcPr>
            <w:tcW w:w="729" w:type="dxa"/>
            <w:tcBorders>
              <w:right w:val="single" w:sz="18" w:space="0" w:color="000000"/>
            </w:tcBorders>
            <w:vAlign w:val="center"/>
          </w:tcPr>
          <w:p w14:paraId="3487937D"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tcBorders>
            <w:vAlign w:val="center"/>
          </w:tcPr>
          <w:p w14:paraId="5031DFC7" w14:textId="77777777" w:rsidR="000C50F0" w:rsidRPr="004B0BFC" w:rsidRDefault="000C50F0" w:rsidP="00F43DFC">
            <w:pPr>
              <w:jc w:val="center"/>
              <w:rPr>
                <w:sz w:val="24"/>
                <w:lang w:eastAsia="ja-JP"/>
              </w:rPr>
            </w:pPr>
          </w:p>
        </w:tc>
        <w:tc>
          <w:tcPr>
            <w:tcW w:w="491" w:type="dxa"/>
            <w:vAlign w:val="center"/>
          </w:tcPr>
          <w:p w14:paraId="2462A611" w14:textId="77777777" w:rsidR="000C50F0" w:rsidRPr="004B0BFC" w:rsidRDefault="000C50F0" w:rsidP="00F43DFC">
            <w:pPr>
              <w:jc w:val="center"/>
              <w:rPr>
                <w:sz w:val="24"/>
                <w:lang w:eastAsia="ja-JP"/>
              </w:rPr>
            </w:pPr>
          </w:p>
        </w:tc>
        <w:tc>
          <w:tcPr>
            <w:tcW w:w="491" w:type="dxa"/>
            <w:vAlign w:val="center"/>
          </w:tcPr>
          <w:p w14:paraId="7789ACAB" w14:textId="77777777" w:rsidR="000C50F0" w:rsidRPr="004B0BFC" w:rsidRDefault="000C50F0" w:rsidP="00F43DFC">
            <w:pPr>
              <w:jc w:val="center"/>
              <w:rPr>
                <w:sz w:val="24"/>
                <w:lang w:eastAsia="ja-JP"/>
              </w:rPr>
            </w:pPr>
          </w:p>
        </w:tc>
        <w:tc>
          <w:tcPr>
            <w:tcW w:w="490" w:type="dxa"/>
            <w:vAlign w:val="center"/>
          </w:tcPr>
          <w:p w14:paraId="77B21BCC" w14:textId="77777777" w:rsidR="000C50F0" w:rsidRPr="004B0BFC" w:rsidRDefault="000C50F0" w:rsidP="00F43DFC">
            <w:pPr>
              <w:jc w:val="center"/>
              <w:rPr>
                <w:sz w:val="24"/>
                <w:lang w:eastAsia="ja-JP"/>
              </w:rPr>
            </w:pPr>
          </w:p>
        </w:tc>
        <w:tc>
          <w:tcPr>
            <w:tcW w:w="491" w:type="dxa"/>
            <w:shd w:val="clear" w:color="auto" w:fill="auto"/>
            <w:vAlign w:val="center"/>
          </w:tcPr>
          <w:p w14:paraId="06E14EBC" w14:textId="77777777" w:rsidR="000C50F0" w:rsidRPr="004B0BFC" w:rsidRDefault="000C50F0" w:rsidP="00F43DFC">
            <w:pPr>
              <w:jc w:val="center"/>
              <w:rPr>
                <w:sz w:val="24"/>
                <w:lang w:eastAsia="ja-JP"/>
              </w:rPr>
            </w:pPr>
          </w:p>
        </w:tc>
        <w:tc>
          <w:tcPr>
            <w:tcW w:w="491" w:type="dxa"/>
            <w:shd w:val="clear" w:color="auto" w:fill="auto"/>
            <w:vAlign w:val="center"/>
          </w:tcPr>
          <w:p w14:paraId="0C962BE3" w14:textId="77777777" w:rsidR="000C50F0" w:rsidRPr="004B0BFC" w:rsidRDefault="000C50F0" w:rsidP="00F43DFC">
            <w:pPr>
              <w:jc w:val="center"/>
              <w:rPr>
                <w:sz w:val="24"/>
                <w:lang w:eastAsia="ja-JP"/>
              </w:rPr>
            </w:pPr>
          </w:p>
        </w:tc>
        <w:tc>
          <w:tcPr>
            <w:tcW w:w="490" w:type="dxa"/>
            <w:shd w:val="clear" w:color="auto" w:fill="auto"/>
            <w:vAlign w:val="center"/>
          </w:tcPr>
          <w:p w14:paraId="781E4FAB" w14:textId="77777777" w:rsidR="000C50F0" w:rsidRPr="004B0BFC" w:rsidRDefault="000C50F0" w:rsidP="00F43DFC">
            <w:pPr>
              <w:jc w:val="center"/>
              <w:rPr>
                <w:sz w:val="24"/>
                <w:lang w:eastAsia="ja-JP"/>
              </w:rPr>
            </w:pPr>
          </w:p>
        </w:tc>
        <w:tc>
          <w:tcPr>
            <w:tcW w:w="491" w:type="dxa"/>
            <w:shd w:val="clear" w:color="auto" w:fill="auto"/>
            <w:vAlign w:val="center"/>
          </w:tcPr>
          <w:p w14:paraId="3DE359C5" w14:textId="77777777" w:rsidR="000C50F0" w:rsidRPr="004B0BFC" w:rsidRDefault="000C50F0" w:rsidP="00F43DFC">
            <w:pPr>
              <w:jc w:val="center"/>
              <w:rPr>
                <w:sz w:val="24"/>
                <w:lang w:eastAsia="ja-JP"/>
              </w:rPr>
            </w:pPr>
          </w:p>
        </w:tc>
        <w:tc>
          <w:tcPr>
            <w:tcW w:w="491" w:type="dxa"/>
            <w:shd w:val="clear" w:color="auto" w:fill="943634"/>
            <w:vAlign w:val="center"/>
          </w:tcPr>
          <w:p w14:paraId="55F79DC7" w14:textId="77777777" w:rsidR="000C50F0" w:rsidRPr="003C188A" w:rsidRDefault="000C50F0" w:rsidP="00F43DFC">
            <w:pPr>
              <w:jc w:val="center"/>
              <w:rPr>
                <w:b/>
                <w:sz w:val="18"/>
                <w:szCs w:val="18"/>
                <w:lang w:eastAsia="ja-JP"/>
              </w:rPr>
            </w:pPr>
            <w:r w:rsidRPr="003C188A">
              <w:rPr>
                <w:b/>
                <w:sz w:val="18"/>
                <w:szCs w:val="18"/>
                <w:lang w:eastAsia="ja-JP"/>
              </w:rPr>
              <w:t>G</w:t>
            </w:r>
            <w:r>
              <w:rPr>
                <w:rFonts w:hint="eastAsia"/>
                <w:b/>
                <w:sz w:val="18"/>
                <w:szCs w:val="18"/>
                <w:lang w:eastAsia="ja-JP"/>
              </w:rPr>
              <w:t>5</w:t>
            </w:r>
          </w:p>
        </w:tc>
        <w:tc>
          <w:tcPr>
            <w:tcW w:w="490" w:type="dxa"/>
            <w:shd w:val="clear" w:color="auto" w:fill="943634"/>
            <w:vAlign w:val="center"/>
          </w:tcPr>
          <w:p w14:paraId="176CB283" w14:textId="77777777" w:rsidR="000C50F0" w:rsidRPr="004B0BFC" w:rsidRDefault="000C50F0" w:rsidP="00F43DFC">
            <w:pPr>
              <w:jc w:val="center"/>
              <w:rPr>
                <w:sz w:val="24"/>
                <w:lang w:eastAsia="ja-JP"/>
              </w:rPr>
            </w:pPr>
          </w:p>
        </w:tc>
        <w:tc>
          <w:tcPr>
            <w:tcW w:w="491" w:type="dxa"/>
            <w:shd w:val="clear" w:color="auto" w:fill="943634"/>
            <w:vAlign w:val="center"/>
          </w:tcPr>
          <w:p w14:paraId="40090F8D" w14:textId="77777777" w:rsidR="000C50F0" w:rsidRPr="004B0BFC" w:rsidRDefault="000C50F0" w:rsidP="00F43DFC">
            <w:pPr>
              <w:jc w:val="center"/>
              <w:rPr>
                <w:sz w:val="24"/>
                <w:lang w:eastAsia="ja-JP"/>
              </w:rPr>
            </w:pPr>
          </w:p>
        </w:tc>
        <w:tc>
          <w:tcPr>
            <w:tcW w:w="491" w:type="dxa"/>
            <w:shd w:val="clear" w:color="auto" w:fill="943634"/>
            <w:vAlign w:val="center"/>
          </w:tcPr>
          <w:p w14:paraId="36A66466" w14:textId="77777777" w:rsidR="000C50F0" w:rsidRPr="004B0BFC" w:rsidRDefault="000C50F0" w:rsidP="00F43DFC">
            <w:pPr>
              <w:jc w:val="center"/>
              <w:rPr>
                <w:sz w:val="24"/>
                <w:lang w:eastAsia="ja-JP"/>
              </w:rPr>
            </w:pPr>
          </w:p>
        </w:tc>
        <w:tc>
          <w:tcPr>
            <w:tcW w:w="490" w:type="dxa"/>
            <w:shd w:val="clear" w:color="auto" w:fill="auto"/>
            <w:vAlign w:val="center"/>
          </w:tcPr>
          <w:p w14:paraId="28665E2B" w14:textId="77777777" w:rsidR="000C50F0" w:rsidRPr="004B0BFC" w:rsidRDefault="000C50F0" w:rsidP="00F43DFC">
            <w:pPr>
              <w:jc w:val="center"/>
              <w:rPr>
                <w:sz w:val="24"/>
                <w:lang w:eastAsia="ja-JP"/>
              </w:rPr>
            </w:pPr>
          </w:p>
        </w:tc>
        <w:tc>
          <w:tcPr>
            <w:tcW w:w="491" w:type="dxa"/>
            <w:shd w:val="clear" w:color="auto" w:fill="auto"/>
            <w:vAlign w:val="center"/>
          </w:tcPr>
          <w:p w14:paraId="7A376B8A" w14:textId="77777777" w:rsidR="000C50F0" w:rsidRPr="004B0BFC" w:rsidRDefault="000C50F0" w:rsidP="00F43DFC">
            <w:pPr>
              <w:jc w:val="center"/>
              <w:rPr>
                <w:sz w:val="24"/>
                <w:lang w:eastAsia="ja-JP"/>
              </w:rPr>
            </w:pPr>
          </w:p>
        </w:tc>
        <w:tc>
          <w:tcPr>
            <w:tcW w:w="491" w:type="dxa"/>
            <w:shd w:val="clear" w:color="auto" w:fill="auto"/>
            <w:vAlign w:val="center"/>
          </w:tcPr>
          <w:p w14:paraId="3B2577C2" w14:textId="77777777" w:rsidR="000C50F0" w:rsidRPr="004B0BFC" w:rsidRDefault="000C50F0" w:rsidP="00F43DFC">
            <w:pPr>
              <w:jc w:val="center"/>
              <w:rPr>
                <w:sz w:val="24"/>
                <w:lang w:eastAsia="ja-JP"/>
              </w:rPr>
            </w:pPr>
          </w:p>
        </w:tc>
        <w:tc>
          <w:tcPr>
            <w:tcW w:w="491" w:type="dxa"/>
            <w:shd w:val="clear" w:color="auto" w:fill="auto"/>
            <w:vAlign w:val="center"/>
          </w:tcPr>
          <w:p w14:paraId="2770133D" w14:textId="77777777" w:rsidR="000C50F0" w:rsidRPr="004B0BFC" w:rsidRDefault="000C50F0" w:rsidP="00F43DFC">
            <w:pPr>
              <w:jc w:val="center"/>
              <w:rPr>
                <w:sz w:val="24"/>
                <w:lang w:eastAsia="ja-JP"/>
              </w:rPr>
            </w:pPr>
          </w:p>
        </w:tc>
        <w:tc>
          <w:tcPr>
            <w:tcW w:w="518" w:type="dxa"/>
            <w:shd w:val="clear" w:color="auto" w:fill="auto"/>
          </w:tcPr>
          <w:p w14:paraId="119EC2C3" w14:textId="77777777" w:rsidR="000C50F0" w:rsidRPr="0025160E" w:rsidRDefault="000C50F0" w:rsidP="00F43DFC">
            <w:pPr>
              <w:jc w:val="center"/>
              <w:rPr>
                <w:sz w:val="24"/>
                <w:highlight w:val="red"/>
                <w:lang w:eastAsia="ja-JP"/>
              </w:rPr>
            </w:pPr>
          </w:p>
        </w:tc>
      </w:tr>
      <w:tr w:rsidR="000C50F0" w:rsidRPr="004B0BFC" w14:paraId="29A4F737" w14:textId="77777777" w:rsidTr="00616C2F">
        <w:trPr>
          <w:trHeight w:hRule="exact" w:val="340"/>
        </w:trPr>
        <w:tc>
          <w:tcPr>
            <w:tcW w:w="675" w:type="dxa"/>
            <w:vMerge/>
            <w:vAlign w:val="center"/>
          </w:tcPr>
          <w:p w14:paraId="79F451D6" w14:textId="77777777" w:rsidR="000C50F0" w:rsidRPr="004B0BFC" w:rsidRDefault="000C50F0" w:rsidP="00F43DFC">
            <w:pPr>
              <w:jc w:val="center"/>
              <w:rPr>
                <w:sz w:val="24"/>
                <w:lang w:eastAsia="ja-JP"/>
              </w:rPr>
            </w:pPr>
          </w:p>
        </w:tc>
        <w:tc>
          <w:tcPr>
            <w:tcW w:w="729" w:type="dxa"/>
            <w:tcBorders>
              <w:right w:val="single" w:sz="18" w:space="0" w:color="000000"/>
            </w:tcBorders>
            <w:vAlign w:val="center"/>
          </w:tcPr>
          <w:p w14:paraId="2CF487F0"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tcBorders>
            <w:vAlign w:val="center"/>
          </w:tcPr>
          <w:p w14:paraId="3C0FCC24" w14:textId="77777777" w:rsidR="000C50F0" w:rsidRPr="004B0BFC" w:rsidRDefault="000C50F0" w:rsidP="00F43DFC">
            <w:pPr>
              <w:jc w:val="center"/>
              <w:rPr>
                <w:sz w:val="24"/>
                <w:lang w:eastAsia="ja-JP"/>
              </w:rPr>
            </w:pPr>
          </w:p>
        </w:tc>
        <w:tc>
          <w:tcPr>
            <w:tcW w:w="491" w:type="dxa"/>
            <w:vAlign w:val="center"/>
          </w:tcPr>
          <w:p w14:paraId="451765A2" w14:textId="77777777" w:rsidR="000C50F0" w:rsidRPr="004B0BFC" w:rsidRDefault="000C50F0" w:rsidP="00F43DFC">
            <w:pPr>
              <w:jc w:val="center"/>
              <w:rPr>
                <w:sz w:val="24"/>
                <w:lang w:eastAsia="ja-JP"/>
              </w:rPr>
            </w:pPr>
          </w:p>
        </w:tc>
        <w:tc>
          <w:tcPr>
            <w:tcW w:w="491" w:type="dxa"/>
            <w:vAlign w:val="center"/>
          </w:tcPr>
          <w:p w14:paraId="2DA2C88D" w14:textId="77777777" w:rsidR="000C50F0" w:rsidRPr="004B0BFC" w:rsidRDefault="000C50F0" w:rsidP="00F43DFC">
            <w:pPr>
              <w:jc w:val="center"/>
              <w:rPr>
                <w:sz w:val="24"/>
                <w:lang w:eastAsia="ja-JP"/>
              </w:rPr>
            </w:pPr>
          </w:p>
        </w:tc>
        <w:tc>
          <w:tcPr>
            <w:tcW w:w="490" w:type="dxa"/>
            <w:vAlign w:val="center"/>
          </w:tcPr>
          <w:p w14:paraId="58F494C0" w14:textId="77777777" w:rsidR="000C50F0" w:rsidRPr="004B0BFC" w:rsidRDefault="000C50F0" w:rsidP="00F43DFC">
            <w:pPr>
              <w:jc w:val="center"/>
              <w:rPr>
                <w:sz w:val="24"/>
                <w:lang w:eastAsia="ja-JP"/>
              </w:rPr>
            </w:pPr>
          </w:p>
        </w:tc>
        <w:tc>
          <w:tcPr>
            <w:tcW w:w="491" w:type="dxa"/>
            <w:shd w:val="clear" w:color="auto" w:fill="auto"/>
            <w:vAlign w:val="center"/>
          </w:tcPr>
          <w:p w14:paraId="39FB6730" w14:textId="77777777" w:rsidR="000C50F0" w:rsidRPr="004B0BFC" w:rsidRDefault="000C50F0" w:rsidP="00F43DFC">
            <w:pPr>
              <w:jc w:val="center"/>
              <w:rPr>
                <w:sz w:val="24"/>
                <w:lang w:eastAsia="ja-JP"/>
              </w:rPr>
            </w:pPr>
          </w:p>
        </w:tc>
        <w:tc>
          <w:tcPr>
            <w:tcW w:w="491" w:type="dxa"/>
            <w:shd w:val="clear" w:color="auto" w:fill="auto"/>
            <w:vAlign w:val="center"/>
          </w:tcPr>
          <w:p w14:paraId="7CB26351" w14:textId="77777777" w:rsidR="000C50F0" w:rsidRPr="004B0BFC" w:rsidRDefault="000C50F0" w:rsidP="00F43DFC">
            <w:pPr>
              <w:jc w:val="center"/>
              <w:rPr>
                <w:sz w:val="24"/>
                <w:lang w:eastAsia="ja-JP"/>
              </w:rPr>
            </w:pPr>
          </w:p>
        </w:tc>
        <w:tc>
          <w:tcPr>
            <w:tcW w:w="490" w:type="dxa"/>
            <w:shd w:val="clear" w:color="auto" w:fill="auto"/>
            <w:vAlign w:val="center"/>
          </w:tcPr>
          <w:p w14:paraId="6299142F" w14:textId="77777777" w:rsidR="000C50F0" w:rsidRPr="004B0BFC" w:rsidRDefault="000C50F0" w:rsidP="00F43DFC">
            <w:pPr>
              <w:jc w:val="center"/>
              <w:rPr>
                <w:sz w:val="24"/>
                <w:lang w:eastAsia="ja-JP"/>
              </w:rPr>
            </w:pPr>
          </w:p>
        </w:tc>
        <w:tc>
          <w:tcPr>
            <w:tcW w:w="491" w:type="dxa"/>
            <w:shd w:val="clear" w:color="auto" w:fill="auto"/>
            <w:vAlign w:val="center"/>
          </w:tcPr>
          <w:p w14:paraId="25A82F5C" w14:textId="77777777" w:rsidR="000C50F0" w:rsidRPr="004B0BFC" w:rsidRDefault="000C50F0" w:rsidP="00F43DFC">
            <w:pPr>
              <w:jc w:val="center"/>
              <w:rPr>
                <w:sz w:val="24"/>
                <w:lang w:eastAsia="ja-JP"/>
              </w:rPr>
            </w:pPr>
          </w:p>
        </w:tc>
        <w:tc>
          <w:tcPr>
            <w:tcW w:w="491" w:type="dxa"/>
            <w:shd w:val="clear" w:color="auto" w:fill="auto"/>
            <w:vAlign w:val="center"/>
          </w:tcPr>
          <w:p w14:paraId="402D9F8F" w14:textId="77777777" w:rsidR="000C50F0" w:rsidRPr="004B0BFC" w:rsidRDefault="000C50F0" w:rsidP="00F43DFC">
            <w:pPr>
              <w:jc w:val="center"/>
              <w:rPr>
                <w:sz w:val="24"/>
                <w:lang w:eastAsia="ja-JP"/>
              </w:rPr>
            </w:pPr>
          </w:p>
        </w:tc>
        <w:tc>
          <w:tcPr>
            <w:tcW w:w="490" w:type="dxa"/>
            <w:shd w:val="clear" w:color="auto" w:fill="auto"/>
            <w:vAlign w:val="center"/>
          </w:tcPr>
          <w:p w14:paraId="314F0133" w14:textId="77777777" w:rsidR="000C50F0" w:rsidRPr="004B0BFC" w:rsidRDefault="000C50F0" w:rsidP="00F43DFC">
            <w:pPr>
              <w:jc w:val="center"/>
              <w:rPr>
                <w:sz w:val="24"/>
                <w:lang w:eastAsia="ja-JP"/>
              </w:rPr>
            </w:pPr>
          </w:p>
        </w:tc>
        <w:tc>
          <w:tcPr>
            <w:tcW w:w="491" w:type="dxa"/>
            <w:shd w:val="clear" w:color="auto" w:fill="365F91"/>
            <w:vAlign w:val="center"/>
          </w:tcPr>
          <w:p w14:paraId="3EEDC99C" w14:textId="77777777" w:rsidR="000C50F0" w:rsidRPr="003C188A" w:rsidRDefault="000C50F0" w:rsidP="00F43DFC">
            <w:pPr>
              <w:jc w:val="center"/>
              <w:rPr>
                <w:b/>
                <w:sz w:val="18"/>
                <w:szCs w:val="18"/>
                <w:lang w:eastAsia="ja-JP"/>
              </w:rPr>
            </w:pPr>
            <w:r w:rsidRPr="003C188A">
              <w:rPr>
                <w:b/>
                <w:sz w:val="18"/>
                <w:szCs w:val="18"/>
                <w:lang w:eastAsia="ja-JP"/>
              </w:rPr>
              <w:t>G</w:t>
            </w:r>
            <w:r>
              <w:rPr>
                <w:rFonts w:hint="eastAsia"/>
                <w:b/>
                <w:sz w:val="18"/>
                <w:szCs w:val="18"/>
                <w:lang w:eastAsia="ja-JP"/>
              </w:rPr>
              <w:t>6</w:t>
            </w:r>
          </w:p>
        </w:tc>
        <w:tc>
          <w:tcPr>
            <w:tcW w:w="491" w:type="dxa"/>
            <w:shd w:val="clear" w:color="auto" w:fill="365F91"/>
            <w:vAlign w:val="center"/>
          </w:tcPr>
          <w:p w14:paraId="435C3578" w14:textId="77777777" w:rsidR="000C50F0" w:rsidRPr="004B0BFC" w:rsidRDefault="000C50F0" w:rsidP="00F43DFC">
            <w:pPr>
              <w:jc w:val="center"/>
              <w:rPr>
                <w:sz w:val="24"/>
                <w:lang w:eastAsia="ja-JP"/>
              </w:rPr>
            </w:pPr>
          </w:p>
        </w:tc>
        <w:tc>
          <w:tcPr>
            <w:tcW w:w="490" w:type="dxa"/>
            <w:shd w:val="clear" w:color="auto" w:fill="365F91"/>
            <w:vAlign w:val="center"/>
          </w:tcPr>
          <w:p w14:paraId="437C2797" w14:textId="77777777" w:rsidR="000C50F0" w:rsidRPr="004B0BFC" w:rsidRDefault="000C50F0" w:rsidP="00F43DFC">
            <w:pPr>
              <w:jc w:val="center"/>
              <w:rPr>
                <w:sz w:val="24"/>
                <w:lang w:eastAsia="ja-JP"/>
              </w:rPr>
            </w:pPr>
          </w:p>
        </w:tc>
        <w:tc>
          <w:tcPr>
            <w:tcW w:w="491" w:type="dxa"/>
            <w:shd w:val="clear" w:color="auto" w:fill="365F91"/>
            <w:vAlign w:val="center"/>
          </w:tcPr>
          <w:p w14:paraId="0D07B462" w14:textId="77777777" w:rsidR="000C50F0" w:rsidRPr="004B0BFC" w:rsidRDefault="000C50F0" w:rsidP="00F43DFC">
            <w:pPr>
              <w:jc w:val="center"/>
              <w:rPr>
                <w:sz w:val="24"/>
                <w:lang w:eastAsia="ja-JP"/>
              </w:rPr>
            </w:pPr>
          </w:p>
        </w:tc>
        <w:tc>
          <w:tcPr>
            <w:tcW w:w="491" w:type="dxa"/>
            <w:shd w:val="clear" w:color="auto" w:fill="auto"/>
            <w:vAlign w:val="center"/>
          </w:tcPr>
          <w:p w14:paraId="7B9FD5FC" w14:textId="77777777" w:rsidR="000C50F0" w:rsidRPr="004B0BFC" w:rsidRDefault="000C50F0" w:rsidP="00F43DFC">
            <w:pPr>
              <w:jc w:val="center"/>
              <w:rPr>
                <w:sz w:val="24"/>
                <w:lang w:eastAsia="ja-JP"/>
              </w:rPr>
            </w:pPr>
          </w:p>
        </w:tc>
        <w:tc>
          <w:tcPr>
            <w:tcW w:w="491" w:type="dxa"/>
            <w:shd w:val="clear" w:color="auto" w:fill="auto"/>
            <w:vAlign w:val="center"/>
          </w:tcPr>
          <w:p w14:paraId="3DE12234" w14:textId="77777777" w:rsidR="000C50F0" w:rsidRPr="004B0BFC" w:rsidRDefault="000C50F0" w:rsidP="00F43DFC">
            <w:pPr>
              <w:jc w:val="center"/>
              <w:rPr>
                <w:sz w:val="24"/>
                <w:lang w:eastAsia="ja-JP"/>
              </w:rPr>
            </w:pPr>
          </w:p>
        </w:tc>
        <w:tc>
          <w:tcPr>
            <w:tcW w:w="518" w:type="dxa"/>
            <w:tcBorders>
              <w:bottom w:val="single" w:sz="4" w:space="0" w:color="000000"/>
            </w:tcBorders>
            <w:shd w:val="clear" w:color="auto" w:fill="auto"/>
          </w:tcPr>
          <w:p w14:paraId="00E9EFE6" w14:textId="77777777" w:rsidR="000C50F0" w:rsidRPr="0025160E" w:rsidRDefault="000C50F0" w:rsidP="00F43DFC">
            <w:pPr>
              <w:jc w:val="center"/>
              <w:rPr>
                <w:sz w:val="24"/>
                <w:highlight w:val="red"/>
                <w:lang w:eastAsia="ja-JP"/>
              </w:rPr>
            </w:pPr>
          </w:p>
        </w:tc>
      </w:tr>
      <w:tr w:rsidR="000C50F0" w:rsidRPr="004B0BFC" w14:paraId="7A3B658C" w14:textId="77777777" w:rsidTr="006C5B65">
        <w:trPr>
          <w:trHeight w:hRule="exact" w:val="340"/>
        </w:trPr>
        <w:tc>
          <w:tcPr>
            <w:tcW w:w="675" w:type="dxa"/>
            <w:vMerge/>
            <w:vAlign w:val="center"/>
          </w:tcPr>
          <w:p w14:paraId="38ACB659" w14:textId="77777777" w:rsidR="000C50F0" w:rsidRPr="004B0BFC" w:rsidRDefault="000C50F0" w:rsidP="00F43DFC">
            <w:pPr>
              <w:jc w:val="center"/>
              <w:rPr>
                <w:sz w:val="24"/>
                <w:lang w:eastAsia="ja-JP"/>
              </w:rPr>
            </w:pPr>
          </w:p>
        </w:tc>
        <w:tc>
          <w:tcPr>
            <w:tcW w:w="729" w:type="dxa"/>
            <w:tcBorders>
              <w:bottom w:val="single" w:sz="4" w:space="0" w:color="000000"/>
              <w:right w:val="single" w:sz="18" w:space="0" w:color="000000"/>
            </w:tcBorders>
            <w:vAlign w:val="center"/>
          </w:tcPr>
          <w:p w14:paraId="54DC509B" w14:textId="77777777" w:rsidR="000C50F0" w:rsidRPr="004B0BFC" w:rsidRDefault="000C50F0" w:rsidP="00F43DFC">
            <w:pPr>
              <w:jc w:val="center"/>
              <w:rPr>
                <w:sz w:val="24"/>
                <w:lang w:eastAsia="ja-JP"/>
              </w:rPr>
            </w:pPr>
            <w:r>
              <w:rPr>
                <w:sz w:val="24"/>
                <w:lang w:eastAsia="ja-JP"/>
              </w:rPr>
              <w:t>5</w:t>
            </w:r>
          </w:p>
        </w:tc>
        <w:tc>
          <w:tcPr>
            <w:tcW w:w="490" w:type="dxa"/>
            <w:tcBorders>
              <w:left w:val="single" w:sz="18" w:space="0" w:color="000000"/>
              <w:bottom w:val="single" w:sz="4" w:space="0" w:color="000000"/>
            </w:tcBorders>
            <w:vAlign w:val="center"/>
          </w:tcPr>
          <w:p w14:paraId="230D2B6B" w14:textId="77777777" w:rsidR="000C50F0" w:rsidRPr="004B0BFC" w:rsidRDefault="000C50F0" w:rsidP="00F43DFC">
            <w:pPr>
              <w:jc w:val="center"/>
              <w:rPr>
                <w:sz w:val="24"/>
                <w:lang w:eastAsia="ja-JP"/>
              </w:rPr>
            </w:pPr>
          </w:p>
        </w:tc>
        <w:tc>
          <w:tcPr>
            <w:tcW w:w="491" w:type="dxa"/>
            <w:tcBorders>
              <w:bottom w:val="single" w:sz="4" w:space="0" w:color="000000"/>
            </w:tcBorders>
            <w:vAlign w:val="center"/>
          </w:tcPr>
          <w:p w14:paraId="4B476AEE" w14:textId="77777777" w:rsidR="000C50F0" w:rsidRPr="004B0BFC" w:rsidRDefault="000C50F0" w:rsidP="00F43DFC">
            <w:pPr>
              <w:jc w:val="center"/>
              <w:rPr>
                <w:sz w:val="24"/>
                <w:lang w:eastAsia="ja-JP"/>
              </w:rPr>
            </w:pPr>
          </w:p>
        </w:tc>
        <w:tc>
          <w:tcPr>
            <w:tcW w:w="491" w:type="dxa"/>
            <w:tcBorders>
              <w:bottom w:val="single" w:sz="4" w:space="0" w:color="000000"/>
            </w:tcBorders>
            <w:vAlign w:val="center"/>
          </w:tcPr>
          <w:p w14:paraId="0DDE1C1C" w14:textId="77777777" w:rsidR="000C50F0" w:rsidRPr="004B0BFC" w:rsidRDefault="000C50F0" w:rsidP="00F43DFC">
            <w:pPr>
              <w:jc w:val="center"/>
              <w:rPr>
                <w:sz w:val="24"/>
                <w:lang w:eastAsia="ja-JP"/>
              </w:rPr>
            </w:pPr>
          </w:p>
        </w:tc>
        <w:tc>
          <w:tcPr>
            <w:tcW w:w="490" w:type="dxa"/>
            <w:tcBorders>
              <w:bottom w:val="single" w:sz="4" w:space="0" w:color="000000"/>
            </w:tcBorders>
            <w:vAlign w:val="center"/>
          </w:tcPr>
          <w:p w14:paraId="1CE90403"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324BB684"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1DA5AE1D"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auto"/>
            <w:vAlign w:val="center"/>
          </w:tcPr>
          <w:p w14:paraId="78153EF0"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621C6410"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7637A2C9"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auto"/>
            <w:vAlign w:val="center"/>
          </w:tcPr>
          <w:p w14:paraId="4F6CE537"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1FA253E9"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auto"/>
            <w:vAlign w:val="center"/>
          </w:tcPr>
          <w:p w14:paraId="3179DED2" w14:textId="77777777" w:rsidR="000C50F0" w:rsidRPr="004B0BFC" w:rsidRDefault="000C50F0" w:rsidP="00F43DFC">
            <w:pPr>
              <w:jc w:val="center"/>
              <w:rPr>
                <w:sz w:val="24"/>
                <w:lang w:eastAsia="ja-JP"/>
              </w:rPr>
            </w:pPr>
          </w:p>
        </w:tc>
        <w:tc>
          <w:tcPr>
            <w:tcW w:w="490" w:type="dxa"/>
            <w:tcBorders>
              <w:bottom w:val="single" w:sz="4" w:space="0" w:color="000000"/>
            </w:tcBorders>
            <w:shd w:val="clear" w:color="auto" w:fill="C4BC96"/>
            <w:vAlign w:val="center"/>
          </w:tcPr>
          <w:p w14:paraId="2B65FB94" w14:textId="77777777" w:rsidR="000C50F0" w:rsidRPr="003C188A" w:rsidRDefault="000C50F0" w:rsidP="00F43DFC">
            <w:pPr>
              <w:jc w:val="center"/>
              <w:rPr>
                <w:b/>
                <w:sz w:val="18"/>
                <w:szCs w:val="18"/>
                <w:lang w:eastAsia="ja-JP"/>
              </w:rPr>
            </w:pPr>
            <w:r w:rsidRPr="003C188A">
              <w:rPr>
                <w:b/>
                <w:sz w:val="18"/>
                <w:szCs w:val="18"/>
                <w:lang w:eastAsia="ja-JP"/>
              </w:rPr>
              <w:t>G</w:t>
            </w:r>
            <w:r>
              <w:rPr>
                <w:rFonts w:hint="eastAsia"/>
                <w:b/>
                <w:sz w:val="18"/>
                <w:szCs w:val="18"/>
                <w:lang w:eastAsia="ja-JP"/>
              </w:rPr>
              <w:t>7</w:t>
            </w:r>
          </w:p>
        </w:tc>
        <w:tc>
          <w:tcPr>
            <w:tcW w:w="491" w:type="dxa"/>
            <w:tcBorders>
              <w:bottom w:val="single" w:sz="4" w:space="0" w:color="000000"/>
            </w:tcBorders>
            <w:shd w:val="clear" w:color="auto" w:fill="C4BC96"/>
            <w:vAlign w:val="center"/>
          </w:tcPr>
          <w:p w14:paraId="027115B7"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C4BC96"/>
            <w:vAlign w:val="center"/>
          </w:tcPr>
          <w:p w14:paraId="475AC2C1" w14:textId="77777777" w:rsidR="000C50F0" w:rsidRPr="004B0BFC" w:rsidRDefault="000C50F0" w:rsidP="00F43DFC">
            <w:pPr>
              <w:jc w:val="center"/>
              <w:rPr>
                <w:sz w:val="24"/>
                <w:lang w:eastAsia="ja-JP"/>
              </w:rPr>
            </w:pPr>
          </w:p>
        </w:tc>
        <w:tc>
          <w:tcPr>
            <w:tcW w:w="491" w:type="dxa"/>
            <w:tcBorders>
              <w:bottom w:val="single" w:sz="4" w:space="0" w:color="000000"/>
            </w:tcBorders>
            <w:shd w:val="clear" w:color="auto" w:fill="C4BC96"/>
            <w:vAlign w:val="center"/>
          </w:tcPr>
          <w:p w14:paraId="7FEE4592" w14:textId="77777777" w:rsidR="000C50F0" w:rsidRPr="004B0BFC" w:rsidRDefault="000C50F0" w:rsidP="00F43DFC">
            <w:pPr>
              <w:jc w:val="center"/>
              <w:rPr>
                <w:sz w:val="24"/>
                <w:lang w:eastAsia="ja-JP"/>
              </w:rPr>
            </w:pPr>
          </w:p>
        </w:tc>
        <w:tc>
          <w:tcPr>
            <w:tcW w:w="518" w:type="dxa"/>
            <w:tcBorders>
              <w:bottom w:val="single" w:sz="4" w:space="0" w:color="000000"/>
            </w:tcBorders>
            <w:shd w:val="clear" w:color="auto" w:fill="auto"/>
          </w:tcPr>
          <w:p w14:paraId="72EFF29D" w14:textId="77777777" w:rsidR="000C50F0" w:rsidRPr="0025160E" w:rsidRDefault="000C50F0" w:rsidP="00F43DFC">
            <w:pPr>
              <w:jc w:val="center"/>
              <w:rPr>
                <w:sz w:val="24"/>
                <w:highlight w:val="red"/>
                <w:lang w:eastAsia="ja-JP"/>
              </w:rPr>
            </w:pPr>
          </w:p>
        </w:tc>
      </w:tr>
      <w:tr w:rsidR="000C50F0" w:rsidRPr="008B7FA3" w14:paraId="05080A22" w14:textId="77777777" w:rsidTr="006C5B65">
        <w:trPr>
          <w:trHeight w:hRule="exact" w:val="340"/>
        </w:trPr>
        <w:tc>
          <w:tcPr>
            <w:tcW w:w="675" w:type="dxa"/>
            <w:vMerge/>
            <w:tcBorders>
              <w:bottom w:val="single" w:sz="18" w:space="0" w:color="000000"/>
            </w:tcBorders>
            <w:vAlign w:val="center"/>
          </w:tcPr>
          <w:p w14:paraId="53B39715" w14:textId="77777777" w:rsidR="000C50F0" w:rsidRPr="008B7FA3" w:rsidRDefault="000C50F0" w:rsidP="00F43DFC">
            <w:pPr>
              <w:jc w:val="center"/>
              <w:rPr>
                <w:sz w:val="22"/>
                <w:szCs w:val="22"/>
                <w:lang w:eastAsia="ja-JP"/>
              </w:rPr>
            </w:pPr>
          </w:p>
        </w:tc>
        <w:tc>
          <w:tcPr>
            <w:tcW w:w="729" w:type="dxa"/>
            <w:tcBorders>
              <w:bottom w:val="single" w:sz="18" w:space="0" w:color="000000"/>
              <w:right w:val="single" w:sz="18" w:space="0" w:color="000000"/>
            </w:tcBorders>
            <w:vAlign w:val="center"/>
          </w:tcPr>
          <w:p w14:paraId="2BB7D7C6" w14:textId="77777777" w:rsidR="000C50F0" w:rsidRPr="008B7FA3" w:rsidRDefault="000C50F0" w:rsidP="00F43DFC">
            <w:pPr>
              <w:jc w:val="center"/>
              <w:rPr>
                <w:sz w:val="22"/>
                <w:szCs w:val="22"/>
                <w:lang w:eastAsia="ja-JP"/>
              </w:rPr>
            </w:pPr>
            <w:r w:rsidRPr="009F356A">
              <w:rPr>
                <w:sz w:val="22"/>
                <w:szCs w:val="22"/>
                <w:lang w:eastAsia="ja-JP"/>
              </w:rPr>
              <w:t>5</w:t>
            </w:r>
          </w:p>
        </w:tc>
        <w:tc>
          <w:tcPr>
            <w:tcW w:w="490" w:type="dxa"/>
            <w:tcBorders>
              <w:left w:val="single" w:sz="18" w:space="0" w:color="000000"/>
              <w:bottom w:val="single" w:sz="18" w:space="0" w:color="000000"/>
            </w:tcBorders>
            <w:vAlign w:val="center"/>
          </w:tcPr>
          <w:p w14:paraId="46DD83EC" w14:textId="77777777" w:rsidR="000C50F0" w:rsidRPr="008B7FA3" w:rsidRDefault="000C50F0" w:rsidP="00F43DFC">
            <w:pPr>
              <w:jc w:val="center"/>
              <w:rPr>
                <w:sz w:val="22"/>
                <w:szCs w:val="22"/>
                <w:lang w:eastAsia="ja-JP"/>
              </w:rPr>
            </w:pPr>
          </w:p>
        </w:tc>
        <w:tc>
          <w:tcPr>
            <w:tcW w:w="491" w:type="dxa"/>
            <w:tcBorders>
              <w:bottom w:val="single" w:sz="18" w:space="0" w:color="000000"/>
            </w:tcBorders>
            <w:vAlign w:val="center"/>
          </w:tcPr>
          <w:p w14:paraId="3B1AC908" w14:textId="77777777" w:rsidR="000C50F0" w:rsidRPr="008B7FA3" w:rsidRDefault="000C50F0" w:rsidP="00F43DFC">
            <w:pPr>
              <w:jc w:val="center"/>
              <w:rPr>
                <w:sz w:val="22"/>
                <w:szCs w:val="22"/>
                <w:lang w:eastAsia="ja-JP"/>
              </w:rPr>
            </w:pPr>
          </w:p>
        </w:tc>
        <w:tc>
          <w:tcPr>
            <w:tcW w:w="491" w:type="dxa"/>
            <w:tcBorders>
              <w:bottom w:val="single" w:sz="18" w:space="0" w:color="000000"/>
            </w:tcBorders>
            <w:vAlign w:val="center"/>
          </w:tcPr>
          <w:p w14:paraId="0D9EF8A6" w14:textId="77777777" w:rsidR="000C50F0" w:rsidRPr="008B7FA3" w:rsidRDefault="000C50F0" w:rsidP="00F43DFC">
            <w:pPr>
              <w:jc w:val="center"/>
              <w:rPr>
                <w:sz w:val="22"/>
                <w:szCs w:val="22"/>
                <w:lang w:eastAsia="ja-JP"/>
              </w:rPr>
            </w:pPr>
          </w:p>
        </w:tc>
        <w:tc>
          <w:tcPr>
            <w:tcW w:w="490" w:type="dxa"/>
            <w:tcBorders>
              <w:bottom w:val="single" w:sz="18" w:space="0" w:color="000000"/>
            </w:tcBorders>
            <w:vAlign w:val="center"/>
          </w:tcPr>
          <w:p w14:paraId="26B5A962" w14:textId="77777777" w:rsidR="000C50F0" w:rsidRPr="008B7FA3" w:rsidRDefault="000C50F0" w:rsidP="00F43DFC">
            <w:pPr>
              <w:jc w:val="center"/>
              <w:rPr>
                <w:sz w:val="22"/>
                <w:szCs w:val="22"/>
                <w:lang w:eastAsia="ja-JP"/>
              </w:rPr>
            </w:pPr>
          </w:p>
        </w:tc>
        <w:tc>
          <w:tcPr>
            <w:tcW w:w="491" w:type="dxa"/>
            <w:tcBorders>
              <w:bottom w:val="single" w:sz="18" w:space="0" w:color="000000"/>
            </w:tcBorders>
            <w:shd w:val="clear" w:color="auto" w:fill="auto"/>
            <w:vAlign w:val="center"/>
          </w:tcPr>
          <w:p w14:paraId="222FED78" w14:textId="77777777" w:rsidR="000C50F0" w:rsidRPr="008B7FA3" w:rsidRDefault="000C50F0" w:rsidP="00F43DFC">
            <w:pPr>
              <w:jc w:val="center"/>
              <w:rPr>
                <w:sz w:val="22"/>
                <w:szCs w:val="22"/>
                <w:lang w:eastAsia="ja-JP"/>
              </w:rPr>
            </w:pPr>
          </w:p>
        </w:tc>
        <w:tc>
          <w:tcPr>
            <w:tcW w:w="491" w:type="dxa"/>
            <w:tcBorders>
              <w:bottom w:val="single" w:sz="18" w:space="0" w:color="000000"/>
            </w:tcBorders>
            <w:shd w:val="clear" w:color="auto" w:fill="auto"/>
            <w:vAlign w:val="center"/>
          </w:tcPr>
          <w:p w14:paraId="23B5D868" w14:textId="77777777" w:rsidR="000C50F0" w:rsidRPr="008B7FA3" w:rsidRDefault="000C50F0" w:rsidP="00F43DFC">
            <w:pPr>
              <w:jc w:val="center"/>
              <w:rPr>
                <w:sz w:val="22"/>
                <w:szCs w:val="22"/>
                <w:lang w:eastAsia="ja-JP"/>
              </w:rPr>
            </w:pPr>
          </w:p>
        </w:tc>
        <w:tc>
          <w:tcPr>
            <w:tcW w:w="490" w:type="dxa"/>
            <w:tcBorders>
              <w:bottom w:val="single" w:sz="18" w:space="0" w:color="000000"/>
            </w:tcBorders>
            <w:shd w:val="clear" w:color="auto" w:fill="auto"/>
            <w:vAlign w:val="center"/>
          </w:tcPr>
          <w:p w14:paraId="123BD005" w14:textId="77777777" w:rsidR="000C50F0" w:rsidRPr="008B7FA3" w:rsidRDefault="000C50F0" w:rsidP="00F43DFC">
            <w:pPr>
              <w:jc w:val="center"/>
              <w:rPr>
                <w:sz w:val="22"/>
                <w:szCs w:val="22"/>
                <w:lang w:eastAsia="ja-JP"/>
              </w:rPr>
            </w:pPr>
          </w:p>
        </w:tc>
        <w:tc>
          <w:tcPr>
            <w:tcW w:w="491" w:type="dxa"/>
            <w:tcBorders>
              <w:bottom w:val="single" w:sz="18" w:space="0" w:color="000000"/>
            </w:tcBorders>
            <w:shd w:val="clear" w:color="auto" w:fill="auto"/>
            <w:vAlign w:val="center"/>
          </w:tcPr>
          <w:p w14:paraId="1BA8192C" w14:textId="77777777" w:rsidR="000C50F0" w:rsidRPr="008B7FA3" w:rsidRDefault="000C50F0" w:rsidP="00F43DFC">
            <w:pPr>
              <w:jc w:val="center"/>
              <w:rPr>
                <w:sz w:val="22"/>
                <w:szCs w:val="22"/>
                <w:lang w:eastAsia="ja-JP"/>
              </w:rPr>
            </w:pPr>
          </w:p>
        </w:tc>
        <w:tc>
          <w:tcPr>
            <w:tcW w:w="491" w:type="dxa"/>
            <w:tcBorders>
              <w:bottom w:val="single" w:sz="18" w:space="0" w:color="000000"/>
            </w:tcBorders>
            <w:shd w:val="clear" w:color="auto" w:fill="auto"/>
            <w:vAlign w:val="center"/>
          </w:tcPr>
          <w:p w14:paraId="1ADA8028" w14:textId="77777777" w:rsidR="000C50F0" w:rsidRPr="008B7FA3" w:rsidRDefault="000C50F0" w:rsidP="00F43DFC">
            <w:pPr>
              <w:jc w:val="center"/>
              <w:rPr>
                <w:sz w:val="22"/>
                <w:szCs w:val="22"/>
                <w:lang w:eastAsia="ja-JP"/>
              </w:rPr>
            </w:pPr>
          </w:p>
        </w:tc>
        <w:tc>
          <w:tcPr>
            <w:tcW w:w="490" w:type="dxa"/>
            <w:tcBorders>
              <w:bottom w:val="single" w:sz="18" w:space="0" w:color="000000"/>
            </w:tcBorders>
            <w:shd w:val="clear" w:color="auto" w:fill="auto"/>
            <w:vAlign w:val="center"/>
          </w:tcPr>
          <w:p w14:paraId="4B7349D5" w14:textId="77777777" w:rsidR="000C50F0" w:rsidRPr="008B7FA3" w:rsidRDefault="000C50F0" w:rsidP="00F43DFC">
            <w:pPr>
              <w:jc w:val="center"/>
              <w:rPr>
                <w:sz w:val="22"/>
                <w:szCs w:val="22"/>
                <w:lang w:eastAsia="ja-JP"/>
              </w:rPr>
            </w:pPr>
          </w:p>
        </w:tc>
        <w:tc>
          <w:tcPr>
            <w:tcW w:w="491" w:type="dxa"/>
            <w:tcBorders>
              <w:bottom w:val="single" w:sz="18" w:space="0" w:color="000000"/>
            </w:tcBorders>
            <w:shd w:val="clear" w:color="auto" w:fill="auto"/>
            <w:vAlign w:val="center"/>
          </w:tcPr>
          <w:p w14:paraId="20E45F46" w14:textId="77777777" w:rsidR="000C50F0" w:rsidRPr="008B7FA3" w:rsidRDefault="000C50F0" w:rsidP="00F43DFC">
            <w:pPr>
              <w:jc w:val="center"/>
              <w:rPr>
                <w:sz w:val="22"/>
                <w:szCs w:val="22"/>
                <w:lang w:eastAsia="ja-JP"/>
              </w:rPr>
            </w:pPr>
          </w:p>
        </w:tc>
        <w:tc>
          <w:tcPr>
            <w:tcW w:w="491" w:type="dxa"/>
            <w:tcBorders>
              <w:bottom w:val="single" w:sz="18" w:space="0" w:color="000000"/>
            </w:tcBorders>
            <w:shd w:val="clear" w:color="auto" w:fill="auto"/>
            <w:vAlign w:val="center"/>
          </w:tcPr>
          <w:p w14:paraId="7427D3AC" w14:textId="77777777" w:rsidR="000C50F0" w:rsidRPr="008B7FA3" w:rsidRDefault="000C50F0" w:rsidP="00F43DFC">
            <w:pPr>
              <w:jc w:val="center"/>
              <w:rPr>
                <w:sz w:val="22"/>
                <w:szCs w:val="22"/>
                <w:lang w:eastAsia="ja-JP"/>
              </w:rPr>
            </w:pPr>
          </w:p>
        </w:tc>
        <w:tc>
          <w:tcPr>
            <w:tcW w:w="490" w:type="dxa"/>
            <w:tcBorders>
              <w:bottom w:val="single" w:sz="18" w:space="0" w:color="000000"/>
            </w:tcBorders>
            <w:shd w:val="clear" w:color="auto" w:fill="auto"/>
            <w:vAlign w:val="center"/>
          </w:tcPr>
          <w:p w14:paraId="36F0661F" w14:textId="77777777" w:rsidR="000C50F0" w:rsidRPr="008B7FA3" w:rsidRDefault="000C50F0" w:rsidP="00F43DFC">
            <w:pPr>
              <w:jc w:val="center"/>
              <w:rPr>
                <w:sz w:val="22"/>
                <w:szCs w:val="22"/>
                <w:lang w:eastAsia="ja-JP"/>
              </w:rPr>
            </w:pPr>
          </w:p>
        </w:tc>
        <w:tc>
          <w:tcPr>
            <w:tcW w:w="491" w:type="dxa"/>
            <w:tcBorders>
              <w:bottom w:val="single" w:sz="18" w:space="0" w:color="000000"/>
            </w:tcBorders>
            <w:shd w:val="clear" w:color="auto" w:fill="auto"/>
            <w:vAlign w:val="center"/>
          </w:tcPr>
          <w:p w14:paraId="3F8A77D2" w14:textId="77777777" w:rsidR="000C50F0" w:rsidRPr="008B7FA3" w:rsidRDefault="000C50F0" w:rsidP="00F43DFC">
            <w:pPr>
              <w:jc w:val="center"/>
              <w:rPr>
                <w:sz w:val="22"/>
                <w:szCs w:val="22"/>
                <w:lang w:eastAsia="ja-JP"/>
              </w:rPr>
            </w:pPr>
          </w:p>
        </w:tc>
        <w:tc>
          <w:tcPr>
            <w:tcW w:w="491" w:type="dxa"/>
            <w:tcBorders>
              <w:bottom w:val="single" w:sz="18" w:space="0" w:color="000000"/>
            </w:tcBorders>
            <w:shd w:val="clear" w:color="auto" w:fill="404040"/>
            <w:vAlign w:val="center"/>
          </w:tcPr>
          <w:p w14:paraId="3E2394D9" w14:textId="77777777" w:rsidR="000C50F0" w:rsidRPr="000C50BA" w:rsidRDefault="000C50F0" w:rsidP="00F43DFC">
            <w:pPr>
              <w:jc w:val="center"/>
              <w:rPr>
                <w:b/>
                <w:sz w:val="21"/>
                <w:szCs w:val="21"/>
                <w:lang w:eastAsia="ja-JP"/>
              </w:rPr>
            </w:pPr>
            <w:r w:rsidRPr="000C50BA">
              <w:rPr>
                <w:b/>
                <w:sz w:val="21"/>
                <w:szCs w:val="21"/>
                <w:lang w:eastAsia="ja-JP"/>
              </w:rPr>
              <w:t>G8</w:t>
            </w:r>
          </w:p>
        </w:tc>
        <w:tc>
          <w:tcPr>
            <w:tcW w:w="491" w:type="dxa"/>
            <w:tcBorders>
              <w:bottom w:val="single" w:sz="18" w:space="0" w:color="000000"/>
            </w:tcBorders>
            <w:shd w:val="clear" w:color="auto" w:fill="404040"/>
            <w:vAlign w:val="center"/>
          </w:tcPr>
          <w:p w14:paraId="76120F56" w14:textId="77777777" w:rsidR="000C50F0" w:rsidRPr="008B7FA3" w:rsidRDefault="000C50F0" w:rsidP="00F43DFC">
            <w:pPr>
              <w:jc w:val="center"/>
              <w:rPr>
                <w:sz w:val="22"/>
                <w:szCs w:val="22"/>
                <w:lang w:eastAsia="ja-JP"/>
              </w:rPr>
            </w:pPr>
          </w:p>
        </w:tc>
        <w:tc>
          <w:tcPr>
            <w:tcW w:w="518" w:type="dxa"/>
            <w:tcBorders>
              <w:bottom w:val="single" w:sz="18" w:space="0" w:color="000000"/>
            </w:tcBorders>
            <w:shd w:val="clear" w:color="auto" w:fill="4A442A" w:themeFill="background2" w:themeFillShade="40"/>
            <w:vAlign w:val="center"/>
          </w:tcPr>
          <w:p w14:paraId="2DE35386" w14:textId="77777777" w:rsidR="000C50F0" w:rsidRPr="008B7FA3" w:rsidRDefault="000C50F0" w:rsidP="00F43DFC">
            <w:pPr>
              <w:jc w:val="center"/>
              <w:rPr>
                <w:sz w:val="22"/>
                <w:szCs w:val="22"/>
                <w:highlight w:val="red"/>
                <w:lang w:eastAsia="ja-JP"/>
              </w:rPr>
            </w:pPr>
            <w:r w:rsidRPr="009F356A">
              <w:rPr>
                <w:sz w:val="22"/>
                <w:szCs w:val="22"/>
                <w:lang w:eastAsia="ja-JP"/>
              </w:rPr>
              <w:t>D</w:t>
            </w:r>
          </w:p>
        </w:tc>
      </w:tr>
      <w:tr w:rsidR="006C5B65" w:rsidRPr="008B7FA3" w14:paraId="6E7CC3EB" w14:textId="77777777" w:rsidTr="006C5B65">
        <w:trPr>
          <w:trHeight w:hRule="exact" w:val="340"/>
        </w:trPr>
        <w:tc>
          <w:tcPr>
            <w:tcW w:w="9773" w:type="dxa"/>
            <w:gridSpan w:val="19"/>
            <w:tcBorders>
              <w:top w:val="single" w:sz="18" w:space="0" w:color="000000"/>
              <w:left w:val="nil"/>
              <w:bottom w:val="nil"/>
              <w:right w:val="nil"/>
            </w:tcBorders>
            <w:vAlign w:val="center"/>
          </w:tcPr>
          <w:p w14:paraId="207974A6" w14:textId="77777777" w:rsidR="006C5B65" w:rsidRPr="006C5B65" w:rsidRDefault="006C5B65" w:rsidP="006C5B65">
            <w:pPr>
              <w:rPr>
                <w:lang w:eastAsia="ja-JP"/>
              </w:rPr>
            </w:pPr>
            <w:r w:rsidRPr="006C5B65">
              <w:rPr>
                <w:lang w:eastAsia="ja-JP"/>
              </w:rPr>
              <w:t>Notes: D means that the last generation of investors receives terminal dividends (50) at the end of Period 16.</w:t>
            </w:r>
          </w:p>
        </w:tc>
      </w:tr>
    </w:tbl>
    <w:p w14:paraId="4374F061" w14:textId="77777777" w:rsidR="000C50F0" w:rsidRDefault="000C50F0" w:rsidP="000C50F0">
      <w:pPr>
        <w:spacing w:after="200" w:line="276"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0C50F0" w14:paraId="50E01AE8" w14:textId="77777777" w:rsidTr="00E44B0A">
        <w:tc>
          <w:tcPr>
            <w:tcW w:w="9243" w:type="dxa"/>
          </w:tcPr>
          <w:p w14:paraId="78368330" w14:textId="77777777" w:rsidR="009F6761" w:rsidRDefault="000C50F0" w:rsidP="00F43DFC">
            <w:pPr>
              <w:jc w:val="center"/>
              <w:rPr>
                <w:sz w:val="24"/>
                <w:lang w:eastAsia="ja-JP"/>
              </w:rPr>
            </w:pPr>
            <w:r w:rsidRPr="00F93591">
              <w:rPr>
                <w:b/>
                <w:sz w:val="24"/>
                <w:lang w:eastAsia="ja-JP"/>
              </w:rPr>
              <w:lastRenderedPageBreak/>
              <w:t xml:space="preserve">Figure </w:t>
            </w:r>
            <w:r w:rsidR="00CD366E">
              <w:rPr>
                <w:rFonts w:hint="eastAsia"/>
                <w:b/>
                <w:sz w:val="24"/>
                <w:lang w:eastAsia="ja-JP"/>
              </w:rPr>
              <w:t>2</w:t>
            </w:r>
            <w:r w:rsidRPr="00F93591">
              <w:rPr>
                <w:b/>
                <w:sz w:val="24"/>
                <w:lang w:eastAsia="ja-JP"/>
              </w:rPr>
              <w:t xml:space="preserve">: </w:t>
            </w:r>
            <w:r>
              <w:rPr>
                <w:b/>
                <w:sz w:val="24"/>
                <w:lang w:eastAsia="ja-JP"/>
              </w:rPr>
              <w:t xml:space="preserve">Period-wise </w:t>
            </w:r>
            <w:r w:rsidR="00D71403">
              <w:rPr>
                <w:b/>
                <w:sz w:val="24"/>
                <w:lang w:eastAsia="ja-JP"/>
              </w:rPr>
              <w:t>A</w:t>
            </w:r>
            <w:r>
              <w:rPr>
                <w:b/>
                <w:sz w:val="24"/>
                <w:lang w:eastAsia="ja-JP"/>
              </w:rPr>
              <w:t xml:space="preserve">verage </w:t>
            </w:r>
            <w:r w:rsidR="00D71403">
              <w:rPr>
                <w:b/>
                <w:sz w:val="24"/>
                <w:lang w:eastAsia="ja-JP"/>
              </w:rPr>
              <w:t>T</w:t>
            </w:r>
            <w:r>
              <w:rPr>
                <w:b/>
                <w:sz w:val="24"/>
                <w:lang w:eastAsia="ja-JP"/>
              </w:rPr>
              <w:t xml:space="preserve">ransaction </w:t>
            </w:r>
            <w:r w:rsidR="00D71403">
              <w:rPr>
                <w:b/>
                <w:sz w:val="24"/>
                <w:lang w:eastAsia="ja-JP"/>
              </w:rPr>
              <w:t>P</w:t>
            </w:r>
            <w:r>
              <w:rPr>
                <w:b/>
                <w:sz w:val="24"/>
                <w:lang w:eastAsia="ja-JP"/>
              </w:rPr>
              <w:t xml:space="preserve">rices in </w:t>
            </w:r>
            <w:r w:rsidR="00D71403">
              <w:rPr>
                <w:b/>
                <w:sz w:val="24"/>
                <w:lang w:eastAsia="ja-JP"/>
              </w:rPr>
              <w:t>H</w:t>
            </w:r>
            <w:r w:rsidR="000076F9">
              <w:rPr>
                <w:rFonts w:hint="eastAsia"/>
                <w:b/>
                <w:sz w:val="24"/>
                <w:lang w:eastAsia="ja-JP"/>
              </w:rPr>
              <w:t xml:space="preserve">igh-liquidity </w:t>
            </w:r>
            <w:r w:rsidR="00D71403">
              <w:rPr>
                <w:b/>
                <w:sz w:val="24"/>
                <w:lang w:eastAsia="ja-JP"/>
              </w:rPr>
              <w:t>T</w:t>
            </w:r>
            <w:r w:rsidR="000076F9">
              <w:rPr>
                <w:rFonts w:hint="eastAsia"/>
                <w:b/>
                <w:sz w:val="24"/>
                <w:lang w:eastAsia="ja-JP"/>
              </w:rPr>
              <w:t>reatment</w:t>
            </w:r>
            <w:r w:rsidRPr="00F93591">
              <w:rPr>
                <w:b/>
                <w:sz w:val="24"/>
                <w:lang w:eastAsia="ja-JP"/>
              </w:rPr>
              <w:t>s.</w:t>
            </w:r>
          </w:p>
          <w:p w14:paraId="5E53D35A" w14:textId="77777777" w:rsidR="009F6761" w:rsidRDefault="009F6761" w:rsidP="00F43DFC">
            <w:pPr>
              <w:jc w:val="center"/>
              <w:rPr>
                <w:sz w:val="24"/>
                <w:lang w:eastAsia="ja-JP"/>
              </w:rPr>
            </w:pPr>
          </w:p>
        </w:tc>
      </w:tr>
      <w:tr w:rsidR="000C50F0" w14:paraId="65E9E794" w14:textId="77777777" w:rsidTr="00E44B0A">
        <w:tc>
          <w:tcPr>
            <w:tcW w:w="9243" w:type="dxa"/>
          </w:tcPr>
          <w:p w14:paraId="40750FBF" w14:textId="77777777" w:rsidR="000C50F0" w:rsidRDefault="008B514D" w:rsidP="00F43DFC">
            <w:pPr>
              <w:jc w:val="both"/>
              <w:rPr>
                <w:sz w:val="24"/>
                <w:lang w:eastAsia="ja-JP"/>
              </w:rPr>
            </w:pPr>
            <w:r>
              <w:rPr>
                <w:noProof/>
                <w:sz w:val="24"/>
                <w:lang w:val="de-DE" w:eastAsia="de-DE"/>
              </w:rPr>
              <w:drawing>
                <wp:inline distT="0" distB="0" distL="0" distR="0" wp14:anchorId="6A7F059A" wp14:editId="2606D03F">
                  <wp:extent cx="5634957" cy="7910423"/>
                  <wp:effectExtent l="0" t="0" r="0" b="0"/>
                  <wp:docPr id="5" name="Grafik 5" descr="H:\2_Forschung\2014_Hirota Sunder\stata\contracts\graph\TH_fv_ampreis_combinded_x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_Forschung\2014_Hirota Sunder\stata\contracts\graph\TH_fv_ampreis_combinded_xlin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4976" cy="7910450"/>
                          </a:xfrm>
                          <a:prstGeom prst="rect">
                            <a:avLst/>
                          </a:prstGeom>
                          <a:noFill/>
                          <a:ln>
                            <a:noFill/>
                          </a:ln>
                        </pic:spPr>
                      </pic:pic>
                    </a:graphicData>
                  </a:graphic>
                </wp:inline>
              </w:drawing>
            </w:r>
          </w:p>
        </w:tc>
      </w:tr>
      <w:tr w:rsidR="000C50F0" w14:paraId="3A1E3331" w14:textId="77777777" w:rsidTr="00E44B0A">
        <w:tc>
          <w:tcPr>
            <w:tcW w:w="9243" w:type="dxa"/>
          </w:tcPr>
          <w:p w14:paraId="596606C2" w14:textId="74973E52" w:rsidR="00EF7E37" w:rsidRPr="006C5B65" w:rsidRDefault="000C50F0" w:rsidP="0052719A">
            <w:pPr>
              <w:jc w:val="both"/>
              <w:rPr>
                <w:lang w:eastAsia="ja-JP"/>
              </w:rPr>
            </w:pPr>
            <w:r w:rsidRPr="006C5B65">
              <w:rPr>
                <w:lang w:eastAsia="ja-JP"/>
              </w:rPr>
              <w:t xml:space="preserve">Notes: </w:t>
            </w:r>
            <w:r w:rsidR="00CD366E" w:rsidRPr="006C5B65">
              <w:rPr>
                <w:rFonts w:hint="eastAsia"/>
                <w:lang w:eastAsia="ja-JP"/>
              </w:rPr>
              <w:t>V</w:t>
            </w:r>
            <w:r w:rsidR="00CD366E" w:rsidRPr="006C5B65">
              <w:rPr>
                <w:lang w:eastAsia="ja-JP"/>
              </w:rPr>
              <w:t xml:space="preserve">olume-weighted mean prices from six individual </w:t>
            </w:r>
            <w:r w:rsidR="00CB3B53" w:rsidRPr="006C5B65">
              <w:rPr>
                <w:lang w:eastAsia="ja-JP"/>
              </w:rPr>
              <w:t>sessions</w:t>
            </w:r>
            <w:r w:rsidR="00CD366E" w:rsidRPr="006C5B65">
              <w:rPr>
                <w:lang w:eastAsia="ja-JP"/>
              </w:rPr>
              <w:t xml:space="preserve"> (grey lines)</w:t>
            </w:r>
            <w:r w:rsidR="00E63420">
              <w:rPr>
                <w:lang w:eastAsia="ja-JP"/>
              </w:rPr>
              <w:t>, mean prices across the six ind</w:t>
            </w:r>
            <w:r w:rsidR="00E63420">
              <w:rPr>
                <w:lang w:eastAsia="ja-JP"/>
              </w:rPr>
              <w:t>i</w:t>
            </w:r>
            <w:r w:rsidR="00E63420">
              <w:rPr>
                <w:lang w:eastAsia="ja-JP"/>
              </w:rPr>
              <w:t xml:space="preserve">vidual sessions (blue bold line with hollow circles) and </w:t>
            </w:r>
            <w:r w:rsidRPr="006C5B65">
              <w:rPr>
                <w:lang w:eastAsia="ja-JP"/>
              </w:rPr>
              <w:t>Fundamental Value (</w:t>
            </w:r>
            <w:r w:rsidRPr="006C5B65">
              <w:rPr>
                <w:rFonts w:hint="eastAsia"/>
                <w:lang w:eastAsia="ja-JP"/>
              </w:rPr>
              <w:t xml:space="preserve">red </w:t>
            </w:r>
            <w:r w:rsidRPr="006C5B65">
              <w:rPr>
                <w:lang w:eastAsia="ja-JP"/>
              </w:rPr>
              <w:t>bold straight line)</w:t>
            </w:r>
            <w:r w:rsidRPr="006C5B65">
              <w:rPr>
                <w:rFonts w:hint="eastAsia"/>
                <w:lang w:eastAsia="ja-JP"/>
              </w:rPr>
              <w:t xml:space="preserve"> </w:t>
            </w:r>
            <w:r w:rsidRPr="006C5B65">
              <w:rPr>
                <w:lang w:eastAsia="ja-JP"/>
              </w:rPr>
              <w:t xml:space="preserve">by period on vertical axis. </w:t>
            </w:r>
            <w:r w:rsidR="00E44B0A" w:rsidRPr="00E44B0A">
              <w:rPr>
                <w:lang w:eastAsia="ja-JP"/>
              </w:rPr>
              <w:t>Broken vertical</w:t>
            </w:r>
            <w:r w:rsidR="00E44B0A" w:rsidRPr="00E44B0A">
              <w:rPr>
                <w:rFonts w:hint="eastAsia"/>
                <w:lang w:eastAsia="ja-JP"/>
              </w:rPr>
              <w:t xml:space="preserve"> </w:t>
            </w:r>
            <w:r w:rsidR="00E44B0A" w:rsidRPr="00E44B0A">
              <w:rPr>
                <w:lang w:eastAsia="ja-JP"/>
              </w:rPr>
              <w:t>lines mark the entry/exit points of overlapping generations of investors.</w:t>
            </w:r>
            <w:r w:rsidR="00E44B0A" w:rsidRPr="006C5B65">
              <w:rPr>
                <w:lang w:eastAsia="ja-JP"/>
              </w:rPr>
              <w:t xml:space="preserve"> </w:t>
            </w:r>
            <w:r w:rsidRPr="006C5B65">
              <w:rPr>
                <w:lang w:eastAsia="ja-JP"/>
              </w:rPr>
              <w:t>Each</w:t>
            </w:r>
            <w:r w:rsidRPr="006C5B65">
              <w:t xml:space="preserve"> panel is identified by treatment: </w:t>
            </w:r>
            <w:r w:rsidRPr="006C5B65">
              <w:rPr>
                <w:lang w:eastAsia="ja-JP"/>
              </w:rPr>
              <w:t>T1</w:t>
            </w:r>
            <w:r w:rsidRPr="006C5B65">
              <w:rPr>
                <w:rFonts w:hint="eastAsia"/>
                <w:lang w:eastAsia="ja-JP"/>
              </w:rPr>
              <w:t>H</w:t>
            </w:r>
            <w:r w:rsidRPr="006C5B65">
              <w:rPr>
                <w:lang w:eastAsia="ja-JP"/>
              </w:rPr>
              <w:t>, T2</w:t>
            </w:r>
            <w:r w:rsidRPr="006C5B65">
              <w:rPr>
                <w:rFonts w:hint="eastAsia"/>
                <w:lang w:eastAsia="ja-JP"/>
              </w:rPr>
              <w:t>H</w:t>
            </w:r>
            <w:r w:rsidRPr="006C5B65">
              <w:rPr>
                <w:lang w:eastAsia="ja-JP"/>
              </w:rPr>
              <w:t>, T4</w:t>
            </w:r>
            <w:r w:rsidRPr="006C5B65">
              <w:rPr>
                <w:rFonts w:hint="eastAsia"/>
                <w:lang w:eastAsia="ja-JP"/>
              </w:rPr>
              <w:t>H</w:t>
            </w:r>
            <w:r w:rsidR="00CB3B53" w:rsidRPr="006C5B65">
              <w:rPr>
                <w:lang w:eastAsia="ja-JP"/>
              </w:rPr>
              <w:t>,</w:t>
            </w:r>
            <w:r w:rsidRPr="006C5B65">
              <w:rPr>
                <w:lang w:eastAsia="ja-JP"/>
              </w:rPr>
              <w:t xml:space="preserve"> and T8</w:t>
            </w:r>
            <w:r w:rsidRPr="006C5B65">
              <w:rPr>
                <w:rFonts w:hint="eastAsia"/>
                <w:lang w:eastAsia="ja-JP"/>
              </w:rPr>
              <w:t>H</w:t>
            </w:r>
            <w:r w:rsidRPr="006C5B65">
              <w:rPr>
                <w:lang w:eastAsia="ja-JP"/>
              </w:rPr>
              <w:t xml:space="preserve">. </w:t>
            </w:r>
          </w:p>
        </w:tc>
      </w:tr>
      <w:tr w:rsidR="000C50F0" w:rsidRPr="00B61E6A" w14:paraId="6BA5572B" w14:textId="77777777" w:rsidTr="00E44B0A">
        <w:tc>
          <w:tcPr>
            <w:tcW w:w="9243" w:type="dxa"/>
          </w:tcPr>
          <w:p w14:paraId="339EBC2A" w14:textId="77777777" w:rsidR="009F6761" w:rsidRPr="00B61E6A" w:rsidRDefault="000C50F0" w:rsidP="00112F69">
            <w:pPr>
              <w:jc w:val="center"/>
              <w:rPr>
                <w:b/>
                <w:sz w:val="24"/>
                <w:lang w:eastAsia="ja-JP"/>
              </w:rPr>
            </w:pPr>
            <w:r>
              <w:lastRenderedPageBreak/>
              <w:br w:type="page"/>
            </w:r>
            <w:r w:rsidRPr="00F93591">
              <w:rPr>
                <w:b/>
                <w:sz w:val="24"/>
                <w:lang w:eastAsia="ja-JP"/>
              </w:rPr>
              <w:t xml:space="preserve">Figure </w:t>
            </w:r>
            <w:r w:rsidR="00DE72BF">
              <w:rPr>
                <w:rFonts w:hint="eastAsia"/>
                <w:b/>
                <w:sz w:val="24"/>
                <w:lang w:eastAsia="ja-JP"/>
              </w:rPr>
              <w:t>3</w:t>
            </w:r>
            <w:r w:rsidRPr="00F93591">
              <w:rPr>
                <w:b/>
                <w:sz w:val="24"/>
                <w:lang w:eastAsia="ja-JP"/>
              </w:rPr>
              <w:t xml:space="preserve">: </w:t>
            </w:r>
            <w:r>
              <w:rPr>
                <w:b/>
                <w:sz w:val="24"/>
                <w:lang w:eastAsia="ja-JP"/>
              </w:rPr>
              <w:t xml:space="preserve">Period-wise </w:t>
            </w:r>
            <w:r w:rsidR="00D71403">
              <w:rPr>
                <w:b/>
                <w:sz w:val="24"/>
                <w:lang w:eastAsia="ja-JP"/>
              </w:rPr>
              <w:t>A</w:t>
            </w:r>
            <w:r>
              <w:rPr>
                <w:b/>
                <w:sz w:val="24"/>
                <w:lang w:eastAsia="ja-JP"/>
              </w:rPr>
              <w:t xml:space="preserve">verage </w:t>
            </w:r>
            <w:r w:rsidR="00D71403">
              <w:rPr>
                <w:b/>
                <w:sz w:val="24"/>
                <w:lang w:eastAsia="ja-JP"/>
              </w:rPr>
              <w:t>T</w:t>
            </w:r>
            <w:r>
              <w:rPr>
                <w:b/>
                <w:sz w:val="24"/>
                <w:lang w:eastAsia="ja-JP"/>
              </w:rPr>
              <w:t xml:space="preserve">ransaction </w:t>
            </w:r>
            <w:r w:rsidR="00D71403">
              <w:rPr>
                <w:b/>
                <w:sz w:val="24"/>
                <w:lang w:eastAsia="ja-JP"/>
              </w:rPr>
              <w:t>P</w:t>
            </w:r>
            <w:r>
              <w:rPr>
                <w:b/>
                <w:sz w:val="24"/>
                <w:lang w:eastAsia="ja-JP"/>
              </w:rPr>
              <w:t>rices</w:t>
            </w:r>
            <w:r w:rsidRPr="00F93591">
              <w:rPr>
                <w:b/>
                <w:sz w:val="24"/>
                <w:lang w:eastAsia="ja-JP"/>
              </w:rPr>
              <w:t xml:space="preserve"> </w:t>
            </w:r>
            <w:r>
              <w:rPr>
                <w:b/>
                <w:sz w:val="24"/>
                <w:lang w:eastAsia="ja-JP"/>
              </w:rPr>
              <w:t xml:space="preserve">in </w:t>
            </w:r>
            <w:r w:rsidR="00D71403">
              <w:rPr>
                <w:b/>
                <w:sz w:val="24"/>
                <w:lang w:eastAsia="ja-JP"/>
              </w:rPr>
              <w:t>L</w:t>
            </w:r>
            <w:r w:rsidR="000076F9">
              <w:rPr>
                <w:rFonts w:hint="eastAsia"/>
                <w:b/>
                <w:sz w:val="24"/>
                <w:lang w:eastAsia="ja-JP"/>
              </w:rPr>
              <w:t xml:space="preserve">ow-liquidity </w:t>
            </w:r>
            <w:r w:rsidR="00D71403">
              <w:rPr>
                <w:b/>
                <w:sz w:val="24"/>
                <w:lang w:eastAsia="ja-JP"/>
              </w:rPr>
              <w:t>T</w:t>
            </w:r>
            <w:r w:rsidR="000076F9">
              <w:rPr>
                <w:rFonts w:hint="eastAsia"/>
                <w:b/>
                <w:sz w:val="24"/>
                <w:lang w:eastAsia="ja-JP"/>
              </w:rPr>
              <w:t>reatment</w:t>
            </w:r>
            <w:r w:rsidRPr="00F93591">
              <w:rPr>
                <w:b/>
                <w:sz w:val="24"/>
                <w:lang w:eastAsia="ja-JP"/>
              </w:rPr>
              <w:t>s.</w:t>
            </w:r>
          </w:p>
        </w:tc>
      </w:tr>
      <w:tr w:rsidR="000C50F0" w:rsidRPr="00B61E6A" w14:paraId="52B5B055" w14:textId="77777777" w:rsidTr="00E44B0A">
        <w:tc>
          <w:tcPr>
            <w:tcW w:w="9243" w:type="dxa"/>
          </w:tcPr>
          <w:p w14:paraId="410E0A80" w14:textId="77777777" w:rsidR="000C50F0" w:rsidRPr="00B61E6A" w:rsidRDefault="008B514D" w:rsidP="00F43DFC">
            <w:pPr>
              <w:rPr>
                <w:b/>
                <w:sz w:val="24"/>
                <w:lang w:eastAsia="ja-JP"/>
              </w:rPr>
            </w:pPr>
            <w:r>
              <w:rPr>
                <w:b/>
                <w:noProof/>
                <w:sz w:val="24"/>
                <w:lang w:val="de-DE" w:eastAsia="de-DE"/>
              </w:rPr>
              <w:drawing>
                <wp:inline distT="0" distB="0" distL="0" distR="0" wp14:anchorId="6E6FB88E" wp14:editId="4F081E37">
                  <wp:extent cx="5727940" cy="8040953"/>
                  <wp:effectExtent l="0" t="0" r="0" b="0"/>
                  <wp:docPr id="4" name="Grafik 4" descr="H:\2_Forschung\2014_Hirota Sunder\stata\contracts\graph\TL_fv_ampreis_combinded_x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_Forschung\2014_Hirota Sunder\stata\contracts\graph\TL_fv_ampreis_combinded_xlin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959" cy="8040980"/>
                          </a:xfrm>
                          <a:prstGeom prst="rect">
                            <a:avLst/>
                          </a:prstGeom>
                          <a:noFill/>
                          <a:ln>
                            <a:noFill/>
                          </a:ln>
                        </pic:spPr>
                      </pic:pic>
                    </a:graphicData>
                  </a:graphic>
                </wp:inline>
              </w:drawing>
            </w:r>
          </w:p>
        </w:tc>
      </w:tr>
      <w:tr w:rsidR="00CB3B53" w14:paraId="25239D70" w14:textId="77777777" w:rsidTr="00E44B0A">
        <w:tc>
          <w:tcPr>
            <w:tcW w:w="9243" w:type="dxa"/>
          </w:tcPr>
          <w:p w14:paraId="1F3A92EF" w14:textId="2A39AF89" w:rsidR="00CB3B53" w:rsidRPr="006C5B65" w:rsidRDefault="00CB3B53" w:rsidP="0052719A">
            <w:pPr>
              <w:jc w:val="both"/>
              <w:rPr>
                <w:lang w:eastAsia="ja-JP"/>
              </w:rPr>
            </w:pPr>
            <w:r w:rsidRPr="006C5B65">
              <w:rPr>
                <w:lang w:eastAsia="ja-JP"/>
              </w:rPr>
              <w:t xml:space="preserve">Notes: </w:t>
            </w:r>
            <w:r w:rsidR="00E63420" w:rsidRPr="006C5B65">
              <w:rPr>
                <w:rFonts w:hint="eastAsia"/>
                <w:lang w:eastAsia="ja-JP"/>
              </w:rPr>
              <w:t>V</w:t>
            </w:r>
            <w:r w:rsidR="00E63420" w:rsidRPr="006C5B65">
              <w:rPr>
                <w:lang w:eastAsia="ja-JP"/>
              </w:rPr>
              <w:t>olume-weighted mean prices from six individual sessions (grey lines)</w:t>
            </w:r>
            <w:r w:rsidR="00E63420">
              <w:rPr>
                <w:lang w:eastAsia="ja-JP"/>
              </w:rPr>
              <w:t>, mean prices across the six ind</w:t>
            </w:r>
            <w:r w:rsidR="00E63420">
              <w:rPr>
                <w:lang w:eastAsia="ja-JP"/>
              </w:rPr>
              <w:t>i</w:t>
            </w:r>
            <w:r w:rsidR="00E63420">
              <w:rPr>
                <w:lang w:eastAsia="ja-JP"/>
              </w:rPr>
              <w:t xml:space="preserve">vidual sessions (blue bold line with hollow circles) and </w:t>
            </w:r>
            <w:r w:rsidR="00E63420" w:rsidRPr="006C5B65">
              <w:rPr>
                <w:lang w:eastAsia="ja-JP"/>
              </w:rPr>
              <w:t>Fundamental Value (</w:t>
            </w:r>
            <w:r w:rsidR="00E63420" w:rsidRPr="006C5B65">
              <w:rPr>
                <w:rFonts w:hint="eastAsia"/>
                <w:lang w:eastAsia="ja-JP"/>
              </w:rPr>
              <w:t xml:space="preserve">red </w:t>
            </w:r>
            <w:r w:rsidR="00E63420" w:rsidRPr="006C5B65">
              <w:rPr>
                <w:lang w:eastAsia="ja-JP"/>
              </w:rPr>
              <w:t>bold straight line)</w:t>
            </w:r>
            <w:r w:rsidR="00E63420" w:rsidRPr="006C5B65">
              <w:rPr>
                <w:rFonts w:hint="eastAsia"/>
                <w:lang w:eastAsia="ja-JP"/>
              </w:rPr>
              <w:t xml:space="preserve"> </w:t>
            </w:r>
            <w:r w:rsidR="00E63420" w:rsidRPr="006C5B65">
              <w:rPr>
                <w:lang w:eastAsia="ja-JP"/>
              </w:rPr>
              <w:t>by period on vertical axis</w:t>
            </w:r>
            <w:r w:rsidR="00E63420">
              <w:rPr>
                <w:lang w:eastAsia="ja-JP"/>
              </w:rPr>
              <w:t>.</w:t>
            </w:r>
            <w:r w:rsidRPr="006C5B65">
              <w:t xml:space="preserve"> </w:t>
            </w:r>
            <w:r w:rsidR="00E44B0A" w:rsidRPr="00E44B0A">
              <w:rPr>
                <w:lang w:eastAsia="ja-JP"/>
              </w:rPr>
              <w:t>Broken vertical</w:t>
            </w:r>
            <w:r w:rsidR="00E44B0A" w:rsidRPr="00E44B0A">
              <w:rPr>
                <w:rFonts w:hint="eastAsia"/>
                <w:lang w:eastAsia="ja-JP"/>
              </w:rPr>
              <w:t xml:space="preserve"> </w:t>
            </w:r>
            <w:r w:rsidR="00E44B0A" w:rsidRPr="00E44B0A">
              <w:rPr>
                <w:lang w:eastAsia="ja-JP"/>
              </w:rPr>
              <w:t>lines mark the entry/exit points of overlapping generations of investors.</w:t>
            </w:r>
            <w:r w:rsidR="00E44B0A" w:rsidRPr="006C5B65">
              <w:rPr>
                <w:lang w:eastAsia="ja-JP"/>
              </w:rPr>
              <w:t xml:space="preserve"> </w:t>
            </w:r>
            <w:r w:rsidRPr="006C5B65">
              <w:t xml:space="preserve">Each panel is identified by treatment: </w:t>
            </w:r>
            <w:r w:rsidRPr="006C5B65">
              <w:rPr>
                <w:lang w:eastAsia="ja-JP"/>
              </w:rPr>
              <w:t xml:space="preserve">T1L, T2L, T4L, and T8L. </w:t>
            </w:r>
          </w:p>
        </w:tc>
      </w:tr>
      <w:tr w:rsidR="00112F69" w14:paraId="23A66740" w14:textId="77777777" w:rsidTr="00E44B0A">
        <w:tc>
          <w:tcPr>
            <w:tcW w:w="9242" w:type="dxa"/>
          </w:tcPr>
          <w:p w14:paraId="6ED0AE3E" w14:textId="6DFE843D" w:rsidR="00494862" w:rsidRDefault="00112F69" w:rsidP="007B2FEF">
            <w:pPr>
              <w:spacing w:afterLines="50" w:after="120"/>
              <w:ind w:rightChars="331" w:right="662"/>
              <w:jc w:val="center"/>
              <w:rPr>
                <w:b/>
                <w:sz w:val="24"/>
                <w:lang w:eastAsia="ja-JP"/>
              </w:rPr>
            </w:pPr>
            <w:r w:rsidRPr="00112F69">
              <w:rPr>
                <w:b/>
                <w:sz w:val="24"/>
              </w:rPr>
              <w:lastRenderedPageBreak/>
              <w:t xml:space="preserve">Figure 4: Average </w:t>
            </w:r>
            <w:r w:rsidRPr="00996C78">
              <w:rPr>
                <w:b/>
                <w:i/>
                <w:sz w:val="24"/>
              </w:rPr>
              <w:t>Period-RAD</w:t>
            </w:r>
            <w:r w:rsidRPr="00112F69">
              <w:rPr>
                <w:b/>
                <w:sz w:val="24"/>
              </w:rPr>
              <w:t xml:space="preserve"> for each period number: Comparison between the markets with </w:t>
            </w:r>
            <w:r w:rsidR="008C73A8">
              <w:rPr>
                <w:rFonts w:hint="eastAsia"/>
                <w:b/>
                <w:sz w:val="24"/>
                <w:lang w:eastAsia="ja-JP"/>
              </w:rPr>
              <w:t>dividend-collecting</w:t>
            </w:r>
            <w:r w:rsidRPr="00112F69">
              <w:rPr>
                <w:b/>
                <w:sz w:val="24"/>
              </w:rPr>
              <w:t xml:space="preserve"> </w:t>
            </w:r>
            <w:r w:rsidR="00440147">
              <w:rPr>
                <w:rFonts w:hint="eastAsia"/>
                <w:b/>
                <w:sz w:val="24"/>
                <w:lang w:eastAsia="ja-JP"/>
              </w:rPr>
              <w:t>investor</w:t>
            </w:r>
            <w:r w:rsidR="00EE567D">
              <w:rPr>
                <w:rFonts w:hint="eastAsia"/>
                <w:b/>
                <w:sz w:val="24"/>
                <w:lang w:eastAsia="ja-JP"/>
              </w:rPr>
              <w:t>s</w:t>
            </w:r>
            <w:r w:rsidRPr="00112F69">
              <w:rPr>
                <w:b/>
                <w:sz w:val="24"/>
              </w:rPr>
              <w:t xml:space="preserve"> and those with only </w:t>
            </w:r>
            <w:r w:rsidR="00BE566D">
              <w:rPr>
                <w:rFonts w:hint="eastAsia"/>
                <w:b/>
                <w:sz w:val="24"/>
                <w:lang w:eastAsia="ja-JP"/>
              </w:rPr>
              <w:t>speculating</w:t>
            </w:r>
            <w:r w:rsidRPr="00112F69">
              <w:rPr>
                <w:b/>
                <w:sz w:val="24"/>
              </w:rPr>
              <w:t xml:space="preserve"> </w:t>
            </w:r>
            <w:r w:rsidR="00440147">
              <w:rPr>
                <w:rFonts w:hint="eastAsia"/>
                <w:b/>
                <w:sz w:val="24"/>
                <w:lang w:eastAsia="ja-JP"/>
              </w:rPr>
              <w:t>inve</w:t>
            </w:r>
            <w:r w:rsidR="00440147">
              <w:rPr>
                <w:rFonts w:hint="eastAsia"/>
                <w:b/>
                <w:sz w:val="24"/>
                <w:lang w:eastAsia="ja-JP"/>
              </w:rPr>
              <w:t>s</w:t>
            </w:r>
            <w:r w:rsidR="00440147">
              <w:rPr>
                <w:rFonts w:hint="eastAsia"/>
                <w:b/>
                <w:sz w:val="24"/>
                <w:lang w:eastAsia="ja-JP"/>
              </w:rPr>
              <w:t>tor</w:t>
            </w:r>
            <w:r w:rsidR="00EE567D">
              <w:rPr>
                <w:rFonts w:hint="eastAsia"/>
                <w:b/>
                <w:sz w:val="24"/>
                <w:lang w:eastAsia="ja-JP"/>
              </w:rPr>
              <w:t>s</w:t>
            </w:r>
            <w:r>
              <w:rPr>
                <w:b/>
                <w:sz w:val="24"/>
              </w:rPr>
              <w:t>.</w:t>
            </w:r>
          </w:p>
          <w:p w14:paraId="56B97410" w14:textId="77777777" w:rsidR="00112F69" w:rsidRDefault="00112F69" w:rsidP="007B2FEF">
            <w:pPr>
              <w:spacing w:afterLines="50" w:after="120"/>
              <w:ind w:rightChars="331" w:right="662"/>
              <w:jc w:val="center"/>
              <w:rPr>
                <w:b/>
                <w:sz w:val="24"/>
              </w:rPr>
            </w:pPr>
            <w:r>
              <w:rPr>
                <w:b/>
                <w:sz w:val="24"/>
              </w:rPr>
              <w:t xml:space="preserve"> </w:t>
            </w:r>
          </w:p>
        </w:tc>
      </w:tr>
      <w:tr w:rsidR="00112F69" w14:paraId="74D7F0BE" w14:textId="77777777" w:rsidTr="00E44B0A">
        <w:tc>
          <w:tcPr>
            <w:tcW w:w="9242" w:type="dxa"/>
          </w:tcPr>
          <w:p w14:paraId="41D3C922" w14:textId="77777777" w:rsidR="00112F69" w:rsidRDefault="00F84389" w:rsidP="00112F69">
            <w:pPr>
              <w:ind w:rightChars="331" w:right="662"/>
              <w:jc w:val="both"/>
              <w:rPr>
                <w:b/>
                <w:sz w:val="24"/>
              </w:rPr>
            </w:pPr>
            <w:r>
              <w:rPr>
                <w:b/>
                <w:noProof/>
                <w:sz w:val="24"/>
                <w:lang w:val="de-DE" w:eastAsia="de-DE"/>
              </w:rPr>
              <w:drawing>
                <wp:inline distT="0" distB="0" distL="0" distR="0" wp14:anchorId="057BFCED" wp14:editId="00A2B484">
                  <wp:extent cx="5880789" cy="4280762"/>
                  <wp:effectExtent l="0" t="0" r="0" b="0"/>
                  <wp:docPr id="12" name="Grafik 12" descr="H:\2_Forschung\2014_Hirota Sunder\stata\graphs_paper\RAD_High_Low_Peri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2_Forschung\2014_Hirota Sunder\stata\graphs_paper\RAD_High_Low_Perio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4815" cy="4283693"/>
                          </a:xfrm>
                          <a:prstGeom prst="rect">
                            <a:avLst/>
                          </a:prstGeom>
                          <a:noFill/>
                          <a:ln>
                            <a:noFill/>
                          </a:ln>
                        </pic:spPr>
                      </pic:pic>
                    </a:graphicData>
                  </a:graphic>
                </wp:inline>
              </w:drawing>
            </w:r>
          </w:p>
        </w:tc>
      </w:tr>
      <w:tr w:rsidR="00112F69" w14:paraId="5BCC3CC0" w14:textId="77777777" w:rsidTr="00E44B0A">
        <w:tc>
          <w:tcPr>
            <w:tcW w:w="9242" w:type="dxa"/>
          </w:tcPr>
          <w:p w14:paraId="1B3BAF99" w14:textId="77777777" w:rsidR="00112F69" w:rsidRPr="00112F69" w:rsidRDefault="00112F69" w:rsidP="00BE566D">
            <w:pPr>
              <w:jc w:val="both"/>
            </w:pPr>
            <w:r w:rsidRPr="00112F69">
              <w:t xml:space="preserve">Notes: </w:t>
            </w:r>
            <w:r>
              <w:t>In p</w:t>
            </w:r>
            <w:r w:rsidRPr="00112F69">
              <w:t xml:space="preserve">eriods 15 and 16 </w:t>
            </w:r>
            <w:r w:rsidR="008C73A8">
              <w:rPr>
                <w:rFonts w:hint="eastAsia"/>
                <w:lang w:eastAsia="ja-JP"/>
              </w:rPr>
              <w:t>dividend-collecting</w:t>
            </w:r>
            <w:r w:rsidRPr="00112F69">
              <w:t xml:space="preserve"> </w:t>
            </w:r>
            <w:r w:rsidR="00440147">
              <w:rPr>
                <w:rFonts w:hint="eastAsia"/>
                <w:lang w:eastAsia="ja-JP"/>
              </w:rPr>
              <w:t>investor</w:t>
            </w:r>
            <w:r w:rsidR="00494862">
              <w:rPr>
                <w:rFonts w:hint="eastAsia"/>
                <w:lang w:eastAsia="ja-JP"/>
              </w:rPr>
              <w:t>s</w:t>
            </w:r>
            <w:r w:rsidRPr="00112F69">
              <w:t xml:space="preserve"> </w:t>
            </w:r>
            <w:r>
              <w:t xml:space="preserve">are present in </w:t>
            </w:r>
            <w:r w:rsidRPr="00112F69">
              <w:t>all treatments (see, Table 3). Therefore only b</w:t>
            </w:r>
            <w:r w:rsidR="00D679DB">
              <w:rPr>
                <w:rFonts w:hint="eastAsia"/>
                <w:lang w:eastAsia="ja-JP"/>
              </w:rPr>
              <w:t>lack</w:t>
            </w:r>
            <w:r w:rsidRPr="00112F69">
              <w:t xml:space="preserve"> bars are shown for these two periods.</w:t>
            </w:r>
          </w:p>
        </w:tc>
      </w:tr>
    </w:tbl>
    <w:p w14:paraId="4543661F" w14:textId="77777777" w:rsidR="00112F69" w:rsidRDefault="00112F69" w:rsidP="00112F69">
      <w:pPr>
        <w:ind w:left="1" w:rightChars="331" w:right="662"/>
        <w:jc w:val="both"/>
        <w:rPr>
          <w:b/>
          <w:sz w:val="24"/>
        </w:rPr>
      </w:pPr>
    </w:p>
    <w:p w14:paraId="2D3E6EC0" w14:textId="77777777" w:rsidR="00494862" w:rsidRPr="00D679DB" w:rsidRDefault="00494862" w:rsidP="00C07324">
      <w:pPr>
        <w:rPr>
          <w:sz w:val="24"/>
          <w:lang w:eastAsia="ja-JP"/>
        </w:rPr>
      </w:pPr>
    </w:p>
    <w:p w14:paraId="4F2B7C0A" w14:textId="77777777" w:rsidR="00C60E65" w:rsidRDefault="00C60E65">
      <w:pPr>
        <w:rPr>
          <w:sz w:val="24"/>
          <w:lang w:eastAsia="ja-JP"/>
        </w:rPr>
      </w:pPr>
      <w:r>
        <w:rPr>
          <w:sz w:val="24"/>
          <w:lang w:eastAsia="ja-JP"/>
        </w:rPr>
        <w:br w:type="page"/>
      </w:r>
    </w:p>
    <w:tbl>
      <w:tblPr>
        <w:tblStyle w:val="Tabellenraster"/>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12F69" w14:paraId="575B6EB7" w14:textId="77777777" w:rsidTr="00112F69">
        <w:tc>
          <w:tcPr>
            <w:tcW w:w="9243" w:type="dxa"/>
          </w:tcPr>
          <w:p w14:paraId="52425FA0" w14:textId="77777777" w:rsidR="00112F69" w:rsidRDefault="00112F69" w:rsidP="00A3413C">
            <w:pPr>
              <w:ind w:rightChars="-22" w:right="-44"/>
              <w:jc w:val="center"/>
              <w:rPr>
                <w:b/>
                <w:sz w:val="24"/>
              </w:rPr>
            </w:pPr>
            <w:r w:rsidRPr="00112F69">
              <w:rPr>
                <w:b/>
                <w:sz w:val="24"/>
              </w:rPr>
              <w:lastRenderedPageBreak/>
              <w:t xml:space="preserve">Figure </w:t>
            </w:r>
            <w:r>
              <w:rPr>
                <w:b/>
                <w:sz w:val="24"/>
              </w:rPr>
              <w:t>5</w:t>
            </w:r>
            <w:r w:rsidRPr="00112F69">
              <w:rPr>
                <w:b/>
                <w:sz w:val="24"/>
              </w:rPr>
              <w:t>:</w:t>
            </w:r>
            <w:r>
              <w:rPr>
                <w:b/>
                <w:sz w:val="24"/>
              </w:rPr>
              <w:t xml:space="preserve"> </w:t>
            </w:r>
            <w:r w:rsidR="00DB0857" w:rsidRPr="00B50818">
              <w:rPr>
                <w:b/>
                <w:sz w:val="24"/>
                <w:lang w:eastAsia="ja-JP"/>
              </w:rPr>
              <w:t xml:space="preserve">Average </w:t>
            </w:r>
            <w:r w:rsidR="00DB0857" w:rsidRPr="00996C78">
              <w:rPr>
                <w:b/>
                <w:i/>
                <w:sz w:val="24"/>
                <w:lang w:eastAsia="ja-JP"/>
              </w:rPr>
              <w:t>Period-RAD</w:t>
            </w:r>
            <w:r w:rsidR="00DB0857" w:rsidRPr="00B50818">
              <w:rPr>
                <w:b/>
                <w:sz w:val="24"/>
                <w:lang w:eastAsia="ja-JP"/>
              </w:rPr>
              <w:t xml:space="preserve"> </w:t>
            </w:r>
            <w:r w:rsidR="00D71403">
              <w:rPr>
                <w:b/>
                <w:sz w:val="24"/>
                <w:lang w:eastAsia="ja-JP"/>
              </w:rPr>
              <w:t>C</w:t>
            </w:r>
            <w:r w:rsidR="00DB0857" w:rsidRPr="00B50818">
              <w:rPr>
                <w:b/>
                <w:sz w:val="24"/>
                <w:lang w:eastAsia="ja-JP"/>
              </w:rPr>
              <w:t xml:space="preserve">onditional on the </w:t>
            </w:r>
            <w:r w:rsidR="00D71403">
              <w:rPr>
                <w:b/>
                <w:sz w:val="24"/>
                <w:lang w:eastAsia="ja-JP"/>
              </w:rPr>
              <w:t>N</w:t>
            </w:r>
            <w:r w:rsidR="00DB0857" w:rsidRPr="00B50818">
              <w:rPr>
                <w:b/>
                <w:sz w:val="24"/>
                <w:lang w:eastAsia="ja-JP"/>
              </w:rPr>
              <w:t xml:space="preserve">umber of </w:t>
            </w:r>
            <w:r w:rsidR="00091218">
              <w:rPr>
                <w:b/>
                <w:sz w:val="24"/>
                <w:lang w:eastAsia="ja-JP"/>
              </w:rPr>
              <w:t xml:space="preserve">Future </w:t>
            </w:r>
            <w:r w:rsidR="00D71403">
              <w:rPr>
                <w:b/>
                <w:sz w:val="24"/>
                <w:lang w:eastAsia="ja-JP"/>
              </w:rPr>
              <w:t>E</w:t>
            </w:r>
            <w:r w:rsidR="00DB0857" w:rsidRPr="00B50818">
              <w:rPr>
                <w:b/>
                <w:sz w:val="24"/>
                <w:lang w:eastAsia="ja-JP"/>
              </w:rPr>
              <w:t xml:space="preserve">ntering </w:t>
            </w:r>
            <w:r w:rsidR="00D71403">
              <w:rPr>
                <w:b/>
                <w:sz w:val="24"/>
                <w:lang w:eastAsia="ja-JP"/>
              </w:rPr>
              <w:t>G</w:t>
            </w:r>
            <w:r w:rsidR="00DB0857" w:rsidRPr="00B50818">
              <w:rPr>
                <w:b/>
                <w:sz w:val="24"/>
                <w:lang w:eastAsia="ja-JP"/>
              </w:rPr>
              <w:t>ener</w:t>
            </w:r>
            <w:r w:rsidR="00DB0857" w:rsidRPr="00B50818">
              <w:rPr>
                <w:b/>
                <w:sz w:val="24"/>
                <w:lang w:eastAsia="ja-JP"/>
              </w:rPr>
              <w:t>a</w:t>
            </w:r>
            <w:r w:rsidR="00DB0857" w:rsidRPr="00B50818">
              <w:rPr>
                <w:b/>
                <w:sz w:val="24"/>
                <w:lang w:eastAsia="ja-JP"/>
              </w:rPr>
              <w:t xml:space="preserve">tions </w:t>
            </w:r>
          </w:p>
        </w:tc>
      </w:tr>
      <w:tr w:rsidR="00112F69" w14:paraId="1E3A4F26" w14:textId="77777777" w:rsidTr="00112F69">
        <w:tc>
          <w:tcPr>
            <w:tcW w:w="9243" w:type="dxa"/>
          </w:tcPr>
          <w:p w14:paraId="69B34A67" w14:textId="77777777" w:rsidR="00112F69" w:rsidRDefault="00F84389" w:rsidP="00112F69">
            <w:pPr>
              <w:ind w:rightChars="331" w:right="662"/>
              <w:jc w:val="both"/>
              <w:rPr>
                <w:b/>
                <w:sz w:val="24"/>
              </w:rPr>
            </w:pPr>
            <w:r>
              <w:rPr>
                <w:b/>
                <w:noProof/>
                <w:sz w:val="24"/>
                <w:lang w:val="de-DE" w:eastAsia="de-DE"/>
              </w:rPr>
              <w:drawing>
                <wp:inline distT="0" distB="0" distL="0" distR="0" wp14:anchorId="7CF3EA11" wp14:editId="34677E45">
                  <wp:extent cx="5904000" cy="4298400"/>
                  <wp:effectExtent l="0" t="0" r="0" b="0"/>
                  <wp:docPr id="13" name="Grafik 13" descr="H:\2_Forschung\2014_Hirota Sunder\stata\graphs_paper\RAD_High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_Forschung\2014_Hirota Sunder\stata\graphs_paper\RAD_High_Lo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4000" cy="4298400"/>
                          </a:xfrm>
                          <a:prstGeom prst="rect">
                            <a:avLst/>
                          </a:prstGeom>
                          <a:noFill/>
                          <a:ln>
                            <a:noFill/>
                          </a:ln>
                        </pic:spPr>
                      </pic:pic>
                    </a:graphicData>
                  </a:graphic>
                </wp:inline>
              </w:drawing>
            </w:r>
          </w:p>
        </w:tc>
      </w:tr>
      <w:tr w:rsidR="00112F69" w14:paraId="696E5F52" w14:textId="77777777" w:rsidTr="00112F69">
        <w:tc>
          <w:tcPr>
            <w:tcW w:w="9243" w:type="dxa"/>
          </w:tcPr>
          <w:p w14:paraId="3DFB36B4" w14:textId="77777777" w:rsidR="00112F69" w:rsidRPr="00112F69" w:rsidRDefault="00DB0857" w:rsidP="00BE566D">
            <w:pPr>
              <w:ind w:rightChars="-22" w:right="-44"/>
              <w:jc w:val="both"/>
            </w:pPr>
            <w:r w:rsidRPr="00DB0857">
              <w:t xml:space="preserve">Notes: Grey shaded bars represent values based on periods where only </w:t>
            </w:r>
            <w:r w:rsidR="00BE566D">
              <w:rPr>
                <w:rFonts w:hint="eastAsia"/>
                <w:lang w:eastAsia="ja-JP"/>
              </w:rPr>
              <w:t>speculating</w:t>
            </w:r>
            <w:r w:rsidRPr="00DB0857">
              <w:t xml:space="preserve"> </w:t>
            </w:r>
            <w:r w:rsidR="00440147">
              <w:rPr>
                <w:rFonts w:hint="eastAsia"/>
                <w:lang w:eastAsia="ja-JP"/>
              </w:rPr>
              <w:t>investor</w:t>
            </w:r>
            <w:r w:rsidR="00A73DAE">
              <w:rPr>
                <w:rFonts w:hint="eastAsia"/>
                <w:lang w:eastAsia="ja-JP"/>
              </w:rPr>
              <w:t>s</w:t>
            </w:r>
            <w:r w:rsidRPr="00DB0857">
              <w:t xml:space="preserve"> were present. The black bold line represents periods where </w:t>
            </w:r>
            <w:r w:rsidR="008C73A8">
              <w:rPr>
                <w:rFonts w:hint="eastAsia"/>
                <w:lang w:eastAsia="ja-JP"/>
              </w:rPr>
              <w:t>dividend-collecting</w:t>
            </w:r>
            <w:r w:rsidRPr="00DB0857">
              <w:t xml:space="preserve"> </w:t>
            </w:r>
            <w:r w:rsidR="00440147">
              <w:rPr>
                <w:rFonts w:hint="eastAsia"/>
                <w:lang w:eastAsia="ja-JP"/>
              </w:rPr>
              <w:t>investor</w:t>
            </w:r>
            <w:r w:rsidR="00A73DAE">
              <w:rPr>
                <w:rFonts w:hint="eastAsia"/>
                <w:lang w:eastAsia="ja-JP"/>
              </w:rPr>
              <w:t>s</w:t>
            </w:r>
            <w:r w:rsidRPr="00DB0857">
              <w:t xml:space="preserve"> were present.</w:t>
            </w:r>
            <w:r>
              <w:t xml:space="preserve"> </w:t>
            </w:r>
            <w:r w:rsidRPr="00DB0857">
              <w:t>***, **, or * indi</w:t>
            </w:r>
            <w:r>
              <w:t>cates that the average Period-RA</w:t>
            </w:r>
            <w:r w:rsidRPr="00DB0857">
              <w:t xml:space="preserve">D </w:t>
            </w:r>
            <w:r>
              <w:t xml:space="preserve">across periods where only </w:t>
            </w:r>
            <w:r w:rsidR="00BE566D">
              <w:rPr>
                <w:rFonts w:hint="eastAsia"/>
                <w:lang w:eastAsia="ja-JP"/>
              </w:rPr>
              <w:t>speculating</w:t>
            </w:r>
            <w:r>
              <w:t xml:space="preserve"> </w:t>
            </w:r>
            <w:r w:rsidR="00440147">
              <w:rPr>
                <w:rFonts w:hint="eastAsia"/>
                <w:lang w:eastAsia="ja-JP"/>
              </w:rPr>
              <w:t>investor</w:t>
            </w:r>
            <w:r w:rsidR="00A73DAE">
              <w:rPr>
                <w:rFonts w:hint="eastAsia"/>
                <w:lang w:eastAsia="ja-JP"/>
              </w:rPr>
              <w:t>s</w:t>
            </w:r>
            <w:r>
              <w:t xml:space="preserve"> were present </w:t>
            </w:r>
            <w:r w:rsidRPr="00DB0857">
              <w:t>is significantly different at 1%, 5%, or 10% level, respectively, from the average Period-R</w:t>
            </w:r>
            <w:r>
              <w:t>A</w:t>
            </w:r>
            <w:r w:rsidRPr="00DB0857">
              <w:t xml:space="preserve">D across periods with </w:t>
            </w:r>
            <w:r w:rsidR="008C73A8">
              <w:rPr>
                <w:rFonts w:hint="eastAsia"/>
                <w:lang w:eastAsia="ja-JP"/>
              </w:rPr>
              <w:t>dividend-collecting</w:t>
            </w:r>
            <w:r w:rsidRPr="00DB0857">
              <w:t xml:space="preserve"> </w:t>
            </w:r>
            <w:r w:rsidR="00440147">
              <w:rPr>
                <w:rFonts w:hint="eastAsia"/>
                <w:lang w:eastAsia="ja-JP"/>
              </w:rPr>
              <w:t>investor</w:t>
            </w:r>
            <w:r w:rsidR="00A73DAE">
              <w:rPr>
                <w:rFonts w:hint="eastAsia"/>
                <w:lang w:eastAsia="ja-JP"/>
              </w:rPr>
              <w:t>s</w:t>
            </w:r>
            <w:r w:rsidRPr="00DB0857">
              <w:t xml:space="preserve"> (two-sided t-test).</w:t>
            </w:r>
          </w:p>
        </w:tc>
      </w:tr>
    </w:tbl>
    <w:p w14:paraId="4A4BB504" w14:textId="77777777" w:rsidR="00C60E65" w:rsidRDefault="00C60E65" w:rsidP="00C07324">
      <w:pPr>
        <w:rPr>
          <w:sz w:val="24"/>
          <w:lang w:eastAsia="ja-JP"/>
        </w:rPr>
      </w:pPr>
    </w:p>
    <w:p w14:paraId="556C2754" w14:textId="77777777" w:rsidR="00A73DAE" w:rsidRDefault="00A73DAE" w:rsidP="00C07324">
      <w:pPr>
        <w:rPr>
          <w:sz w:val="24"/>
          <w:lang w:eastAsia="ja-JP"/>
        </w:rPr>
      </w:pPr>
    </w:p>
    <w:p w14:paraId="312DA94B" w14:textId="77777777" w:rsidR="00112F69" w:rsidRDefault="00112F69">
      <w:pPr>
        <w:rPr>
          <w:sz w:val="24"/>
          <w:lang w:eastAsia="ja-JP"/>
        </w:rPr>
      </w:pPr>
      <w:r>
        <w:rPr>
          <w:sz w:val="24"/>
          <w:lang w:eastAsia="ja-JP"/>
        </w:rPr>
        <w:br w:type="page"/>
      </w:r>
    </w:p>
    <w:tbl>
      <w:tblPr>
        <w:tblStyle w:val="Tabellenraster"/>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12F69" w14:paraId="6D63A5FC" w14:textId="77777777" w:rsidTr="00A73DAE">
        <w:tc>
          <w:tcPr>
            <w:tcW w:w="9242" w:type="dxa"/>
          </w:tcPr>
          <w:p w14:paraId="3FC46BAD" w14:textId="77777777" w:rsidR="00112F69" w:rsidRDefault="00112F69" w:rsidP="00A3413C">
            <w:pPr>
              <w:jc w:val="center"/>
              <w:rPr>
                <w:b/>
                <w:sz w:val="24"/>
                <w:lang w:eastAsia="ja-JP"/>
              </w:rPr>
            </w:pPr>
            <w:r w:rsidRPr="00B50818">
              <w:rPr>
                <w:b/>
                <w:sz w:val="24"/>
              </w:rPr>
              <w:lastRenderedPageBreak/>
              <w:t>Figure 6:</w:t>
            </w:r>
            <w:r w:rsidR="00B50818" w:rsidRPr="00B50818">
              <w:rPr>
                <w:b/>
                <w:sz w:val="24"/>
                <w:lang w:eastAsia="ja-JP"/>
              </w:rPr>
              <w:t xml:space="preserve"> Average </w:t>
            </w:r>
            <w:r w:rsidR="00B50818" w:rsidRPr="00996C78">
              <w:rPr>
                <w:b/>
                <w:i/>
                <w:sz w:val="24"/>
                <w:lang w:eastAsia="ja-JP"/>
              </w:rPr>
              <w:t>Period-RD</w:t>
            </w:r>
            <w:r w:rsidR="00B50818" w:rsidRPr="00B50818">
              <w:rPr>
                <w:b/>
                <w:sz w:val="24"/>
                <w:lang w:eastAsia="ja-JP"/>
              </w:rPr>
              <w:t xml:space="preserve"> </w:t>
            </w:r>
            <w:r w:rsidR="00D71403">
              <w:rPr>
                <w:b/>
                <w:sz w:val="24"/>
                <w:lang w:eastAsia="ja-JP"/>
              </w:rPr>
              <w:t>C</w:t>
            </w:r>
            <w:r w:rsidR="00B50818" w:rsidRPr="00B50818">
              <w:rPr>
                <w:b/>
                <w:sz w:val="24"/>
                <w:lang w:eastAsia="ja-JP"/>
              </w:rPr>
              <w:t xml:space="preserve">onditional on the </w:t>
            </w:r>
            <w:r w:rsidR="00D71403">
              <w:rPr>
                <w:b/>
                <w:sz w:val="24"/>
                <w:lang w:eastAsia="ja-JP"/>
              </w:rPr>
              <w:t>N</w:t>
            </w:r>
            <w:r w:rsidR="00B50818" w:rsidRPr="00B50818">
              <w:rPr>
                <w:b/>
                <w:sz w:val="24"/>
                <w:lang w:eastAsia="ja-JP"/>
              </w:rPr>
              <w:t xml:space="preserve">umber of </w:t>
            </w:r>
            <w:r w:rsidR="00D71403">
              <w:rPr>
                <w:b/>
                <w:sz w:val="24"/>
                <w:lang w:eastAsia="ja-JP"/>
              </w:rPr>
              <w:t>E</w:t>
            </w:r>
            <w:r w:rsidR="00B50818" w:rsidRPr="00B50818">
              <w:rPr>
                <w:b/>
                <w:sz w:val="24"/>
                <w:lang w:eastAsia="ja-JP"/>
              </w:rPr>
              <w:t xml:space="preserve">ntering </w:t>
            </w:r>
            <w:r w:rsidR="00D71403">
              <w:rPr>
                <w:b/>
                <w:sz w:val="24"/>
                <w:lang w:eastAsia="ja-JP"/>
              </w:rPr>
              <w:t>G</w:t>
            </w:r>
            <w:r w:rsidR="00B50818" w:rsidRPr="00B50818">
              <w:rPr>
                <w:b/>
                <w:sz w:val="24"/>
                <w:lang w:eastAsia="ja-JP"/>
              </w:rPr>
              <w:t xml:space="preserve">enerations </w:t>
            </w:r>
          </w:p>
        </w:tc>
      </w:tr>
      <w:tr w:rsidR="00112F69" w14:paraId="11CE3BC7" w14:textId="77777777" w:rsidTr="00A73DAE">
        <w:tc>
          <w:tcPr>
            <w:tcW w:w="9242" w:type="dxa"/>
          </w:tcPr>
          <w:p w14:paraId="22E3A218" w14:textId="77777777" w:rsidR="00112F69" w:rsidRDefault="00F84389" w:rsidP="00112F69">
            <w:pPr>
              <w:ind w:rightChars="331" w:right="662"/>
              <w:jc w:val="both"/>
              <w:rPr>
                <w:b/>
                <w:sz w:val="24"/>
              </w:rPr>
            </w:pPr>
            <w:r>
              <w:rPr>
                <w:b/>
                <w:noProof/>
                <w:sz w:val="24"/>
                <w:lang w:val="de-DE" w:eastAsia="de-DE"/>
              </w:rPr>
              <w:drawing>
                <wp:inline distT="0" distB="0" distL="0" distR="0" wp14:anchorId="0163F842" wp14:editId="7337B19F">
                  <wp:extent cx="5904000" cy="4298400"/>
                  <wp:effectExtent l="0" t="0" r="0" b="0"/>
                  <wp:docPr id="14" name="Grafik 14" descr="H:\2_Forschung\2014_Hirota Sunder\stata\graphs_paper\RD_High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_Forschung\2014_Hirota Sunder\stata\graphs_paper\RD_High_Low.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000" cy="4298400"/>
                          </a:xfrm>
                          <a:prstGeom prst="rect">
                            <a:avLst/>
                          </a:prstGeom>
                          <a:noFill/>
                          <a:ln>
                            <a:noFill/>
                          </a:ln>
                        </pic:spPr>
                      </pic:pic>
                    </a:graphicData>
                  </a:graphic>
                </wp:inline>
              </w:drawing>
            </w:r>
          </w:p>
        </w:tc>
      </w:tr>
      <w:tr w:rsidR="00112F69" w14:paraId="0B6894A5" w14:textId="77777777" w:rsidTr="00A73DAE">
        <w:tc>
          <w:tcPr>
            <w:tcW w:w="9242" w:type="dxa"/>
          </w:tcPr>
          <w:p w14:paraId="2FD7F897" w14:textId="77777777" w:rsidR="00112F69" w:rsidRPr="00112F69" w:rsidRDefault="00DB0857" w:rsidP="00BD1B1C">
            <w:pPr>
              <w:ind w:rightChars="-22" w:right="-44"/>
              <w:jc w:val="both"/>
            </w:pPr>
            <w:r w:rsidRPr="00DB0857">
              <w:t xml:space="preserve">Notes: Grey shaded bars represent values based on periods where only </w:t>
            </w:r>
            <w:r w:rsidR="00BD1B1C">
              <w:rPr>
                <w:rFonts w:hint="eastAsia"/>
                <w:lang w:eastAsia="ja-JP"/>
              </w:rPr>
              <w:t>speculating</w:t>
            </w:r>
            <w:r w:rsidRPr="00DB0857">
              <w:t xml:space="preserve"> </w:t>
            </w:r>
            <w:r w:rsidR="00440147">
              <w:rPr>
                <w:rFonts w:hint="eastAsia"/>
                <w:lang w:eastAsia="ja-JP"/>
              </w:rPr>
              <w:t>investor</w:t>
            </w:r>
            <w:r w:rsidR="00A73DAE">
              <w:rPr>
                <w:rFonts w:hint="eastAsia"/>
                <w:lang w:eastAsia="ja-JP"/>
              </w:rPr>
              <w:t>s</w:t>
            </w:r>
            <w:r w:rsidRPr="00DB0857">
              <w:t xml:space="preserve"> were present. The black bold line represents periods where </w:t>
            </w:r>
            <w:r w:rsidR="008C73A8">
              <w:rPr>
                <w:rFonts w:hint="eastAsia"/>
                <w:lang w:eastAsia="ja-JP"/>
              </w:rPr>
              <w:t>dividend-collecting</w:t>
            </w:r>
            <w:r w:rsidRPr="00DB0857">
              <w:t xml:space="preserve"> </w:t>
            </w:r>
            <w:r w:rsidR="00440147">
              <w:rPr>
                <w:rFonts w:hint="eastAsia"/>
                <w:lang w:eastAsia="ja-JP"/>
              </w:rPr>
              <w:t>investor</w:t>
            </w:r>
            <w:r w:rsidR="00A73DAE">
              <w:rPr>
                <w:rFonts w:hint="eastAsia"/>
                <w:lang w:eastAsia="ja-JP"/>
              </w:rPr>
              <w:t>s</w:t>
            </w:r>
            <w:r w:rsidRPr="00DB0857">
              <w:t xml:space="preserve"> were present. ***, **, or * indi</w:t>
            </w:r>
            <w:r>
              <w:t>cates that the average Period-R</w:t>
            </w:r>
            <w:r w:rsidRPr="00DB0857">
              <w:t xml:space="preserve">D </w:t>
            </w:r>
            <w:r>
              <w:t xml:space="preserve">across periods where only </w:t>
            </w:r>
            <w:r w:rsidR="00BD1B1C">
              <w:rPr>
                <w:rFonts w:hint="eastAsia"/>
                <w:lang w:eastAsia="ja-JP"/>
              </w:rPr>
              <w:t>speculating investors</w:t>
            </w:r>
            <w:r>
              <w:t xml:space="preserve"> were present </w:t>
            </w:r>
            <w:r w:rsidRPr="00DB0857">
              <w:t xml:space="preserve">is significantly different at 1%, 5%, or 10% level, respectively, from the average Period-RD across periods with </w:t>
            </w:r>
            <w:r w:rsidR="008C73A8">
              <w:rPr>
                <w:rFonts w:hint="eastAsia"/>
                <w:lang w:eastAsia="ja-JP"/>
              </w:rPr>
              <w:t>dividend-collecting</w:t>
            </w:r>
            <w:r w:rsidR="00A73DAE">
              <w:rPr>
                <w:rFonts w:hint="eastAsia"/>
                <w:lang w:eastAsia="ja-JP"/>
              </w:rPr>
              <w:t xml:space="preserve"> </w:t>
            </w:r>
            <w:r w:rsidR="00440147">
              <w:rPr>
                <w:rFonts w:hint="eastAsia"/>
                <w:lang w:eastAsia="ja-JP"/>
              </w:rPr>
              <w:t>inve</w:t>
            </w:r>
            <w:r w:rsidR="00440147">
              <w:rPr>
                <w:rFonts w:hint="eastAsia"/>
                <w:lang w:eastAsia="ja-JP"/>
              </w:rPr>
              <w:t>s</w:t>
            </w:r>
            <w:r w:rsidR="00440147">
              <w:rPr>
                <w:rFonts w:hint="eastAsia"/>
                <w:lang w:eastAsia="ja-JP"/>
              </w:rPr>
              <w:t>tor</w:t>
            </w:r>
            <w:r w:rsidR="00A73DAE">
              <w:rPr>
                <w:rFonts w:hint="eastAsia"/>
                <w:lang w:eastAsia="ja-JP"/>
              </w:rPr>
              <w:t>s</w:t>
            </w:r>
            <w:r w:rsidRPr="00DB0857">
              <w:t xml:space="preserve"> (two-sided t-test).</w:t>
            </w:r>
          </w:p>
        </w:tc>
      </w:tr>
    </w:tbl>
    <w:p w14:paraId="461B44F9" w14:textId="77777777" w:rsidR="00C60E65" w:rsidRPr="00A73DAE" w:rsidRDefault="00C60E65" w:rsidP="00C07324">
      <w:pPr>
        <w:rPr>
          <w:sz w:val="24"/>
          <w:lang w:eastAsia="ja-JP"/>
        </w:rPr>
      </w:pPr>
    </w:p>
    <w:p w14:paraId="1F31E5CB" w14:textId="77777777" w:rsidR="00C60E65" w:rsidRPr="00C07324" w:rsidRDefault="00C60E65" w:rsidP="00C07324">
      <w:pPr>
        <w:rPr>
          <w:sz w:val="24"/>
          <w:lang w:eastAsia="ja-JP"/>
        </w:rPr>
      </w:pPr>
    </w:p>
    <w:p w14:paraId="58494E59" w14:textId="77777777" w:rsidR="00AF1D59" w:rsidRDefault="00AF1D59">
      <w:pPr>
        <w:rPr>
          <w:b/>
          <w:sz w:val="24"/>
          <w:szCs w:val="24"/>
          <w:lang w:eastAsia="ja-JP"/>
        </w:rPr>
      </w:pPr>
      <w:r>
        <w:rPr>
          <w:b/>
          <w:sz w:val="24"/>
          <w:szCs w:val="24"/>
          <w:lang w:eastAsia="ja-JP"/>
        </w:rPr>
        <w:br w:type="page"/>
      </w:r>
    </w:p>
    <w:p w14:paraId="0F4F8F9E" w14:textId="77777777" w:rsidR="00CA4386" w:rsidRPr="007A3938" w:rsidRDefault="00CA4386" w:rsidP="00CA4386">
      <w:pPr>
        <w:spacing w:line="480" w:lineRule="auto"/>
        <w:jc w:val="both"/>
        <w:rPr>
          <w:b/>
          <w:sz w:val="24"/>
          <w:szCs w:val="24"/>
          <w:lang w:eastAsia="ja-JP"/>
        </w:rPr>
      </w:pPr>
      <w:r w:rsidRPr="007A3938">
        <w:rPr>
          <w:b/>
          <w:sz w:val="24"/>
          <w:szCs w:val="24"/>
          <w:lang w:eastAsia="ja-JP"/>
        </w:rPr>
        <w:lastRenderedPageBreak/>
        <w:t xml:space="preserve">Appendix </w:t>
      </w:r>
      <w:r w:rsidR="00BD552C">
        <w:rPr>
          <w:b/>
          <w:sz w:val="24"/>
          <w:szCs w:val="24"/>
          <w:lang w:eastAsia="ja-JP"/>
        </w:rPr>
        <w:t>A</w:t>
      </w:r>
      <w:r>
        <w:rPr>
          <w:b/>
          <w:sz w:val="24"/>
          <w:szCs w:val="24"/>
          <w:lang w:eastAsia="ja-JP"/>
        </w:rPr>
        <w:t xml:space="preserve">: </w:t>
      </w:r>
      <w:r w:rsidRPr="00CA4386">
        <w:rPr>
          <w:b/>
          <w:sz w:val="24"/>
          <w:szCs w:val="24"/>
          <w:lang w:eastAsia="ja-JP"/>
        </w:rPr>
        <w:t>Instructions of the experiment</w:t>
      </w:r>
      <w:r>
        <w:rPr>
          <w:rStyle w:val="Funotenzeichen"/>
          <w:b/>
          <w:sz w:val="24"/>
          <w:szCs w:val="24"/>
          <w:lang w:eastAsia="ja-JP"/>
        </w:rPr>
        <w:footnoteReference w:id="52"/>
      </w:r>
    </w:p>
    <w:p w14:paraId="7A45475C" w14:textId="77777777" w:rsidR="00436BDE" w:rsidRDefault="00436BDE" w:rsidP="00436BDE">
      <w:pPr>
        <w:pStyle w:val="Textkrper-Einzug2"/>
        <w:spacing w:line="360" w:lineRule="auto"/>
        <w:ind w:firstLine="0"/>
        <w:jc w:val="both"/>
      </w:pPr>
      <w:r>
        <w:t xml:space="preserve">We welcome you to this experimental session and kindly ask you to refrain from talking to each other for the duration of the experiment. </w:t>
      </w:r>
      <w:r>
        <w:rPr>
          <w:rFonts w:hint="eastAsia"/>
        </w:rPr>
        <w:t>Please follow the instructions given by the e</w:t>
      </w:r>
      <w:r>
        <w:rPr>
          <w:rFonts w:hint="eastAsia"/>
        </w:rPr>
        <w:t>x</w:t>
      </w:r>
      <w:r>
        <w:rPr>
          <w:rFonts w:hint="eastAsia"/>
        </w:rPr>
        <w:t xml:space="preserve">perimenter. </w:t>
      </w:r>
      <w:r>
        <w:t>If you have any questions regarding the procedure or the instructions of the e</w:t>
      </w:r>
      <w:r>
        <w:t>x</w:t>
      </w:r>
      <w:r>
        <w:t>periment, contact one of the supervisors by raising your hand and your question will be a</w:t>
      </w:r>
      <w:r>
        <w:t>n</w:t>
      </w:r>
      <w:r>
        <w:t xml:space="preserve">swered privately. </w:t>
      </w:r>
      <w:r>
        <w:rPr>
          <w:rFonts w:hint="eastAsia"/>
        </w:rPr>
        <w:t xml:space="preserve">Violation of instructions risks forfeiting </w:t>
      </w:r>
      <w:r>
        <w:t xml:space="preserve">all </w:t>
      </w:r>
      <w:r>
        <w:rPr>
          <w:rFonts w:hint="eastAsia"/>
        </w:rPr>
        <w:t>your earnings.</w:t>
      </w:r>
    </w:p>
    <w:p w14:paraId="4ECF7FA5" w14:textId="77777777" w:rsidR="00436BDE" w:rsidRDefault="00436BDE" w:rsidP="00436BDE">
      <w:pPr>
        <w:pStyle w:val="Textkrper-Einzug2"/>
        <w:spacing w:line="360" w:lineRule="auto"/>
        <w:ind w:firstLine="0"/>
        <w:jc w:val="both"/>
      </w:pPr>
    </w:p>
    <w:p w14:paraId="0960B416" w14:textId="77777777" w:rsidR="00436BDE" w:rsidRPr="00252CDF" w:rsidRDefault="00436BDE" w:rsidP="00436BDE">
      <w:pPr>
        <w:pStyle w:val="Textkrper-Einzug2"/>
        <w:spacing w:line="360" w:lineRule="auto"/>
        <w:ind w:firstLine="0"/>
        <w:jc w:val="both"/>
        <w:rPr>
          <w:b/>
          <w:u w:val="single"/>
        </w:rPr>
      </w:pPr>
      <w:r w:rsidRPr="00252CDF">
        <w:rPr>
          <w:b/>
          <w:u w:val="single"/>
        </w:rPr>
        <w:t xml:space="preserve">General </w:t>
      </w:r>
      <w:r w:rsidRPr="00252CDF">
        <w:rPr>
          <w:rFonts w:hint="eastAsia"/>
          <w:b/>
          <w:u w:val="single"/>
        </w:rPr>
        <w:t>Instruction</w:t>
      </w:r>
      <w:r w:rsidRPr="00252CDF">
        <w:rPr>
          <w:b/>
          <w:u w:val="single"/>
        </w:rPr>
        <w:t>s</w:t>
      </w:r>
    </w:p>
    <w:p w14:paraId="5DE96CFB" w14:textId="77777777" w:rsidR="00436BDE" w:rsidRDefault="00436BDE" w:rsidP="00436BDE">
      <w:pPr>
        <w:pStyle w:val="Textkrper-Einzug2"/>
        <w:spacing w:line="360" w:lineRule="auto"/>
        <w:ind w:firstLine="0"/>
        <w:jc w:val="both"/>
      </w:pPr>
      <w:r>
        <w:t>This is an experiment in market decision making. The instructions are simple, and if you fo</w:t>
      </w:r>
      <w:r>
        <w:t>l</w:t>
      </w:r>
      <w:r>
        <w:t>low them carefully and make good decisions, you will earn more money.</w:t>
      </w:r>
    </w:p>
    <w:p w14:paraId="5F06D3D7" w14:textId="77777777" w:rsidR="00436BDE" w:rsidRDefault="00436BDE" w:rsidP="00436BDE">
      <w:pPr>
        <w:pStyle w:val="Textkrper-Einzug2"/>
        <w:spacing w:line="360" w:lineRule="auto"/>
        <w:ind w:firstLine="0"/>
        <w:jc w:val="both"/>
      </w:pPr>
    </w:p>
    <w:p w14:paraId="23F9C635" w14:textId="4066FDF8" w:rsidR="00436BDE" w:rsidRDefault="00436BDE" w:rsidP="00436BDE">
      <w:pPr>
        <w:pStyle w:val="Textkrper-Einzug2"/>
        <w:spacing w:line="360" w:lineRule="auto"/>
        <w:ind w:firstLine="0"/>
        <w:jc w:val="both"/>
      </w:pPr>
      <w:r>
        <w:t xml:space="preserve">In this </w:t>
      </w:r>
      <w:r>
        <w:rPr>
          <w:rFonts w:hint="eastAsia"/>
        </w:rPr>
        <w:t>session</w:t>
      </w:r>
      <w:r>
        <w:t xml:space="preserve">, we conduct a market experiment in which you can trade </w:t>
      </w:r>
      <w:r w:rsidR="00D57DDE">
        <w:t>a security</w:t>
      </w:r>
      <w:r>
        <w:t xml:space="preserve"> we shall call “</w:t>
      </w:r>
      <w:r>
        <w:rPr>
          <w:rFonts w:hint="eastAsia"/>
        </w:rPr>
        <w:t>shares</w:t>
      </w:r>
      <w:r>
        <w:t>”</w:t>
      </w:r>
      <w:r>
        <w:rPr>
          <w:rFonts w:hint="eastAsia"/>
        </w:rPr>
        <w:t xml:space="preserve">. </w:t>
      </w:r>
      <w:r>
        <w:t xml:space="preserve">You are a member of a cohort of </w:t>
      </w:r>
      <w:r w:rsidRPr="00484AA0">
        <w:t xml:space="preserve">18 </w:t>
      </w:r>
      <w:r>
        <w:t xml:space="preserve">subjects. </w:t>
      </w:r>
      <w:r w:rsidRPr="00FD42C4">
        <w:t xml:space="preserve">The composition of this cohort remains constant throughout the </w:t>
      </w:r>
      <w:r>
        <w:t>experiment</w:t>
      </w:r>
      <w:r w:rsidRPr="00FD42C4">
        <w:t>.</w:t>
      </w:r>
      <w:r>
        <w:t xml:space="preserve"> You will </w:t>
      </w:r>
      <w:r w:rsidRPr="0002279B">
        <w:t xml:space="preserve">participate in the market as an active </w:t>
      </w:r>
      <w:r w:rsidR="00440147">
        <w:t>investor</w:t>
      </w:r>
      <w:r w:rsidRPr="0002279B">
        <w:t xml:space="preserve"> </w:t>
      </w:r>
      <w:r w:rsidRPr="0002279B">
        <w:rPr>
          <w:rFonts w:hint="eastAsia"/>
        </w:rPr>
        <w:t>(</w:t>
      </w:r>
      <w:r w:rsidRPr="0002279B">
        <w:t>“</w:t>
      </w:r>
      <w:r w:rsidR="00440147">
        <w:rPr>
          <w:rFonts w:hint="eastAsia"/>
        </w:rPr>
        <w:t>investor</w:t>
      </w:r>
      <w:r w:rsidRPr="0002279B">
        <w:t>”</w:t>
      </w:r>
      <w:r w:rsidRPr="0002279B">
        <w:rPr>
          <w:rFonts w:hint="eastAsia"/>
        </w:rPr>
        <w:t>)</w:t>
      </w:r>
      <w:r>
        <w:t xml:space="preserve"> only in some, not all, periods. If you do not actively participate in the market you</w:t>
      </w:r>
      <w:r w:rsidRPr="0002279B">
        <w:rPr>
          <w:rFonts w:hint="eastAsia"/>
        </w:rPr>
        <w:t xml:space="preserve"> </w:t>
      </w:r>
      <w:r w:rsidRPr="0002279B">
        <w:t xml:space="preserve">will be asked to make </w:t>
      </w:r>
      <w:r>
        <w:t xml:space="preserve">certain </w:t>
      </w:r>
      <w:r w:rsidRPr="0002279B">
        <w:t xml:space="preserve">predictions </w:t>
      </w:r>
      <w:r>
        <w:t xml:space="preserve">about the </w:t>
      </w:r>
      <w:r w:rsidRPr="0002279B">
        <w:t>market</w:t>
      </w:r>
      <w:r>
        <w:t xml:space="preserve">. </w:t>
      </w:r>
    </w:p>
    <w:p w14:paraId="4035B6B2" w14:textId="77777777" w:rsidR="00436BDE" w:rsidRDefault="00436BDE" w:rsidP="00436BDE">
      <w:pPr>
        <w:pStyle w:val="Textkrper-Einzug2"/>
        <w:spacing w:line="360" w:lineRule="auto"/>
        <w:ind w:firstLine="0"/>
        <w:jc w:val="both"/>
      </w:pPr>
    </w:p>
    <w:p w14:paraId="67AEA387" w14:textId="77777777" w:rsidR="00436BDE" w:rsidRDefault="00436BDE" w:rsidP="00436BDE">
      <w:pPr>
        <w:pStyle w:val="Textkrper-Einzug2"/>
        <w:spacing w:line="360" w:lineRule="auto"/>
        <w:ind w:firstLine="0"/>
        <w:jc w:val="both"/>
      </w:pPr>
      <w:r>
        <w:rPr>
          <w:rFonts w:hint="eastAsia"/>
        </w:rPr>
        <w:t>T</w:t>
      </w:r>
      <w:r>
        <w:t>he process of assignment to the trading role in the market will be described shortly. This</w:t>
      </w:r>
      <w:r>
        <w:rPr>
          <w:rFonts w:hint="eastAsia"/>
        </w:rPr>
        <w:t xml:space="preserve"> session consists of </w:t>
      </w:r>
      <w:r>
        <w:t>a total of 16</w:t>
      </w:r>
      <w:r>
        <w:rPr>
          <w:rFonts w:hint="eastAsia"/>
        </w:rPr>
        <w:t xml:space="preserve"> periods</w:t>
      </w:r>
      <w:r>
        <w:t xml:space="preserve"> and trading in each period lasts for </w:t>
      </w:r>
      <w:r w:rsidRPr="00484AA0">
        <w:t>120</w:t>
      </w:r>
      <w:r w:rsidRPr="00484AA0">
        <w:rPr>
          <w:rFonts w:hint="eastAsia"/>
        </w:rPr>
        <w:t xml:space="preserve"> </w:t>
      </w:r>
      <w:r>
        <w:rPr>
          <w:rFonts w:hint="eastAsia"/>
        </w:rPr>
        <w:t>seconds</w:t>
      </w:r>
      <w:r>
        <w:t>.</w:t>
      </w:r>
    </w:p>
    <w:p w14:paraId="31C45C38" w14:textId="77777777" w:rsidR="00436BDE" w:rsidRDefault="00436BDE" w:rsidP="00436BDE">
      <w:pPr>
        <w:pStyle w:val="Textkrper-Einzug2"/>
        <w:spacing w:line="360" w:lineRule="auto"/>
        <w:ind w:firstLine="0"/>
        <w:jc w:val="both"/>
      </w:pPr>
    </w:p>
    <w:p w14:paraId="55129294" w14:textId="02749BCF" w:rsidR="00436BDE" w:rsidRDefault="00436BDE" w:rsidP="00436BDE">
      <w:pPr>
        <w:pStyle w:val="Textkrper-Einzug2"/>
        <w:spacing w:line="360" w:lineRule="auto"/>
        <w:ind w:firstLine="0"/>
        <w:jc w:val="both"/>
      </w:pPr>
      <w:r>
        <w:t>Your total earnings</w:t>
      </w:r>
      <w:r>
        <w:rPr>
          <w:rFonts w:hint="eastAsia"/>
        </w:rPr>
        <w:t xml:space="preserve"> from </w:t>
      </w:r>
      <w:r>
        <w:t xml:space="preserve">participating in </w:t>
      </w:r>
      <w:r>
        <w:rPr>
          <w:rFonts w:hint="eastAsia"/>
        </w:rPr>
        <w:t xml:space="preserve">the market </w:t>
      </w:r>
      <w:r>
        <w:t xml:space="preserve">as </w:t>
      </w:r>
      <w:proofErr w:type="spellStart"/>
      <w:proofErr w:type="gramStart"/>
      <w:r>
        <w:t>a</w:t>
      </w:r>
      <w:proofErr w:type="spellEnd"/>
      <w:proofErr w:type="gramEnd"/>
      <w:r>
        <w:t xml:space="preserve"> </w:t>
      </w:r>
      <w:r w:rsidR="00440147">
        <w:t>investor</w:t>
      </w:r>
      <w:r>
        <w:t xml:space="preserve"> and from the prediction task, denoted in </w:t>
      </w:r>
      <w:proofErr w:type="spellStart"/>
      <w:r w:rsidR="007A6BB6">
        <w:t>taler</w:t>
      </w:r>
      <w:proofErr w:type="spellEnd"/>
      <w:r>
        <w:t xml:space="preserve"> throughout the experiment, will be converted into</w:t>
      </w:r>
      <w:r w:rsidRPr="00326D98">
        <w:t xml:space="preserve"> Euro</w:t>
      </w:r>
      <w:r>
        <w:t>s and paid to you</w:t>
      </w:r>
      <w:r>
        <w:rPr>
          <w:rFonts w:hint="eastAsia"/>
        </w:rPr>
        <w:t xml:space="preserve"> in cash</w:t>
      </w:r>
      <w:r>
        <w:t xml:space="preserve"> at the end of the session. The more </w:t>
      </w:r>
      <w:proofErr w:type="spellStart"/>
      <w:r w:rsidR="007A6BB6">
        <w:t>taler</w:t>
      </w:r>
      <w:proofErr w:type="spellEnd"/>
      <w:r>
        <w:t xml:space="preserve"> you earn, the more </w:t>
      </w:r>
      <w:r w:rsidRPr="00326D98">
        <w:t>Euro</w:t>
      </w:r>
      <w:r>
        <w:t>s you will take home.</w:t>
      </w:r>
    </w:p>
    <w:p w14:paraId="448E277C" w14:textId="77777777" w:rsidR="00436BDE" w:rsidRDefault="00436BDE" w:rsidP="00436BDE">
      <w:pPr>
        <w:pStyle w:val="Textkrper-Einzug2"/>
        <w:spacing w:line="360" w:lineRule="auto"/>
        <w:ind w:firstLine="0"/>
        <w:jc w:val="both"/>
      </w:pPr>
    </w:p>
    <w:p w14:paraId="1C8D9338" w14:textId="77777777" w:rsidR="00436BDE" w:rsidRPr="00436BDE" w:rsidRDefault="00436BDE" w:rsidP="00436BDE">
      <w:pPr>
        <w:pStyle w:val="Textkrper-Einzug2"/>
        <w:spacing w:line="360" w:lineRule="auto"/>
        <w:ind w:firstLine="0"/>
        <w:jc w:val="both"/>
        <w:rPr>
          <w:b/>
        </w:rPr>
      </w:pPr>
      <w:r w:rsidRPr="00436BDE">
        <w:rPr>
          <w:b/>
        </w:rPr>
        <w:t>Course of the experimental session</w:t>
      </w:r>
    </w:p>
    <w:p w14:paraId="7E5596A5" w14:textId="77777777" w:rsidR="00436BDE" w:rsidRDefault="00436BDE" w:rsidP="00436BDE">
      <w:pPr>
        <w:pStyle w:val="Textkrper-Einzug2"/>
        <w:spacing w:line="360" w:lineRule="auto"/>
        <w:ind w:firstLine="0"/>
        <w:jc w:val="both"/>
      </w:pPr>
      <w:r>
        <w:t>Market experiment</w:t>
      </w:r>
    </w:p>
    <w:p w14:paraId="348126D6" w14:textId="77777777" w:rsidR="00436BDE" w:rsidRDefault="00436BDE" w:rsidP="00436BDE">
      <w:pPr>
        <w:pStyle w:val="Textkrper-Einzug2"/>
        <w:spacing w:line="360" w:lineRule="auto"/>
        <w:ind w:firstLine="0"/>
        <w:jc w:val="both"/>
      </w:pPr>
      <w:r>
        <w:t xml:space="preserve">Instructions to the experiment and explanation of the trading mechanism </w:t>
      </w:r>
    </w:p>
    <w:p w14:paraId="59BBB2FC" w14:textId="77777777" w:rsidR="00436BDE" w:rsidRDefault="00436BDE" w:rsidP="00436BDE">
      <w:pPr>
        <w:pStyle w:val="Textkrper-Einzug2"/>
        <w:spacing w:line="360" w:lineRule="auto"/>
        <w:ind w:firstLine="0"/>
        <w:jc w:val="both"/>
      </w:pPr>
      <w:r>
        <w:t>2 trial periods (not relevant for payment) and questionnaire</w:t>
      </w:r>
    </w:p>
    <w:p w14:paraId="10CE662F" w14:textId="77777777" w:rsidR="00436BDE" w:rsidRDefault="00436BDE" w:rsidP="00436BDE">
      <w:pPr>
        <w:pStyle w:val="Textkrper-Einzug2"/>
        <w:spacing w:line="360" w:lineRule="auto"/>
        <w:ind w:firstLine="0"/>
        <w:jc w:val="both"/>
      </w:pPr>
      <w:r>
        <w:t>Market experiment</w:t>
      </w:r>
    </w:p>
    <w:p w14:paraId="5932DD7C" w14:textId="77777777" w:rsidR="00436BDE" w:rsidRPr="00202E37" w:rsidRDefault="00436BDE" w:rsidP="00436BDE">
      <w:pPr>
        <w:pStyle w:val="Textkrper-Einzug2"/>
        <w:spacing w:line="360" w:lineRule="auto"/>
        <w:ind w:firstLine="0"/>
        <w:jc w:val="both"/>
      </w:pPr>
      <w:r>
        <w:t>Private payment</w:t>
      </w:r>
      <w:r w:rsidRPr="00436BDE">
        <w:br w:type="page"/>
      </w:r>
    </w:p>
    <w:p w14:paraId="0F67B1AC" w14:textId="77777777" w:rsidR="00436BDE" w:rsidRPr="00252CDF" w:rsidRDefault="00436BDE" w:rsidP="00436BDE">
      <w:pPr>
        <w:spacing w:line="360" w:lineRule="auto"/>
        <w:jc w:val="center"/>
        <w:rPr>
          <w:b/>
          <w:sz w:val="24"/>
          <w:szCs w:val="24"/>
        </w:rPr>
      </w:pPr>
      <w:r w:rsidRPr="00252CDF">
        <w:rPr>
          <w:b/>
          <w:sz w:val="24"/>
          <w:szCs w:val="24"/>
        </w:rPr>
        <w:lastRenderedPageBreak/>
        <w:t>Active market participants</w:t>
      </w:r>
    </w:p>
    <w:p w14:paraId="1817BBE0" w14:textId="77777777" w:rsidR="00436BDE" w:rsidRPr="00CD7955" w:rsidRDefault="00436BDE" w:rsidP="00436BDE">
      <w:pPr>
        <w:pStyle w:val="Textkrper-Einzug2"/>
        <w:spacing w:line="360" w:lineRule="auto"/>
        <w:ind w:firstLine="0"/>
        <w:jc w:val="both"/>
        <w:rPr>
          <w:sz w:val="20"/>
          <w:lang w:eastAsia="ja-JP"/>
        </w:rPr>
      </w:pPr>
    </w:p>
    <w:p w14:paraId="618F302D" w14:textId="77777777" w:rsidR="00436BDE" w:rsidRPr="0055452D" w:rsidRDefault="00436BDE" w:rsidP="00436BDE">
      <w:pPr>
        <w:pStyle w:val="Textkrper-Einzug2"/>
        <w:spacing w:line="360" w:lineRule="auto"/>
        <w:ind w:firstLine="0"/>
        <w:jc w:val="both"/>
        <w:rPr>
          <w:b/>
          <w:lang w:eastAsia="ja-JP"/>
        </w:rPr>
      </w:pPr>
      <w:r w:rsidRPr="0055452D">
        <w:rPr>
          <w:b/>
          <w:lang w:eastAsia="ja-JP"/>
        </w:rPr>
        <w:t>Assignment process</w:t>
      </w:r>
    </w:p>
    <w:p w14:paraId="4D382A34" w14:textId="77777777" w:rsidR="00436BDE" w:rsidRDefault="00436BDE" w:rsidP="00436BDE">
      <w:pPr>
        <w:pStyle w:val="Textkrper-Einzug2"/>
        <w:spacing w:line="360" w:lineRule="auto"/>
        <w:ind w:firstLine="0"/>
        <w:jc w:val="both"/>
      </w:pPr>
      <w:r>
        <w:t xml:space="preserve">Figure 1 illustrates the assignment process in the session. At the beginning of Period 1, </w:t>
      </w:r>
      <w:r w:rsidRPr="00484AA0">
        <w:t xml:space="preserve">five </w:t>
      </w:r>
      <w:r>
        <w:t xml:space="preserve">subjects will be randomly assigned to Cohort 1 while another </w:t>
      </w:r>
      <w:r w:rsidRPr="00484AA0">
        <w:t xml:space="preserve">five </w:t>
      </w:r>
      <w:r>
        <w:t xml:space="preserve">will be randomly assigned to Cohort 2. Members of these two cohorts will participate in trading in Periods 1 to 8. The remaining </w:t>
      </w:r>
      <w:r w:rsidRPr="00484AA0">
        <w:t xml:space="preserve">eight </w:t>
      </w:r>
      <w:r>
        <w:t xml:space="preserve">subjects will constitute the “pool” and its members will participate in the prediction task (see below), not in trading, in these periods. </w:t>
      </w:r>
    </w:p>
    <w:p w14:paraId="7EB7F064" w14:textId="77777777" w:rsidR="00436BDE" w:rsidRDefault="00436BDE" w:rsidP="00436BDE">
      <w:pPr>
        <w:pStyle w:val="Textkrper-Einzug2"/>
        <w:spacing w:line="360" w:lineRule="auto"/>
        <w:ind w:firstLine="0"/>
        <w:jc w:val="both"/>
      </w:pPr>
      <w:r>
        <w:t xml:space="preserve">At the end of Period 8, </w:t>
      </w:r>
      <w:r w:rsidRPr="00484AA0">
        <w:t xml:space="preserve">five </w:t>
      </w:r>
      <w:r>
        <w:t xml:space="preserve">of the </w:t>
      </w:r>
      <w:r w:rsidRPr="00484AA0">
        <w:t xml:space="preserve">eight </w:t>
      </w:r>
      <w:r>
        <w:t xml:space="preserve">members of the pool are randomly chosen to form Cohort 3 who enters the market beginning Period 9; members of Cohort 2 stay in the market; and members of Cohort 1 leave the market to join the pool. </w:t>
      </w:r>
    </w:p>
    <w:p w14:paraId="718E34EB" w14:textId="77777777" w:rsidR="00436BDE" w:rsidRDefault="00436BDE" w:rsidP="00436BDE">
      <w:pPr>
        <w:pStyle w:val="Textkrper-Einzug2"/>
        <w:spacing w:line="360" w:lineRule="auto"/>
        <w:ind w:firstLine="0"/>
        <w:jc w:val="both"/>
      </w:pPr>
      <w:r>
        <w:t xml:space="preserve">The pool always has </w:t>
      </w:r>
      <w:r w:rsidRPr="00484AA0">
        <w:t xml:space="preserve">eight </w:t>
      </w:r>
      <w:r>
        <w:t>members who predict, and the market always has a total of 10 members (</w:t>
      </w:r>
      <w:r w:rsidRPr="00484AA0">
        <w:t>5</w:t>
      </w:r>
      <w:r>
        <w:t xml:space="preserve"> from each of the two cohorts) who trade. After period 8, the “old” cohort 1 leaves the market, and the new Cohort 3 enters. Note that your entry and exit from the market (i.e., which cohort you will be a part of) will be determined by a random (but fair) program.</w:t>
      </w:r>
    </w:p>
    <w:p w14:paraId="779120AA" w14:textId="77777777" w:rsidR="00436BDE" w:rsidRDefault="00436BDE" w:rsidP="00436BDE">
      <w:pPr>
        <w:pStyle w:val="Textkrper-Einzug2"/>
        <w:spacing w:line="360" w:lineRule="auto"/>
        <w:ind w:firstLine="0"/>
        <w:jc w:val="both"/>
        <w:rPr>
          <w:lang w:eastAsia="ja-JP"/>
        </w:rPr>
      </w:pPr>
    </w:p>
    <w:p w14:paraId="159F1F5C" w14:textId="77777777" w:rsidR="00436BDE" w:rsidRPr="00746C1D" w:rsidRDefault="00436BDE" w:rsidP="00436BDE">
      <w:pPr>
        <w:pStyle w:val="Textkrper-Einzug2"/>
        <w:spacing w:line="360" w:lineRule="auto"/>
        <w:ind w:firstLine="0"/>
        <w:jc w:val="both"/>
        <w:rPr>
          <w:sz w:val="2"/>
          <w:lang w:eastAsia="ja-JP"/>
        </w:rPr>
      </w:pPr>
    </w:p>
    <w:p w14:paraId="1482BACE" w14:textId="77777777" w:rsidR="00436BDE" w:rsidRPr="00CD7955" w:rsidRDefault="00436BDE" w:rsidP="00436BDE">
      <w:pPr>
        <w:pStyle w:val="Textkrper-Einzug2"/>
        <w:spacing w:line="360" w:lineRule="auto"/>
        <w:ind w:firstLine="0"/>
        <w:jc w:val="both"/>
        <w:rPr>
          <w:lang w:eastAsia="ja-JP"/>
        </w:rPr>
      </w:pPr>
      <w:r w:rsidRPr="00CD7955">
        <w:rPr>
          <w:lang w:eastAsia="ja-JP"/>
        </w:rPr>
        <w:t>Figure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7"/>
        <w:gridCol w:w="405"/>
        <w:gridCol w:w="405"/>
        <w:gridCol w:w="403"/>
        <w:gridCol w:w="403"/>
        <w:gridCol w:w="403"/>
        <w:gridCol w:w="403"/>
        <w:gridCol w:w="403"/>
        <w:gridCol w:w="404"/>
        <w:gridCol w:w="404"/>
        <w:gridCol w:w="456"/>
        <w:gridCol w:w="456"/>
        <w:gridCol w:w="456"/>
        <w:gridCol w:w="456"/>
        <w:gridCol w:w="456"/>
        <w:gridCol w:w="456"/>
        <w:gridCol w:w="456"/>
      </w:tblGrid>
      <w:tr w:rsidR="00436BDE" w:rsidRPr="004B0BFC" w14:paraId="5481EA74" w14:textId="77777777" w:rsidTr="003610B1">
        <w:trPr>
          <w:trHeight w:hRule="exact" w:val="510"/>
          <w:jc w:val="center"/>
        </w:trPr>
        <w:tc>
          <w:tcPr>
            <w:tcW w:w="1187" w:type="dxa"/>
          </w:tcPr>
          <w:p w14:paraId="76453505" w14:textId="77777777" w:rsidR="00436BDE" w:rsidRPr="00AB31D0" w:rsidRDefault="00436BDE" w:rsidP="003610B1">
            <w:pPr>
              <w:spacing w:line="480" w:lineRule="auto"/>
              <w:jc w:val="both"/>
              <w:rPr>
                <w:b/>
                <w:lang w:eastAsia="ja-JP"/>
              </w:rPr>
            </w:pPr>
            <w:r w:rsidRPr="00AB31D0">
              <w:rPr>
                <w:b/>
                <w:lang w:eastAsia="ja-JP"/>
              </w:rPr>
              <w:t>Period</w:t>
            </w:r>
          </w:p>
        </w:tc>
        <w:tc>
          <w:tcPr>
            <w:tcW w:w="405" w:type="dxa"/>
            <w:tcBorders>
              <w:bottom w:val="single" w:sz="4" w:space="0" w:color="000000"/>
            </w:tcBorders>
            <w:shd w:val="clear" w:color="auto" w:fill="auto"/>
          </w:tcPr>
          <w:p w14:paraId="580FE5E5" w14:textId="77777777" w:rsidR="00436BDE" w:rsidRPr="00AB31D0" w:rsidRDefault="00436BDE" w:rsidP="003610B1">
            <w:pPr>
              <w:spacing w:line="480" w:lineRule="auto"/>
              <w:jc w:val="center"/>
              <w:rPr>
                <w:b/>
                <w:lang w:eastAsia="ja-JP"/>
              </w:rPr>
            </w:pPr>
            <w:r w:rsidRPr="00AB31D0">
              <w:rPr>
                <w:b/>
                <w:lang w:eastAsia="ja-JP"/>
              </w:rPr>
              <w:t>1</w:t>
            </w:r>
          </w:p>
        </w:tc>
        <w:tc>
          <w:tcPr>
            <w:tcW w:w="405" w:type="dxa"/>
            <w:tcBorders>
              <w:bottom w:val="single" w:sz="4" w:space="0" w:color="000000"/>
            </w:tcBorders>
            <w:shd w:val="clear" w:color="auto" w:fill="auto"/>
          </w:tcPr>
          <w:p w14:paraId="74F35D60" w14:textId="77777777" w:rsidR="00436BDE" w:rsidRPr="00AB31D0" w:rsidRDefault="00436BDE" w:rsidP="003610B1">
            <w:pPr>
              <w:spacing w:line="480" w:lineRule="auto"/>
              <w:jc w:val="center"/>
              <w:rPr>
                <w:b/>
                <w:lang w:eastAsia="ja-JP"/>
              </w:rPr>
            </w:pPr>
            <w:r w:rsidRPr="00AB31D0">
              <w:rPr>
                <w:b/>
                <w:lang w:eastAsia="ja-JP"/>
              </w:rPr>
              <w:t>2</w:t>
            </w:r>
          </w:p>
        </w:tc>
        <w:tc>
          <w:tcPr>
            <w:tcW w:w="403" w:type="dxa"/>
            <w:tcBorders>
              <w:bottom w:val="single" w:sz="4" w:space="0" w:color="000000"/>
            </w:tcBorders>
            <w:shd w:val="clear" w:color="auto" w:fill="auto"/>
          </w:tcPr>
          <w:p w14:paraId="37522E40" w14:textId="77777777" w:rsidR="00436BDE" w:rsidRPr="00AB31D0" w:rsidRDefault="00436BDE" w:rsidP="003610B1">
            <w:pPr>
              <w:spacing w:line="480" w:lineRule="auto"/>
              <w:jc w:val="center"/>
              <w:rPr>
                <w:b/>
                <w:lang w:eastAsia="ja-JP"/>
              </w:rPr>
            </w:pPr>
            <w:r w:rsidRPr="00AB31D0">
              <w:rPr>
                <w:b/>
                <w:lang w:eastAsia="ja-JP"/>
              </w:rPr>
              <w:t>3</w:t>
            </w:r>
          </w:p>
        </w:tc>
        <w:tc>
          <w:tcPr>
            <w:tcW w:w="403" w:type="dxa"/>
            <w:tcBorders>
              <w:bottom w:val="single" w:sz="4" w:space="0" w:color="000000"/>
            </w:tcBorders>
            <w:shd w:val="clear" w:color="auto" w:fill="auto"/>
          </w:tcPr>
          <w:p w14:paraId="66C5292F" w14:textId="77777777" w:rsidR="00436BDE" w:rsidRPr="00AB31D0" w:rsidRDefault="00436BDE" w:rsidP="003610B1">
            <w:pPr>
              <w:spacing w:line="480" w:lineRule="auto"/>
              <w:jc w:val="center"/>
              <w:rPr>
                <w:b/>
                <w:lang w:eastAsia="ja-JP"/>
              </w:rPr>
            </w:pPr>
            <w:r w:rsidRPr="00AB31D0">
              <w:rPr>
                <w:b/>
                <w:lang w:eastAsia="ja-JP"/>
              </w:rPr>
              <w:t>4</w:t>
            </w:r>
          </w:p>
        </w:tc>
        <w:tc>
          <w:tcPr>
            <w:tcW w:w="403" w:type="dxa"/>
            <w:tcBorders>
              <w:bottom w:val="single" w:sz="4" w:space="0" w:color="000000"/>
            </w:tcBorders>
            <w:shd w:val="clear" w:color="auto" w:fill="auto"/>
          </w:tcPr>
          <w:p w14:paraId="34C9EB68" w14:textId="77777777" w:rsidR="00436BDE" w:rsidRPr="00AB31D0" w:rsidRDefault="00436BDE" w:rsidP="003610B1">
            <w:pPr>
              <w:spacing w:line="480" w:lineRule="auto"/>
              <w:jc w:val="center"/>
              <w:rPr>
                <w:b/>
                <w:lang w:eastAsia="ja-JP"/>
              </w:rPr>
            </w:pPr>
            <w:r w:rsidRPr="00AB31D0">
              <w:rPr>
                <w:b/>
                <w:lang w:eastAsia="ja-JP"/>
              </w:rPr>
              <w:t>5</w:t>
            </w:r>
          </w:p>
        </w:tc>
        <w:tc>
          <w:tcPr>
            <w:tcW w:w="403" w:type="dxa"/>
            <w:tcBorders>
              <w:bottom w:val="single" w:sz="4" w:space="0" w:color="000000"/>
            </w:tcBorders>
            <w:shd w:val="clear" w:color="auto" w:fill="auto"/>
          </w:tcPr>
          <w:p w14:paraId="4158CDDF" w14:textId="77777777" w:rsidR="00436BDE" w:rsidRPr="00AB31D0" w:rsidRDefault="00436BDE" w:rsidP="003610B1">
            <w:pPr>
              <w:spacing w:line="480" w:lineRule="auto"/>
              <w:jc w:val="center"/>
              <w:rPr>
                <w:b/>
                <w:lang w:eastAsia="ja-JP"/>
              </w:rPr>
            </w:pPr>
            <w:r w:rsidRPr="00AB31D0">
              <w:rPr>
                <w:b/>
                <w:lang w:eastAsia="ja-JP"/>
              </w:rPr>
              <w:t>6</w:t>
            </w:r>
          </w:p>
        </w:tc>
        <w:tc>
          <w:tcPr>
            <w:tcW w:w="403" w:type="dxa"/>
            <w:shd w:val="clear" w:color="auto" w:fill="auto"/>
          </w:tcPr>
          <w:p w14:paraId="06DEBCBB" w14:textId="77777777" w:rsidR="00436BDE" w:rsidRPr="00AB31D0" w:rsidRDefault="00436BDE" w:rsidP="003610B1">
            <w:pPr>
              <w:spacing w:line="480" w:lineRule="auto"/>
              <w:jc w:val="center"/>
              <w:rPr>
                <w:b/>
                <w:lang w:eastAsia="ja-JP"/>
              </w:rPr>
            </w:pPr>
            <w:r w:rsidRPr="00AB31D0">
              <w:rPr>
                <w:b/>
                <w:lang w:eastAsia="ja-JP"/>
              </w:rPr>
              <w:t>7</w:t>
            </w:r>
          </w:p>
        </w:tc>
        <w:tc>
          <w:tcPr>
            <w:tcW w:w="404" w:type="dxa"/>
            <w:shd w:val="clear" w:color="auto" w:fill="auto"/>
          </w:tcPr>
          <w:p w14:paraId="29FB07CF" w14:textId="77777777" w:rsidR="00436BDE" w:rsidRPr="00AB31D0" w:rsidRDefault="00436BDE" w:rsidP="003610B1">
            <w:pPr>
              <w:spacing w:line="480" w:lineRule="auto"/>
              <w:jc w:val="center"/>
              <w:rPr>
                <w:b/>
                <w:lang w:eastAsia="ja-JP"/>
              </w:rPr>
            </w:pPr>
            <w:r w:rsidRPr="00AB31D0">
              <w:rPr>
                <w:b/>
                <w:lang w:eastAsia="ja-JP"/>
              </w:rPr>
              <w:t>8</w:t>
            </w:r>
          </w:p>
        </w:tc>
        <w:tc>
          <w:tcPr>
            <w:tcW w:w="404" w:type="dxa"/>
            <w:shd w:val="clear" w:color="auto" w:fill="auto"/>
          </w:tcPr>
          <w:p w14:paraId="1E675AAE" w14:textId="77777777" w:rsidR="00436BDE" w:rsidRPr="00AB31D0" w:rsidRDefault="00436BDE" w:rsidP="003610B1">
            <w:pPr>
              <w:spacing w:line="480" w:lineRule="auto"/>
              <w:jc w:val="center"/>
              <w:rPr>
                <w:b/>
                <w:lang w:eastAsia="ja-JP"/>
              </w:rPr>
            </w:pPr>
            <w:r w:rsidRPr="00AB31D0">
              <w:rPr>
                <w:b/>
                <w:lang w:eastAsia="ja-JP"/>
              </w:rPr>
              <w:t>9</w:t>
            </w:r>
          </w:p>
        </w:tc>
        <w:tc>
          <w:tcPr>
            <w:tcW w:w="456" w:type="dxa"/>
            <w:shd w:val="clear" w:color="auto" w:fill="auto"/>
          </w:tcPr>
          <w:p w14:paraId="7E0E8DD0" w14:textId="77777777" w:rsidR="00436BDE" w:rsidRPr="00AB31D0" w:rsidRDefault="00436BDE" w:rsidP="003610B1">
            <w:pPr>
              <w:spacing w:line="480" w:lineRule="auto"/>
              <w:jc w:val="center"/>
              <w:rPr>
                <w:b/>
                <w:lang w:eastAsia="ja-JP"/>
              </w:rPr>
            </w:pPr>
            <w:r w:rsidRPr="00AB31D0">
              <w:rPr>
                <w:b/>
                <w:lang w:eastAsia="ja-JP"/>
              </w:rPr>
              <w:t>10</w:t>
            </w:r>
          </w:p>
        </w:tc>
        <w:tc>
          <w:tcPr>
            <w:tcW w:w="456" w:type="dxa"/>
            <w:shd w:val="clear" w:color="auto" w:fill="auto"/>
          </w:tcPr>
          <w:p w14:paraId="0F636525" w14:textId="77777777" w:rsidR="00436BDE" w:rsidRPr="00AB31D0" w:rsidRDefault="00436BDE" w:rsidP="003610B1">
            <w:pPr>
              <w:spacing w:line="480" w:lineRule="auto"/>
              <w:jc w:val="center"/>
              <w:rPr>
                <w:b/>
                <w:lang w:eastAsia="ja-JP"/>
              </w:rPr>
            </w:pPr>
            <w:r w:rsidRPr="00AB31D0">
              <w:rPr>
                <w:b/>
                <w:lang w:eastAsia="ja-JP"/>
              </w:rPr>
              <w:t>11</w:t>
            </w:r>
          </w:p>
        </w:tc>
        <w:tc>
          <w:tcPr>
            <w:tcW w:w="456" w:type="dxa"/>
            <w:shd w:val="clear" w:color="auto" w:fill="auto"/>
          </w:tcPr>
          <w:p w14:paraId="732BE43A" w14:textId="77777777" w:rsidR="00436BDE" w:rsidRPr="00AB31D0" w:rsidRDefault="00436BDE" w:rsidP="003610B1">
            <w:pPr>
              <w:spacing w:line="480" w:lineRule="auto"/>
              <w:jc w:val="center"/>
              <w:rPr>
                <w:b/>
                <w:lang w:eastAsia="ja-JP"/>
              </w:rPr>
            </w:pPr>
            <w:r w:rsidRPr="00AB31D0">
              <w:rPr>
                <w:b/>
                <w:lang w:eastAsia="ja-JP"/>
              </w:rPr>
              <w:t>12</w:t>
            </w:r>
          </w:p>
        </w:tc>
        <w:tc>
          <w:tcPr>
            <w:tcW w:w="456" w:type="dxa"/>
            <w:shd w:val="clear" w:color="auto" w:fill="auto"/>
          </w:tcPr>
          <w:p w14:paraId="75DF7037" w14:textId="77777777" w:rsidR="00436BDE" w:rsidRPr="00AB31D0" w:rsidRDefault="00436BDE" w:rsidP="003610B1">
            <w:pPr>
              <w:spacing w:line="480" w:lineRule="auto"/>
              <w:jc w:val="center"/>
              <w:rPr>
                <w:b/>
                <w:lang w:eastAsia="ja-JP"/>
              </w:rPr>
            </w:pPr>
            <w:r w:rsidRPr="00AB31D0">
              <w:rPr>
                <w:b/>
                <w:lang w:eastAsia="ja-JP"/>
              </w:rPr>
              <w:t>13</w:t>
            </w:r>
          </w:p>
        </w:tc>
        <w:tc>
          <w:tcPr>
            <w:tcW w:w="456" w:type="dxa"/>
            <w:shd w:val="clear" w:color="auto" w:fill="auto"/>
          </w:tcPr>
          <w:p w14:paraId="17E0E498" w14:textId="77777777" w:rsidR="00436BDE" w:rsidRPr="00AB31D0" w:rsidRDefault="00436BDE" w:rsidP="003610B1">
            <w:pPr>
              <w:spacing w:line="480" w:lineRule="auto"/>
              <w:jc w:val="center"/>
              <w:rPr>
                <w:b/>
                <w:lang w:eastAsia="ja-JP"/>
              </w:rPr>
            </w:pPr>
            <w:r w:rsidRPr="00AB31D0">
              <w:rPr>
                <w:b/>
                <w:lang w:eastAsia="ja-JP"/>
              </w:rPr>
              <w:t>14</w:t>
            </w:r>
          </w:p>
        </w:tc>
        <w:tc>
          <w:tcPr>
            <w:tcW w:w="456" w:type="dxa"/>
            <w:shd w:val="clear" w:color="auto" w:fill="auto"/>
          </w:tcPr>
          <w:p w14:paraId="29AE6360" w14:textId="77777777" w:rsidR="00436BDE" w:rsidRPr="00AB31D0" w:rsidRDefault="00436BDE" w:rsidP="003610B1">
            <w:pPr>
              <w:spacing w:line="480" w:lineRule="auto"/>
              <w:jc w:val="center"/>
              <w:rPr>
                <w:b/>
                <w:lang w:eastAsia="ja-JP"/>
              </w:rPr>
            </w:pPr>
            <w:r w:rsidRPr="00AB31D0">
              <w:rPr>
                <w:b/>
                <w:lang w:eastAsia="ja-JP"/>
              </w:rPr>
              <w:t>15</w:t>
            </w:r>
          </w:p>
        </w:tc>
        <w:tc>
          <w:tcPr>
            <w:tcW w:w="456" w:type="dxa"/>
            <w:shd w:val="clear" w:color="auto" w:fill="auto"/>
          </w:tcPr>
          <w:p w14:paraId="222730A5" w14:textId="77777777" w:rsidR="00436BDE" w:rsidRPr="00AB31D0" w:rsidRDefault="00436BDE" w:rsidP="003610B1">
            <w:pPr>
              <w:spacing w:line="480" w:lineRule="auto"/>
              <w:jc w:val="center"/>
              <w:rPr>
                <w:b/>
                <w:lang w:eastAsia="ja-JP"/>
              </w:rPr>
            </w:pPr>
            <w:r w:rsidRPr="00AB31D0">
              <w:rPr>
                <w:b/>
                <w:lang w:eastAsia="ja-JP"/>
              </w:rPr>
              <w:t>16</w:t>
            </w:r>
          </w:p>
        </w:tc>
      </w:tr>
      <w:tr w:rsidR="00436BDE" w:rsidRPr="004B0BFC" w14:paraId="3482F3B3" w14:textId="77777777" w:rsidTr="003610B1">
        <w:trPr>
          <w:trHeight w:hRule="exact" w:val="510"/>
          <w:jc w:val="center"/>
        </w:trPr>
        <w:tc>
          <w:tcPr>
            <w:tcW w:w="1187" w:type="dxa"/>
          </w:tcPr>
          <w:p w14:paraId="170C4D0B" w14:textId="77777777" w:rsidR="00436BDE" w:rsidRPr="00AB31D0" w:rsidRDefault="00436BDE" w:rsidP="003610B1">
            <w:pPr>
              <w:spacing w:line="480" w:lineRule="auto"/>
              <w:jc w:val="both"/>
              <w:rPr>
                <w:b/>
                <w:lang w:eastAsia="ja-JP"/>
              </w:rPr>
            </w:pPr>
            <w:r w:rsidRPr="00AB31D0">
              <w:rPr>
                <w:b/>
                <w:lang w:eastAsia="ja-JP"/>
              </w:rPr>
              <w:t>Cohort 1</w:t>
            </w:r>
          </w:p>
        </w:tc>
        <w:tc>
          <w:tcPr>
            <w:tcW w:w="405" w:type="dxa"/>
            <w:tcBorders>
              <w:bottom w:val="single" w:sz="4" w:space="0" w:color="000000"/>
            </w:tcBorders>
            <w:shd w:val="clear" w:color="auto" w:fill="8DB3E2" w:themeFill="text2" w:themeFillTint="66"/>
          </w:tcPr>
          <w:p w14:paraId="4DF45DDC" w14:textId="77777777" w:rsidR="00436BDE" w:rsidRPr="00125E33" w:rsidRDefault="00436BDE" w:rsidP="003610B1">
            <w:pPr>
              <w:spacing w:line="480" w:lineRule="auto"/>
              <w:jc w:val="both"/>
              <w:rPr>
                <w:highlight w:val="darkMagenta"/>
                <w:lang w:eastAsia="ja-JP"/>
              </w:rPr>
            </w:pPr>
          </w:p>
        </w:tc>
        <w:tc>
          <w:tcPr>
            <w:tcW w:w="405" w:type="dxa"/>
            <w:tcBorders>
              <w:bottom w:val="single" w:sz="4" w:space="0" w:color="000000"/>
            </w:tcBorders>
            <w:shd w:val="clear" w:color="auto" w:fill="8DB3E2" w:themeFill="text2" w:themeFillTint="66"/>
          </w:tcPr>
          <w:p w14:paraId="32C1A9F9" w14:textId="77777777" w:rsidR="00436BDE" w:rsidRPr="00125E33" w:rsidRDefault="00436BDE" w:rsidP="003610B1">
            <w:pPr>
              <w:spacing w:line="480" w:lineRule="auto"/>
              <w:jc w:val="both"/>
              <w:rPr>
                <w:highlight w:val="darkMagenta"/>
                <w:lang w:eastAsia="ja-JP"/>
              </w:rPr>
            </w:pPr>
          </w:p>
        </w:tc>
        <w:tc>
          <w:tcPr>
            <w:tcW w:w="403" w:type="dxa"/>
            <w:tcBorders>
              <w:bottom w:val="single" w:sz="4" w:space="0" w:color="000000"/>
            </w:tcBorders>
            <w:shd w:val="clear" w:color="auto" w:fill="8DB3E2" w:themeFill="text2" w:themeFillTint="66"/>
          </w:tcPr>
          <w:p w14:paraId="4AA28242" w14:textId="77777777" w:rsidR="00436BDE" w:rsidRPr="00125E33" w:rsidRDefault="00436BDE" w:rsidP="003610B1">
            <w:pPr>
              <w:spacing w:line="480" w:lineRule="auto"/>
              <w:jc w:val="both"/>
              <w:rPr>
                <w:highlight w:val="darkMagenta"/>
                <w:lang w:eastAsia="ja-JP"/>
              </w:rPr>
            </w:pPr>
          </w:p>
        </w:tc>
        <w:tc>
          <w:tcPr>
            <w:tcW w:w="403" w:type="dxa"/>
            <w:tcBorders>
              <w:bottom w:val="single" w:sz="4" w:space="0" w:color="000000"/>
            </w:tcBorders>
            <w:shd w:val="clear" w:color="auto" w:fill="8DB3E2" w:themeFill="text2" w:themeFillTint="66"/>
          </w:tcPr>
          <w:p w14:paraId="576BFEC8" w14:textId="77777777" w:rsidR="00436BDE" w:rsidRPr="004B0BFC" w:rsidRDefault="00436BDE" w:rsidP="003610B1">
            <w:pPr>
              <w:spacing w:line="480" w:lineRule="auto"/>
              <w:jc w:val="both"/>
              <w:rPr>
                <w:lang w:eastAsia="ja-JP"/>
              </w:rPr>
            </w:pPr>
          </w:p>
        </w:tc>
        <w:tc>
          <w:tcPr>
            <w:tcW w:w="403" w:type="dxa"/>
            <w:tcBorders>
              <w:bottom w:val="single" w:sz="4" w:space="0" w:color="000000"/>
            </w:tcBorders>
            <w:shd w:val="clear" w:color="auto" w:fill="8DB3E2" w:themeFill="text2" w:themeFillTint="66"/>
          </w:tcPr>
          <w:p w14:paraId="651A3292" w14:textId="77777777" w:rsidR="00436BDE" w:rsidRPr="004B0BFC" w:rsidRDefault="00436BDE" w:rsidP="003610B1">
            <w:pPr>
              <w:spacing w:line="480" w:lineRule="auto"/>
              <w:jc w:val="both"/>
              <w:rPr>
                <w:lang w:eastAsia="ja-JP"/>
              </w:rPr>
            </w:pPr>
          </w:p>
        </w:tc>
        <w:tc>
          <w:tcPr>
            <w:tcW w:w="403" w:type="dxa"/>
            <w:tcBorders>
              <w:bottom w:val="single" w:sz="4" w:space="0" w:color="000000"/>
            </w:tcBorders>
            <w:shd w:val="clear" w:color="auto" w:fill="8DB3E2" w:themeFill="text2" w:themeFillTint="66"/>
          </w:tcPr>
          <w:p w14:paraId="3912E4CE" w14:textId="77777777" w:rsidR="00436BDE" w:rsidRPr="004B0BFC" w:rsidRDefault="00436BDE" w:rsidP="003610B1">
            <w:pPr>
              <w:spacing w:line="480" w:lineRule="auto"/>
              <w:jc w:val="both"/>
              <w:rPr>
                <w:lang w:eastAsia="ja-JP"/>
              </w:rPr>
            </w:pPr>
          </w:p>
        </w:tc>
        <w:tc>
          <w:tcPr>
            <w:tcW w:w="403" w:type="dxa"/>
            <w:shd w:val="clear" w:color="auto" w:fill="8DB3E2" w:themeFill="text2" w:themeFillTint="66"/>
          </w:tcPr>
          <w:p w14:paraId="24E07D8B" w14:textId="77777777" w:rsidR="00436BDE" w:rsidRPr="004B0BFC" w:rsidRDefault="00436BDE" w:rsidP="003610B1">
            <w:pPr>
              <w:spacing w:line="480" w:lineRule="auto"/>
              <w:jc w:val="both"/>
              <w:rPr>
                <w:lang w:eastAsia="ja-JP"/>
              </w:rPr>
            </w:pPr>
          </w:p>
        </w:tc>
        <w:tc>
          <w:tcPr>
            <w:tcW w:w="404" w:type="dxa"/>
            <w:shd w:val="clear" w:color="auto" w:fill="8DB3E2" w:themeFill="text2" w:themeFillTint="66"/>
          </w:tcPr>
          <w:p w14:paraId="533CF4A4" w14:textId="77777777" w:rsidR="00436BDE" w:rsidRPr="004B0BFC" w:rsidRDefault="00436BDE" w:rsidP="003610B1">
            <w:pPr>
              <w:spacing w:line="480" w:lineRule="auto"/>
              <w:jc w:val="both"/>
              <w:rPr>
                <w:lang w:eastAsia="ja-JP"/>
              </w:rPr>
            </w:pPr>
          </w:p>
        </w:tc>
        <w:tc>
          <w:tcPr>
            <w:tcW w:w="404" w:type="dxa"/>
          </w:tcPr>
          <w:p w14:paraId="64822BCA" w14:textId="77777777" w:rsidR="00436BDE" w:rsidRPr="004B0BFC" w:rsidRDefault="00436BDE" w:rsidP="003610B1">
            <w:pPr>
              <w:spacing w:line="480" w:lineRule="auto"/>
              <w:jc w:val="both"/>
              <w:rPr>
                <w:lang w:eastAsia="ja-JP"/>
              </w:rPr>
            </w:pPr>
          </w:p>
        </w:tc>
        <w:tc>
          <w:tcPr>
            <w:tcW w:w="456" w:type="dxa"/>
          </w:tcPr>
          <w:p w14:paraId="70D6DA04" w14:textId="77777777" w:rsidR="00436BDE" w:rsidRPr="004B0BFC" w:rsidRDefault="00436BDE" w:rsidP="003610B1">
            <w:pPr>
              <w:spacing w:line="480" w:lineRule="auto"/>
              <w:jc w:val="both"/>
              <w:rPr>
                <w:lang w:eastAsia="ja-JP"/>
              </w:rPr>
            </w:pPr>
          </w:p>
        </w:tc>
        <w:tc>
          <w:tcPr>
            <w:tcW w:w="456" w:type="dxa"/>
          </w:tcPr>
          <w:p w14:paraId="7D76D265" w14:textId="77777777" w:rsidR="00436BDE" w:rsidRPr="004B0BFC" w:rsidRDefault="00436BDE" w:rsidP="003610B1">
            <w:pPr>
              <w:spacing w:line="480" w:lineRule="auto"/>
              <w:jc w:val="both"/>
              <w:rPr>
                <w:lang w:eastAsia="ja-JP"/>
              </w:rPr>
            </w:pPr>
          </w:p>
        </w:tc>
        <w:tc>
          <w:tcPr>
            <w:tcW w:w="456" w:type="dxa"/>
          </w:tcPr>
          <w:p w14:paraId="52727223" w14:textId="77777777" w:rsidR="00436BDE" w:rsidRPr="004B0BFC" w:rsidRDefault="00436BDE" w:rsidP="003610B1">
            <w:pPr>
              <w:spacing w:line="480" w:lineRule="auto"/>
              <w:jc w:val="both"/>
              <w:rPr>
                <w:lang w:eastAsia="ja-JP"/>
              </w:rPr>
            </w:pPr>
          </w:p>
        </w:tc>
        <w:tc>
          <w:tcPr>
            <w:tcW w:w="456" w:type="dxa"/>
          </w:tcPr>
          <w:p w14:paraId="0B9195E4" w14:textId="77777777" w:rsidR="00436BDE" w:rsidRPr="004B0BFC" w:rsidRDefault="00436BDE" w:rsidP="003610B1">
            <w:pPr>
              <w:spacing w:line="480" w:lineRule="auto"/>
              <w:jc w:val="both"/>
              <w:rPr>
                <w:lang w:eastAsia="ja-JP"/>
              </w:rPr>
            </w:pPr>
          </w:p>
        </w:tc>
        <w:tc>
          <w:tcPr>
            <w:tcW w:w="456" w:type="dxa"/>
          </w:tcPr>
          <w:p w14:paraId="6B2FF1E4" w14:textId="77777777" w:rsidR="00436BDE" w:rsidRPr="004B0BFC" w:rsidRDefault="00436BDE" w:rsidP="003610B1">
            <w:pPr>
              <w:spacing w:line="480" w:lineRule="auto"/>
              <w:jc w:val="both"/>
              <w:rPr>
                <w:lang w:eastAsia="ja-JP"/>
              </w:rPr>
            </w:pPr>
          </w:p>
        </w:tc>
        <w:tc>
          <w:tcPr>
            <w:tcW w:w="456" w:type="dxa"/>
          </w:tcPr>
          <w:p w14:paraId="295F9C29" w14:textId="77777777" w:rsidR="00436BDE" w:rsidRPr="004B0BFC" w:rsidRDefault="00436BDE" w:rsidP="003610B1">
            <w:pPr>
              <w:spacing w:line="480" w:lineRule="auto"/>
              <w:jc w:val="both"/>
              <w:rPr>
                <w:lang w:eastAsia="ja-JP"/>
              </w:rPr>
            </w:pPr>
          </w:p>
        </w:tc>
        <w:tc>
          <w:tcPr>
            <w:tcW w:w="456" w:type="dxa"/>
          </w:tcPr>
          <w:p w14:paraId="53F68CC3" w14:textId="77777777" w:rsidR="00436BDE" w:rsidRPr="004B0BFC" w:rsidRDefault="00436BDE" w:rsidP="003610B1">
            <w:pPr>
              <w:spacing w:line="480" w:lineRule="auto"/>
              <w:jc w:val="both"/>
              <w:rPr>
                <w:lang w:eastAsia="ja-JP"/>
              </w:rPr>
            </w:pPr>
          </w:p>
        </w:tc>
      </w:tr>
      <w:tr w:rsidR="00436BDE" w:rsidRPr="004B0BFC" w14:paraId="2C453D68" w14:textId="77777777" w:rsidTr="003610B1">
        <w:trPr>
          <w:trHeight w:hRule="exact" w:val="510"/>
          <w:jc w:val="center"/>
        </w:trPr>
        <w:tc>
          <w:tcPr>
            <w:tcW w:w="1187" w:type="dxa"/>
          </w:tcPr>
          <w:p w14:paraId="1ECBF238" w14:textId="77777777" w:rsidR="00436BDE" w:rsidRPr="00AB31D0" w:rsidRDefault="00436BDE" w:rsidP="003610B1">
            <w:pPr>
              <w:spacing w:line="480" w:lineRule="auto"/>
              <w:jc w:val="both"/>
              <w:rPr>
                <w:b/>
                <w:lang w:eastAsia="ja-JP"/>
              </w:rPr>
            </w:pPr>
            <w:r w:rsidRPr="00AB31D0">
              <w:rPr>
                <w:b/>
                <w:lang w:eastAsia="ja-JP"/>
              </w:rPr>
              <w:t>Cohort 2</w:t>
            </w:r>
          </w:p>
        </w:tc>
        <w:tc>
          <w:tcPr>
            <w:tcW w:w="405" w:type="dxa"/>
            <w:shd w:val="clear" w:color="auto" w:fill="76923C" w:themeFill="accent3" w:themeFillShade="BF"/>
          </w:tcPr>
          <w:p w14:paraId="1118202B" w14:textId="77777777" w:rsidR="00436BDE" w:rsidRPr="004B0BFC" w:rsidRDefault="00436BDE" w:rsidP="003610B1">
            <w:pPr>
              <w:spacing w:line="480" w:lineRule="auto"/>
              <w:jc w:val="both"/>
              <w:rPr>
                <w:lang w:eastAsia="ja-JP"/>
              </w:rPr>
            </w:pPr>
          </w:p>
        </w:tc>
        <w:tc>
          <w:tcPr>
            <w:tcW w:w="405" w:type="dxa"/>
            <w:shd w:val="clear" w:color="auto" w:fill="76923C" w:themeFill="accent3" w:themeFillShade="BF"/>
          </w:tcPr>
          <w:p w14:paraId="6596D295" w14:textId="77777777" w:rsidR="00436BDE" w:rsidRPr="004B0BFC" w:rsidRDefault="00436BDE" w:rsidP="003610B1">
            <w:pPr>
              <w:spacing w:line="480" w:lineRule="auto"/>
              <w:jc w:val="both"/>
              <w:rPr>
                <w:lang w:eastAsia="ja-JP"/>
              </w:rPr>
            </w:pPr>
          </w:p>
        </w:tc>
        <w:tc>
          <w:tcPr>
            <w:tcW w:w="403" w:type="dxa"/>
            <w:shd w:val="clear" w:color="auto" w:fill="76923C" w:themeFill="accent3" w:themeFillShade="BF"/>
          </w:tcPr>
          <w:p w14:paraId="66198A79" w14:textId="77777777" w:rsidR="00436BDE" w:rsidRPr="004B0BFC" w:rsidRDefault="00436BDE" w:rsidP="003610B1">
            <w:pPr>
              <w:spacing w:line="480" w:lineRule="auto"/>
              <w:jc w:val="both"/>
              <w:rPr>
                <w:lang w:eastAsia="ja-JP"/>
              </w:rPr>
            </w:pPr>
          </w:p>
        </w:tc>
        <w:tc>
          <w:tcPr>
            <w:tcW w:w="403" w:type="dxa"/>
            <w:shd w:val="clear" w:color="auto" w:fill="76923C" w:themeFill="accent3" w:themeFillShade="BF"/>
          </w:tcPr>
          <w:p w14:paraId="7CE236D2" w14:textId="77777777" w:rsidR="00436BDE" w:rsidRPr="004B0BFC" w:rsidRDefault="00436BDE" w:rsidP="003610B1">
            <w:pPr>
              <w:spacing w:line="480" w:lineRule="auto"/>
              <w:jc w:val="both"/>
              <w:rPr>
                <w:lang w:eastAsia="ja-JP"/>
              </w:rPr>
            </w:pPr>
          </w:p>
        </w:tc>
        <w:tc>
          <w:tcPr>
            <w:tcW w:w="403" w:type="dxa"/>
            <w:tcBorders>
              <w:bottom w:val="single" w:sz="4" w:space="0" w:color="000000"/>
            </w:tcBorders>
            <w:shd w:val="clear" w:color="auto" w:fill="76923C" w:themeFill="accent3" w:themeFillShade="BF"/>
          </w:tcPr>
          <w:p w14:paraId="0D5E0197" w14:textId="77777777" w:rsidR="00436BDE" w:rsidRPr="004B0BFC" w:rsidRDefault="00436BDE" w:rsidP="003610B1">
            <w:pPr>
              <w:spacing w:line="480" w:lineRule="auto"/>
              <w:jc w:val="both"/>
              <w:rPr>
                <w:lang w:eastAsia="ja-JP"/>
              </w:rPr>
            </w:pPr>
          </w:p>
        </w:tc>
        <w:tc>
          <w:tcPr>
            <w:tcW w:w="403" w:type="dxa"/>
            <w:tcBorders>
              <w:bottom w:val="single" w:sz="4" w:space="0" w:color="000000"/>
            </w:tcBorders>
            <w:shd w:val="clear" w:color="auto" w:fill="76923C" w:themeFill="accent3" w:themeFillShade="BF"/>
          </w:tcPr>
          <w:p w14:paraId="6A6FB586" w14:textId="77777777" w:rsidR="00436BDE" w:rsidRPr="004B0BFC" w:rsidRDefault="00436BDE" w:rsidP="003610B1">
            <w:pPr>
              <w:spacing w:line="480" w:lineRule="auto"/>
              <w:jc w:val="both"/>
              <w:rPr>
                <w:lang w:eastAsia="ja-JP"/>
              </w:rPr>
            </w:pPr>
          </w:p>
        </w:tc>
        <w:tc>
          <w:tcPr>
            <w:tcW w:w="403" w:type="dxa"/>
            <w:tcBorders>
              <w:bottom w:val="single" w:sz="4" w:space="0" w:color="000000"/>
            </w:tcBorders>
            <w:shd w:val="clear" w:color="auto" w:fill="76923C" w:themeFill="accent3" w:themeFillShade="BF"/>
          </w:tcPr>
          <w:p w14:paraId="5A93D44F" w14:textId="77777777" w:rsidR="00436BDE" w:rsidRPr="004B0BFC" w:rsidRDefault="00436BDE" w:rsidP="003610B1">
            <w:pPr>
              <w:spacing w:line="480" w:lineRule="auto"/>
              <w:jc w:val="both"/>
              <w:rPr>
                <w:lang w:eastAsia="ja-JP"/>
              </w:rPr>
            </w:pPr>
          </w:p>
        </w:tc>
        <w:tc>
          <w:tcPr>
            <w:tcW w:w="404" w:type="dxa"/>
            <w:tcBorders>
              <w:bottom w:val="single" w:sz="4" w:space="0" w:color="000000"/>
            </w:tcBorders>
            <w:shd w:val="clear" w:color="auto" w:fill="76923C" w:themeFill="accent3" w:themeFillShade="BF"/>
          </w:tcPr>
          <w:p w14:paraId="7444B37D" w14:textId="77777777" w:rsidR="00436BDE" w:rsidRPr="004B0BFC" w:rsidRDefault="00436BDE" w:rsidP="003610B1">
            <w:pPr>
              <w:spacing w:line="480" w:lineRule="auto"/>
              <w:jc w:val="both"/>
              <w:rPr>
                <w:lang w:eastAsia="ja-JP"/>
              </w:rPr>
            </w:pPr>
          </w:p>
        </w:tc>
        <w:tc>
          <w:tcPr>
            <w:tcW w:w="404" w:type="dxa"/>
            <w:tcBorders>
              <w:bottom w:val="single" w:sz="4" w:space="0" w:color="000000"/>
            </w:tcBorders>
            <w:shd w:val="clear" w:color="auto" w:fill="76923C" w:themeFill="accent3" w:themeFillShade="BF"/>
          </w:tcPr>
          <w:p w14:paraId="0AA6A59E" w14:textId="77777777" w:rsidR="00436BDE" w:rsidRPr="004B0BFC" w:rsidRDefault="00436BDE" w:rsidP="003610B1">
            <w:pPr>
              <w:spacing w:line="480" w:lineRule="auto"/>
              <w:jc w:val="both"/>
              <w:rPr>
                <w:lang w:eastAsia="ja-JP"/>
              </w:rPr>
            </w:pPr>
          </w:p>
        </w:tc>
        <w:tc>
          <w:tcPr>
            <w:tcW w:w="456" w:type="dxa"/>
            <w:tcBorders>
              <w:bottom w:val="single" w:sz="4" w:space="0" w:color="000000"/>
            </w:tcBorders>
            <w:shd w:val="clear" w:color="auto" w:fill="76923C" w:themeFill="accent3" w:themeFillShade="BF"/>
          </w:tcPr>
          <w:p w14:paraId="362C64C2" w14:textId="77777777" w:rsidR="00436BDE" w:rsidRPr="004B0BFC" w:rsidRDefault="00436BDE" w:rsidP="003610B1">
            <w:pPr>
              <w:spacing w:line="480" w:lineRule="auto"/>
              <w:jc w:val="both"/>
              <w:rPr>
                <w:lang w:eastAsia="ja-JP"/>
              </w:rPr>
            </w:pPr>
          </w:p>
        </w:tc>
        <w:tc>
          <w:tcPr>
            <w:tcW w:w="456" w:type="dxa"/>
            <w:tcBorders>
              <w:bottom w:val="single" w:sz="4" w:space="0" w:color="000000"/>
            </w:tcBorders>
            <w:shd w:val="clear" w:color="auto" w:fill="76923C" w:themeFill="accent3" w:themeFillShade="BF"/>
          </w:tcPr>
          <w:p w14:paraId="60222F75" w14:textId="77777777" w:rsidR="00436BDE" w:rsidRPr="004B0BFC" w:rsidRDefault="00436BDE" w:rsidP="003610B1">
            <w:pPr>
              <w:spacing w:line="480" w:lineRule="auto"/>
              <w:jc w:val="both"/>
              <w:rPr>
                <w:lang w:eastAsia="ja-JP"/>
              </w:rPr>
            </w:pPr>
          </w:p>
        </w:tc>
        <w:tc>
          <w:tcPr>
            <w:tcW w:w="456" w:type="dxa"/>
            <w:tcBorders>
              <w:bottom w:val="single" w:sz="4" w:space="0" w:color="000000"/>
            </w:tcBorders>
            <w:shd w:val="clear" w:color="auto" w:fill="76923C" w:themeFill="accent3" w:themeFillShade="BF"/>
          </w:tcPr>
          <w:p w14:paraId="1A837233" w14:textId="77777777" w:rsidR="00436BDE" w:rsidRPr="004B0BFC" w:rsidRDefault="00436BDE" w:rsidP="003610B1">
            <w:pPr>
              <w:spacing w:line="480" w:lineRule="auto"/>
              <w:jc w:val="both"/>
              <w:rPr>
                <w:lang w:eastAsia="ja-JP"/>
              </w:rPr>
            </w:pPr>
          </w:p>
        </w:tc>
        <w:tc>
          <w:tcPr>
            <w:tcW w:w="456" w:type="dxa"/>
            <w:shd w:val="clear" w:color="auto" w:fill="76923C" w:themeFill="accent3" w:themeFillShade="BF"/>
          </w:tcPr>
          <w:p w14:paraId="3FC0C813" w14:textId="77777777" w:rsidR="00436BDE" w:rsidRPr="004B0BFC" w:rsidRDefault="00436BDE" w:rsidP="003610B1">
            <w:pPr>
              <w:spacing w:line="480" w:lineRule="auto"/>
              <w:jc w:val="both"/>
              <w:rPr>
                <w:lang w:eastAsia="ja-JP"/>
              </w:rPr>
            </w:pPr>
          </w:p>
        </w:tc>
        <w:tc>
          <w:tcPr>
            <w:tcW w:w="456" w:type="dxa"/>
            <w:shd w:val="clear" w:color="auto" w:fill="76923C" w:themeFill="accent3" w:themeFillShade="BF"/>
          </w:tcPr>
          <w:p w14:paraId="61C8478F" w14:textId="77777777" w:rsidR="00436BDE" w:rsidRPr="004B0BFC" w:rsidRDefault="00436BDE" w:rsidP="003610B1">
            <w:pPr>
              <w:spacing w:line="480" w:lineRule="auto"/>
              <w:jc w:val="both"/>
              <w:rPr>
                <w:lang w:eastAsia="ja-JP"/>
              </w:rPr>
            </w:pPr>
          </w:p>
        </w:tc>
        <w:tc>
          <w:tcPr>
            <w:tcW w:w="456" w:type="dxa"/>
            <w:shd w:val="clear" w:color="auto" w:fill="76923C" w:themeFill="accent3" w:themeFillShade="BF"/>
          </w:tcPr>
          <w:p w14:paraId="5B6E1DCD" w14:textId="77777777" w:rsidR="00436BDE" w:rsidRPr="004B0BFC" w:rsidRDefault="00436BDE" w:rsidP="003610B1">
            <w:pPr>
              <w:spacing w:line="480" w:lineRule="auto"/>
              <w:jc w:val="both"/>
              <w:rPr>
                <w:lang w:eastAsia="ja-JP"/>
              </w:rPr>
            </w:pPr>
          </w:p>
        </w:tc>
        <w:tc>
          <w:tcPr>
            <w:tcW w:w="456" w:type="dxa"/>
            <w:shd w:val="clear" w:color="auto" w:fill="76923C" w:themeFill="accent3" w:themeFillShade="BF"/>
          </w:tcPr>
          <w:p w14:paraId="2A7A2E0C" w14:textId="77777777" w:rsidR="00436BDE" w:rsidRPr="004B0BFC" w:rsidRDefault="00436BDE" w:rsidP="003610B1">
            <w:pPr>
              <w:spacing w:line="480" w:lineRule="auto"/>
              <w:jc w:val="both"/>
              <w:rPr>
                <w:lang w:eastAsia="ja-JP"/>
              </w:rPr>
            </w:pPr>
          </w:p>
        </w:tc>
      </w:tr>
      <w:tr w:rsidR="00436BDE" w:rsidRPr="004B0BFC" w14:paraId="5C66645D" w14:textId="77777777" w:rsidTr="003610B1">
        <w:trPr>
          <w:trHeight w:hRule="exact" w:val="510"/>
          <w:jc w:val="center"/>
        </w:trPr>
        <w:tc>
          <w:tcPr>
            <w:tcW w:w="1187" w:type="dxa"/>
          </w:tcPr>
          <w:p w14:paraId="77517759" w14:textId="77777777" w:rsidR="00436BDE" w:rsidRPr="00AB31D0" w:rsidRDefault="00436BDE" w:rsidP="003610B1">
            <w:pPr>
              <w:spacing w:line="480" w:lineRule="auto"/>
              <w:jc w:val="both"/>
              <w:rPr>
                <w:b/>
                <w:lang w:eastAsia="ja-JP"/>
              </w:rPr>
            </w:pPr>
            <w:r w:rsidRPr="00AB31D0">
              <w:rPr>
                <w:b/>
                <w:lang w:eastAsia="ja-JP"/>
              </w:rPr>
              <w:t>Cohort 3</w:t>
            </w:r>
          </w:p>
        </w:tc>
        <w:tc>
          <w:tcPr>
            <w:tcW w:w="405" w:type="dxa"/>
            <w:shd w:val="clear" w:color="auto" w:fill="FFFFFF" w:themeFill="background1"/>
          </w:tcPr>
          <w:p w14:paraId="0B5C96DC" w14:textId="77777777" w:rsidR="00436BDE" w:rsidRPr="004B0BFC" w:rsidRDefault="00436BDE" w:rsidP="003610B1">
            <w:pPr>
              <w:spacing w:line="480" w:lineRule="auto"/>
              <w:jc w:val="both"/>
              <w:rPr>
                <w:lang w:eastAsia="ja-JP"/>
              </w:rPr>
            </w:pPr>
          </w:p>
        </w:tc>
        <w:tc>
          <w:tcPr>
            <w:tcW w:w="405" w:type="dxa"/>
            <w:shd w:val="clear" w:color="auto" w:fill="FFFFFF" w:themeFill="background1"/>
          </w:tcPr>
          <w:p w14:paraId="7A141D68" w14:textId="77777777" w:rsidR="00436BDE" w:rsidRPr="004B0BFC" w:rsidRDefault="00436BDE" w:rsidP="003610B1">
            <w:pPr>
              <w:spacing w:line="480" w:lineRule="auto"/>
              <w:jc w:val="both"/>
              <w:rPr>
                <w:lang w:eastAsia="ja-JP"/>
              </w:rPr>
            </w:pPr>
          </w:p>
        </w:tc>
        <w:tc>
          <w:tcPr>
            <w:tcW w:w="403" w:type="dxa"/>
            <w:shd w:val="clear" w:color="auto" w:fill="FFFFFF" w:themeFill="background1"/>
          </w:tcPr>
          <w:p w14:paraId="70B9146B" w14:textId="77777777" w:rsidR="00436BDE" w:rsidRPr="004B0BFC" w:rsidRDefault="00436BDE" w:rsidP="003610B1">
            <w:pPr>
              <w:spacing w:line="480" w:lineRule="auto"/>
              <w:jc w:val="both"/>
              <w:rPr>
                <w:lang w:eastAsia="ja-JP"/>
              </w:rPr>
            </w:pPr>
          </w:p>
        </w:tc>
        <w:tc>
          <w:tcPr>
            <w:tcW w:w="403" w:type="dxa"/>
            <w:shd w:val="clear" w:color="auto" w:fill="FFFFFF" w:themeFill="background1"/>
          </w:tcPr>
          <w:p w14:paraId="07512D9B" w14:textId="77777777" w:rsidR="00436BDE" w:rsidRPr="004B0BFC" w:rsidRDefault="00436BDE" w:rsidP="003610B1">
            <w:pPr>
              <w:spacing w:line="480" w:lineRule="auto"/>
              <w:jc w:val="both"/>
              <w:rPr>
                <w:lang w:eastAsia="ja-JP"/>
              </w:rPr>
            </w:pPr>
          </w:p>
        </w:tc>
        <w:tc>
          <w:tcPr>
            <w:tcW w:w="403" w:type="dxa"/>
            <w:shd w:val="clear" w:color="auto" w:fill="FFFFFF" w:themeFill="background1"/>
          </w:tcPr>
          <w:p w14:paraId="504F59F7" w14:textId="77777777" w:rsidR="00436BDE" w:rsidRPr="004B0BFC" w:rsidRDefault="00436BDE" w:rsidP="003610B1">
            <w:pPr>
              <w:spacing w:line="480" w:lineRule="auto"/>
              <w:jc w:val="both"/>
              <w:rPr>
                <w:lang w:eastAsia="ja-JP"/>
              </w:rPr>
            </w:pPr>
          </w:p>
        </w:tc>
        <w:tc>
          <w:tcPr>
            <w:tcW w:w="403" w:type="dxa"/>
            <w:shd w:val="clear" w:color="auto" w:fill="FFFFFF" w:themeFill="background1"/>
          </w:tcPr>
          <w:p w14:paraId="0F3B3D96" w14:textId="77777777" w:rsidR="00436BDE" w:rsidRPr="004B0BFC" w:rsidRDefault="00436BDE" w:rsidP="003610B1">
            <w:pPr>
              <w:spacing w:line="480" w:lineRule="auto"/>
              <w:jc w:val="both"/>
              <w:rPr>
                <w:lang w:eastAsia="ja-JP"/>
              </w:rPr>
            </w:pPr>
          </w:p>
        </w:tc>
        <w:tc>
          <w:tcPr>
            <w:tcW w:w="403" w:type="dxa"/>
            <w:tcBorders>
              <w:bottom w:val="single" w:sz="4" w:space="0" w:color="000000"/>
            </w:tcBorders>
            <w:shd w:val="clear" w:color="auto" w:fill="auto"/>
          </w:tcPr>
          <w:p w14:paraId="6EB669B3" w14:textId="77777777" w:rsidR="00436BDE" w:rsidRPr="004B0BFC" w:rsidRDefault="00436BDE" w:rsidP="003610B1">
            <w:pPr>
              <w:spacing w:line="480" w:lineRule="auto"/>
              <w:jc w:val="both"/>
              <w:rPr>
                <w:lang w:eastAsia="ja-JP"/>
              </w:rPr>
            </w:pPr>
          </w:p>
        </w:tc>
        <w:tc>
          <w:tcPr>
            <w:tcW w:w="404" w:type="dxa"/>
            <w:tcBorders>
              <w:bottom w:val="single" w:sz="4" w:space="0" w:color="000000"/>
            </w:tcBorders>
            <w:shd w:val="clear" w:color="auto" w:fill="auto"/>
          </w:tcPr>
          <w:p w14:paraId="6701D96F" w14:textId="77777777" w:rsidR="00436BDE" w:rsidRPr="004B0BFC" w:rsidRDefault="00436BDE" w:rsidP="003610B1">
            <w:pPr>
              <w:spacing w:line="480" w:lineRule="auto"/>
              <w:jc w:val="both"/>
              <w:rPr>
                <w:lang w:eastAsia="ja-JP"/>
              </w:rPr>
            </w:pPr>
          </w:p>
        </w:tc>
        <w:tc>
          <w:tcPr>
            <w:tcW w:w="404" w:type="dxa"/>
            <w:tcBorders>
              <w:bottom w:val="single" w:sz="4" w:space="0" w:color="000000"/>
            </w:tcBorders>
            <w:shd w:val="clear" w:color="auto" w:fill="E36C0A" w:themeFill="accent6" w:themeFillShade="BF"/>
          </w:tcPr>
          <w:p w14:paraId="4CFF5642" w14:textId="77777777" w:rsidR="00436BDE" w:rsidRPr="004B0BFC" w:rsidRDefault="00436BDE" w:rsidP="003610B1">
            <w:pPr>
              <w:spacing w:line="480" w:lineRule="auto"/>
              <w:jc w:val="both"/>
              <w:rPr>
                <w:lang w:eastAsia="ja-JP"/>
              </w:rPr>
            </w:pPr>
          </w:p>
        </w:tc>
        <w:tc>
          <w:tcPr>
            <w:tcW w:w="456" w:type="dxa"/>
            <w:tcBorders>
              <w:bottom w:val="single" w:sz="4" w:space="0" w:color="000000"/>
            </w:tcBorders>
            <w:shd w:val="clear" w:color="auto" w:fill="E36C0A" w:themeFill="accent6" w:themeFillShade="BF"/>
          </w:tcPr>
          <w:p w14:paraId="7A9D0122" w14:textId="77777777" w:rsidR="00436BDE" w:rsidRPr="004B0BFC" w:rsidRDefault="00436BDE" w:rsidP="003610B1">
            <w:pPr>
              <w:spacing w:line="480" w:lineRule="auto"/>
              <w:jc w:val="both"/>
              <w:rPr>
                <w:lang w:eastAsia="ja-JP"/>
              </w:rPr>
            </w:pPr>
          </w:p>
        </w:tc>
        <w:tc>
          <w:tcPr>
            <w:tcW w:w="456" w:type="dxa"/>
            <w:tcBorders>
              <w:bottom w:val="single" w:sz="4" w:space="0" w:color="000000"/>
            </w:tcBorders>
            <w:shd w:val="clear" w:color="auto" w:fill="E36C0A" w:themeFill="accent6" w:themeFillShade="BF"/>
          </w:tcPr>
          <w:p w14:paraId="7441696A" w14:textId="77777777" w:rsidR="00436BDE" w:rsidRPr="004B0BFC" w:rsidRDefault="00436BDE" w:rsidP="003610B1">
            <w:pPr>
              <w:spacing w:line="480" w:lineRule="auto"/>
              <w:jc w:val="both"/>
              <w:rPr>
                <w:lang w:eastAsia="ja-JP"/>
              </w:rPr>
            </w:pPr>
          </w:p>
        </w:tc>
        <w:tc>
          <w:tcPr>
            <w:tcW w:w="456" w:type="dxa"/>
            <w:tcBorders>
              <w:bottom w:val="single" w:sz="4" w:space="0" w:color="000000"/>
            </w:tcBorders>
            <w:shd w:val="clear" w:color="auto" w:fill="E36C0A" w:themeFill="accent6" w:themeFillShade="BF"/>
          </w:tcPr>
          <w:p w14:paraId="0C75EF49" w14:textId="77777777" w:rsidR="00436BDE" w:rsidRPr="004B0BFC" w:rsidRDefault="00436BDE" w:rsidP="003610B1">
            <w:pPr>
              <w:spacing w:line="480" w:lineRule="auto"/>
              <w:jc w:val="both"/>
              <w:rPr>
                <w:lang w:eastAsia="ja-JP"/>
              </w:rPr>
            </w:pPr>
          </w:p>
        </w:tc>
        <w:tc>
          <w:tcPr>
            <w:tcW w:w="456" w:type="dxa"/>
            <w:tcBorders>
              <w:bottom w:val="single" w:sz="4" w:space="0" w:color="000000"/>
            </w:tcBorders>
            <w:shd w:val="clear" w:color="auto" w:fill="E36C0A" w:themeFill="accent6" w:themeFillShade="BF"/>
          </w:tcPr>
          <w:p w14:paraId="23698D07" w14:textId="77777777" w:rsidR="00436BDE" w:rsidRPr="004B0BFC" w:rsidRDefault="00436BDE" w:rsidP="003610B1">
            <w:pPr>
              <w:spacing w:line="480" w:lineRule="auto"/>
              <w:jc w:val="both"/>
              <w:rPr>
                <w:lang w:eastAsia="ja-JP"/>
              </w:rPr>
            </w:pPr>
          </w:p>
        </w:tc>
        <w:tc>
          <w:tcPr>
            <w:tcW w:w="456" w:type="dxa"/>
            <w:tcBorders>
              <w:bottom w:val="single" w:sz="4" w:space="0" w:color="000000"/>
            </w:tcBorders>
            <w:shd w:val="clear" w:color="auto" w:fill="E36C0A" w:themeFill="accent6" w:themeFillShade="BF"/>
          </w:tcPr>
          <w:p w14:paraId="2354004A" w14:textId="77777777" w:rsidR="00436BDE" w:rsidRPr="004B0BFC" w:rsidRDefault="00436BDE" w:rsidP="003610B1">
            <w:pPr>
              <w:spacing w:line="480" w:lineRule="auto"/>
              <w:jc w:val="both"/>
              <w:rPr>
                <w:lang w:eastAsia="ja-JP"/>
              </w:rPr>
            </w:pPr>
          </w:p>
        </w:tc>
        <w:tc>
          <w:tcPr>
            <w:tcW w:w="456" w:type="dxa"/>
            <w:tcBorders>
              <w:bottom w:val="single" w:sz="4" w:space="0" w:color="000000"/>
            </w:tcBorders>
            <w:shd w:val="clear" w:color="auto" w:fill="E36C0A" w:themeFill="accent6" w:themeFillShade="BF"/>
          </w:tcPr>
          <w:p w14:paraId="689BD9F1" w14:textId="77777777" w:rsidR="00436BDE" w:rsidRPr="004B0BFC" w:rsidRDefault="00436BDE" w:rsidP="003610B1">
            <w:pPr>
              <w:spacing w:line="480" w:lineRule="auto"/>
              <w:jc w:val="both"/>
              <w:rPr>
                <w:lang w:eastAsia="ja-JP"/>
              </w:rPr>
            </w:pPr>
          </w:p>
        </w:tc>
        <w:tc>
          <w:tcPr>
            <w:tcW w:w="456" w:type="dxa"/>
            <w:tcBorders>
              <w:bottom w:val="single" w:sz="4" w:space="0" w:color="000000"/>
            </w:tcBorders>
            <w:shd w:val="clear" w:color="auto" w:fill="E36C0A" w:themeFill="accent6" w:themeFillShade="BF"/>
          </w:tcPr>
          <w:p w14:paraId="3E04E232" w14:textId="77777777" w:rsidR="00436BDE" w:rsidRPr="004B0BFC" w:rsidRDefault="00436BDE" w:rsidP="003610B1">
            <w:pPr>
              <w:spacing w:line="480" w:lineRule="auto"/>
              <w:jc w:val="both"/>
              <w:rPr>
                <w:lang w:eastAsia="ja-JP"/>
              </w:rPr>
            </w:pPr>
          </w:p>
        </w:tc>
      </w:tr>
    </w:tbl>
    <w:p w14:paraId="5F253992" w14:textId="77777777" w:rsidR="00436BDE" w:rsidRDefault="00436BDE" w:rsidP="00436BDE">
      <w:pPr>
        <w:pStyle w:val="Textkrper-Einzug2"/>
        <w:spacing w:line="360" w:lineRule="auto"/>
        <w:ind w:firstLine="0"/>
        <w:jc w:val="both"/>
        <w:rPr>
          <w:lang w:eastAsia="ja-JP"/>
        </w:rPr>
      </w:pPr>
    </w:p>
    <w:p w14:paraId="321E848F" w14:textId="77777777" w:rsidR="00436BDE" w:rsidRPr="00C26D82" w:rsidRDefault="00436BDE" w:rsidP="00436BDE">
      <w:pPr>
        <w:pStyle w:val="Textkrper-Einzug2"/>
        <w:spacing w:line="360" w:lineRule="auto"/>
        <w:ind w:firstLine="0"/>
        <w:jc w:val="both"/>
        <w:rPr>
          <w:b/>
          <w:lang w:eastAsia="ja-JP"/>
        </w:rPr>
      </w:pPr>
      <w:r>
        <w:rPr>
          <w:b/>
          <w:lang w:eastAsia="ja-JP"/>
        </w:rPr>
        <w:t>Share</w:t>
      </w:r>
      <w:r w:rsidRPr="00C26D82">
        <w:rPr>
          <w:b/>
          <w:lang w:eastAsia="ja-JP"/>
        </w:rPr>
        <w:t xml:space="preserve"> value</w:t>
      </w:r>
    </w:p>
    <w:p w14:paraId="57D038B7" w14:textId="21BC995C" w:rsidR="00436BDE" w:rsidRDefault="00436BDE" w:rsidP="00436BDE">
      <w:pPr>
        <w:pStyle w:val="Textkrper-Einzug2"/>
        <w:spacing w:line="360" w:lineRule="auto"/>
        <w:ind w:firstLine="0"/>
        <w:jc w:val="both"/>
        <w:rPr>
          <w:lang w:eastAsia="ja-JP"/>
        </w:rPr>
      </w:pPr>
      <w:r>
        <w:rPr>
          <w:lang w:eastAsia="ja-JP"/>
        </w:rPr>
        <w:t xml:space="preserve">At the end of the session (period 16), any shares in the hands of the members of Cohort </w:t>
      </w:r>
      <w:r w:rsidRPr="000D23D2">
        <w:rPr>
          <w:lang w:eastAsia="ja-JP"/>
        </w:rPr>
        <w:t>3</w:t>
      </w:r>
      <w:r>
        <w:rPr>
          <w:lang w:eastAsia="ja-JP"/>
        </w:rPr>
        <w:t xml:space="preserve"> will pay a dividend of </w:t>
      </w:r>
      <w:r w:rsidRPr="00484AA0">
        <w:rPr>
          <w:lang w:eastAsia="ja-JP"/>
        </w:rPr>
        <w:t xml:space="preserve">50 </w:t>
      </w:r>
      <w:proofErr w:type="spellStart"/>
      <w:r w:rsidR="007A6BB6">
        <w:rPr>
          <w:lang w:eastAsia="ja-JP"/>
        </w:rPr>
        <w:t>taler</w:t>
      </w:r>
      <w:proofErr w:type="spellEnd"/>
      <w:r>
        <w:rPr>
          <w:lang w:eastAsia="ja-JP"/>
        </w:rPr>
        <w:t xml:space="preserve"> per unit, while </w:t>
      </w:r>
      <w:r w:rsidRPr="000018D9">
        <w:rPr>
          <w:lang w:eastAsia="ja-JP"/>
        </w:rPr>
        <w:t xml:space="preserve">the shares held by cohort </w:t>
      </w:r>
      <w:r>
        <w:rPr>
          <w:lang w:eastAsia="ja-JP"/>
        </w:rPr>
        <w:t>2</w:t>
      </w:r>
      <w:r w:rsidRPr="000018D9">
        <w:rPr>
          <w:lang w:eastAsia="ja-JP"/>
        </w:rPr>
        <w:t xml:space="preserve"> will not pay a dividend</w:t>
      </w:r>
      <w:r>
        <w:rPr>
          <w:lang w:eastAsia="ja-JP"/>
        </w:rPr>
        <w:t>. The shares do not pay any other dividends in earlier periods and are worthless after paying the dividend at the end of Period 16 to members of Cohort 3.</w:t>
      </w:r>
    </w:p>
    <w:p w14:paraId="6A1CAB5B" w14:textId="77777777" w:rsidR="00436BDE" w:rsidRDefault="00436BDE" w:rsidP="00436BDE">
      <w:pPr>
        <w:pStyle w:val="Textkrper-Einzug2"/>
        <w:spacing w:line="360" w:lineRule="auto"/>
        <w:ind w:firstLine="0"/>
        <w:jc w:val="both"/>
        <w:rPr>
          <w:b/>
          <w:lang w:eastAsia="ja-JP"/>
        </w:rPr>
      </w:pPr>
    </w:p>
    <w:p w14:paraId="68E6AAF5" w14:textId="77777777" w:rsidR="00436BDE" w:rsidRPr="00D748D8" w:rsidRDefault="00436BDE" w:rsidP="00436BDE">
      <w:pPr>
        <w:pStyle w:val="Textkrper-Einzug2"/>
        <w:spacing w:line="360" w:lineRule="auto"/>
        <w:ind w:firstLine="0"/>
        <w:jc w:val="both"/>
        <w:rPr>
          <w:b/>
          <w:lang w:eastAsia="ja-JP"/>
        </w:rPr>
      </w:pPr>
      <w:r w:rsidRPr="00D748D8">
        <w:rPr>
          <w:b/>
          <w:lang w:eastAsia="ja-JP"/>
        </w:rPr>
        <w:t>Endowments</w:t>
      </w:r>
      <w:r>
        <w:rPr>
          <w:b/>
          <w:lang w:eastAsia="ja-JP"/>
        </w:rPr>
        <w:t xml:space="preserve"> and payment</w:t>
      </w:r>
    </w:p>
    <w:p w14:paraId="74395E3B" w14:textId="77777777" w:rsidR="00436BDE" w:rsidRDefault="00436BDE" w:rsidP="00436BDE">
      <w:pPr>
        <w:pStyle w:val="Textkrper-Einzug2"/>
        <w:spacing w:line="360" w:lineRule="auto"/>
        <w:ind w:firstLine="0"/>
        <w:jc w:val="both"/>
        <w:rPr>
          <w:lang w:eastAsia="ja-JP"/>
        </w:rPr>
      </w:pPr>
      <w:r w:rsidRPr="00D748D8">
        <w:rPr>
          <w:i/>
          <w:lang w:eastAsia="ja-JP"/>
        </w:rPr>
        <w:t>Cohort 1</w:t>
      </w:r>
      <w:r>
        <w:rPr>
          <w:lang w:eastAsia="ja-JP"/>
        </w:rPr>
        <w:t xml:space="preserve"> will enter the market at the beginning of Period 1 with an endowment of </w:t>
      </w:r>
      <w:r w:rsidRPr="00484AA0">
        <w:rPr>
          <w:lang w:eastAsia="ja-JP"/>
        </w:rPr>
        <w:t xml:space="preserve">16 </w:t>
      </w:r>
      <w:r>
        <w:rPr>
          <w:lang w:eastAsia="ja-JP"/>
        </w:rPr>
        <w:t xml:space="preserve">shares in the hands of each member and no cash. When they exit the market at the end of Period </w:t>
      </w:r>
      <w:r w:rsidRPr="00484AA0">
        <w:rPr>
          <w:lang w:eastAsia="ja-JP"/>
        </w:rPr>
        <w:t>8</w:t>
      </w:r>
      <w:r>
        <w:rPr>
          <w:lang w:eastAsia="ja-JP"/>
        </w:rPr>
        <w:t xml:space="preserve">, </w:t>
      </w:r>
      <w:r w:rsidRPr="00202E37">
        <w:rPr>
          <w:lang w:eastAsia="ja-JP"/>
        </w:rPr>
        <w:t xml:space="preserve">any remaining shares in their hands are worthless. </w:t>
      </w:r>
      <w:r>
        <w:rPr>
          <w:lang w:eastAsia="ja-JP"/>
        </w:rPr>
        <w:t>When</w:t>
      </w:r>
      <w:r w:rsidRPr="00202E37">
        <w:rPr>
          <w:lang w:eastAsia="ja-JP"/>
        </w:rPr>
        <w:t xml:space="preserve"> </w:t>
      </w:r>
      <w:r>
        <w:rPr>
          <w:lang w:eastAsia="ja-JP"/>
        </w:rPr>
        <w:t>cohort</w:t>
      </w:r>
      <w:r w:rsidRPr="00202E37">
        <w:rPr>
          <w:lang w:eastAsia="ja-JP"/>
        </w:rPr>
        <w:t xml:space="preserve"> </w:t>
      </w:r>
      <w:r w:rsidRPr="00484AA0">
        <w:rPr>
          <w:lang w:eastAsia="ja-JP"/>
        </w:rPr>
        <w:t>1</w:t>
      </w:r>
      <w:r w:rsidRPr="000D23D2">
        <w:rPr>
          <w:color w:val="FF0000"/>
          <w:lang w:eastAsia="ja-JP"/>
        </w:rPr>
        <w:t xml:space="preserve"> </w:t>
      </w:r>
      <w:r w:rsidRPr="000D23D2">
        <w:rPr>
          <w:lang w:eastAsia="ja-JP"/>
        </w:rPr>
        <w:t>exit</w:t>
      </w:r>
      <w:r>
        <w:rPr>
          <w:lang w:eastAsia="ja-JP"/>
        </w:rPr>
        <w:t>s</w:t>
      </w:r>
      <w:r w:rsidRPr="000D23D2">
        <w:rPr>
          <w:lang w:eastAsia="ja-JP"/>
        </w:rPr>
        <w:t xml:space="preserve">, any </w:t>
      </w:r>
      <w:r w:rsidRPr="00202E37">
        <w:rPr>
          <w:lang w:eastAsia="ja-JP"/>
        </w:rPr>
        <w:t>unsold share</w:t>
      </w:r>
      <w:r>
        <w:rPr>
          <w:lang w:eastAsia="ja-JP"/>
        </w:rPr>
        <w:t>s</w:t>
      </w:r>
      <w:r w:rsidRPr="00202E37">
        <w:rPr>
          <w:lang w:eastAsia="ja-JP"/>
        </w:rPr>
        <w:t xml:space="preserve"> </w:t>
      </w:r>
      <w:r w:rsidRPr="00202E37">
        <w:rPr>
          <w:lang w:eastAsia="ja-JP"/>
        </w:rPr>
        <w:lastRenderedPageBreak/>
        <w:t>(worthless to the</w:t>
      </w:r>
      <w:r>
        <w:rPr>
          <w:lang w:eastAsia="ja-JP"/>
        </w:rPr>
        <w:t>m</w:t>
      </w:r>
      <w:r w:rsidRPr="00202E37">
        <w:rPr>
          <w:lang w:eastAsia="ja-JP"/>
        </w:rPr>
        <w:t>) will be distributed among randomly chosen members of the entering c</w:t>
      </w:r>
      <w:r w:rsidRPr="00202E37">
        <w:rPr>
          <w:lang w:eastAsia="ja-JP"/>
        </w:rPr>
        <w:t>o</w:t>
      </w:r>
      <w:r w:rsidRPr="00202E37">
        <w:rPr>
          <w:lang w:eastAsia="ja-JP"/>
        </w:rPr>
        <w:t>hort</w:t>
      </w:r>
      <w:r w:rsidRPr="00202E37">
        <w:rPr>
          <w:rFonts w:hint="eastAsia"/>
          <w:lang w:eastAsia="ja-JP"/>
        </w:rPr>
        <w:t xml:space="preserve"> at </w:t>
      </w:r>
      <w:r>
        <w:rPr>
          <w:lang w:eastAsia="ja-JP"/>
        </w:rPr>
        <w:t>no cost</w:t>
      </w:r>
      <w:r w:rsidRPr="00202E37">
        <w:rPr>
          <w:rFonts w:hint="eastAsia"/>
          <w:lang w:eastAsia="ja-JP"/>
        </w:rPr>
        <w:t>.</w:t>
      </w:r>
      <w:r>
        <w:rPr>
          <w:lang w:eastAsia="ja-JP"/>
        </w:rPr>
        <w:t xml:space="preserve"> </w:t>
      </w:r>
    </w:p>
    <w:p w14:paraId="57E0E67B" w14:textId="63D0F5B8" w:rsidR="00436BDE" w:rsidRDefault="00436BDE" w:rsidP="00436BDE">
      <w:pPr>
        <w:pStyle w:val="Textkrper-Einzug2"/>
        <w:spacing w:line="360" w:lineRule="auto"/>
        <w:jc w:val="both"/>
        <w:rPr>
          <w:lang w:eastAsia="ja-JP"/>
        </w:rPr>
      </w:pPr>
      <w:r w:rsidRPr="00D748D8">
        <w:rPr>
          <w:i/>
          <w:lang w:eastAsia="ja-JP"/>
        </w:rPr>
        <w:t>Cohort 2</w:t>
      </w:r>
      <w:r>
        <w:rPr>
          <w:lang w:eastAsia="ja-JP"/>
        </w:rPr>
        <w:t xml:space="preserve"> will enter the market at the beginning of period 1 with an endowment of </w:t>
      </w:r>
      <w:r w:rsidRPr="00484AA0">
        <w:rPr>
          <w:lang w:eastAsia="ja-JP"/>
        </w:rPr>
        <w:t xml:space="preserve">1.600 </w:t>
      </w:r>
      <w:proofErr w:type="spellStart"/>
      <w:r w:rsidR="007A6BB6">
        <w:rPr>
          <w:lang w:eastAsia="ja-JP"/>
        </w:rPr>
        <w:t>taler</w:t>
      </w:r>
      <w:proofErr w:type="spellEnd"/>
      <w:r>
        <w:rPr>
          <w:lang w:eastAsia="ja-JP"/>
        </w:rPr>
        <w:t xml:space="preserve"> each and no shares. They may use these </w:t>
      </w:r>
      <w:proofErr w:type="spellStart"/>
      <w:r w:rsidR="007A6BB6">
        <w:rPr>
          <w:lang w:eastAsia="ja-JP"/>
        </w:rPr>
        <w:t>taler</w:t>
      </w:r>
      <w:r>
        <w:rPr>
          <w:lang w:eastAsia="ja-JP"/>
        </w:rPr>
        <w:t>s</w:t>
      </w:r>
      <w:proofErr w:type="spellEnd"/>
      <w:r>
        <w:rPr>
          <w:lang w:eastAsia="ja-JP"/>
        </w:rPr>
        <w:t xml:space="preserve"> to buy any number of shares they wish to. Again, when they exit the market at the end of Period </w:t>
      </w:r>
      <w:r w:rsidRPr="00484AA0">
        <w:rPr>
          <w:lang w:eastAsia="ja-JP"/>
        </w:rPr>
        <w:t>16</w:t>
      </w:r>
      <w:r>
        <w:rPr>
          <w:lang w:eastAsia="ja-JP"/>
        </w:rPr>
        <w:t xml:space="preserve">, </w:t>
      </w:r>
      <w:r w:rsidRPr="00202E37">
        <w:rPr>
          <w:lang w:eastAsia="ja-JP"/>
        </w:rPr>
        <w:t>any remaining shares in their hands are worthless.</w:t>
      </w:r>
      <w:r>
        <w:rPr>
          <w:lang w:eastAsia="ja-JP"/>
        </w:rPr>
        <w:t xml:space="preserve"> </w:t>
      </w:r>
    </w:p>
    <w:p w14:paraId="69F6EFFF" w14:textId="03BBA79D" w:rsidR="00436BDE" w:rsidRDefault="00436BDE" w:rsidP="00436BDE">
      <w:pPr>
        <w:pStyle w:val="Textkrper-Einzug2"/>
        <w:spacing w:line="360" w:lineRule="auto"/>
        <w:jc w:val="both"/>
        <w:rPr>
          <w:lang w:eastAsia="ja-JP"/>
        </w:rPr>
      </w:pPr>
      <w:r>
        <w:rPr>
          <w:lang w:eastAsia="ja-JP"/>
        </w:rPr>
        <w:t xml:space="preserve">Cohort </w:t>
      </w:r>
      <w:r w:rsidRPr="00484AA0">
        <w:rPr>
          <w:lang w:eastAsia="ja-JP"/>
        </w:rPr>
        <w:t>3</w:t>
      </w:r>
      <w:r>
        <w:rPr>
          <w:lang w:eastAsia="ja-JP"/>
        </w:rPr>
        <w:t xml:space="preserve"> also enters the market with </w:t>
      </w:r>
      <w:r w:rsidRPr="00484AA0">
        <w:rPr>
          <w:lang w:eastAsia="ja-JP"/>
        </w:rPr>
        <w:t xml:space="preserve">1.600 </w:t>
      </w:r>
      <w:proofErr w:type="spellStart"/>
      <w:r w:rsidR="007A6BB6">
        <w:rPr>
          <w:lang w:eastAsia="ja-JP"/>
        </w:rPr>
        <w:t>taler</w:t>
      </w:r>
      <w:r>
        <w:rPr>
          <w:lang w:eastAsia="ja-JP"/>
        </w:rPr>
        <w:t>s</w:t>
      </w:r>
      <w:proofErr w:type="spellEnd"/>
      <w:r>
        <w:rPr>
          <w:lang w:eastAsia="ja-JP"/>
        </w:rPr>
        <w:t xml:space="preserve"> each and will be able to use these </w:t>
      </w:r>
      <w:proofErr w:type="spellStart"/>
      <w:r w:rsidR="007A6BB6">
        <w:rPr>
          <w:lang w:eastAsia="ja-JP"/>
        </w:rPr>
        <w:t>t</w:t>
      </w:r>
      <w:r w:rsidR="007A6BB6">
        <w:rPr>
          <w:lang w:eastAsia="ja-JP"/>
        </w:rPr>
        <w:t>a</w:t>
      </w:r>
      <w:r w:rsidR="007A6BB6">
        <w:rPr>
          <w:lang w:eastAsia="ja-JP"/>
        </w:rPr>
        <w:t>ler</w:t>
      </w:r>
      <w:r>
        <w:rPr>
          <w:lang w:eastAsia="ja-JP"/>
        </w:rPr>
        <w:t>s</w:t>
      </w:r>
      <w:proofErr w:type="spellEnd"/>
      <w:r>
        <w:rPr>
          <w:lang w:eastAsia="ja-JP"/>
        </w:rPr>
        <w:t xml:space="preserve"> to buy any shares they wish to during periods </w:t>
      </w:r>
      <w:r w:rsidRPr="00484AA0">
        <w:rPr>
          <w:lang w:eastAsia="ja-JP"/>
        </w:rPr>
        <w:t>9-16</w:t>
      </w:r>
      <w:r>
        <w:rPr>
          <w:lang w:eastAsia="ja-JP"/>
        </w:rPr>
        <w:t xml:space="preserve">. At the end of Period 16, any shares remaining in their hands pay a </w:t>
      </w:r>
      <w:r w:rsidRPr="00433991">
        <w:rPr>
          <w:lang w:eastAsia="ja-JP"/>
        </w:rPr>
        <w:t xml:space="preserve">dividend of </w:t>
      </w:r>
      <w:r w:rsidRPr="00484AA0">
        <w:rPr>
          <w:lang w:eastAsia="ja-JP"/>
        </w:rPr>
        <w:t xml:space="preserve">50 </w:t>
      </w:r>
      <w:proofErr w:type="spellStart"/>
      <w:r w:rsidR="007A6BB6">
        <w:rPr>
          <w:lang w:eastAsia="ja-JP"/>
        </w:rPr>
        <w:t>taler</w:t>
      </w:r>
      <w:proofErr w:type="spellEnd"/>
      <w:r w:rsidRPr="00433991">
        <w:rPr>
          <w:lang w:eastAsia="ja-JP"/>
        </w:rPr>
        <w:t xml:space="preserve"> </w:t>
      </w:r>
      <w:r>
        <w:rPr>
          <w:lang w:eastAsia="ja-JP"/>
        </w:rPr>
        <w:t xml:space="preserve">each, which is added to their </w:t>
      </w:r>
      <w:proofErr w:type="spellStart"/>
      <w:r w:rsidR="007A6BB6">
        <w:rPr>
          <w:lang w:eastAsia="ja-JP"/>
        </w:rPr>
        <w:t>taler</w:t>
      </w:r>
      <w:proofErr w:type="spellEnd"/>
      <w:r>
        <w:rPr>
          <w:lang w:eastAsia="ja-JP"/>
        </w:rPr>
        <w:t xml:space="preserve"> hol</w:t>
      </w:r>
      <w:r>
        <w:rPr>
          <w:lang w:eastAsia="ja-JP"/>
        </w:rPr>
        <w:t>d</w:t>
      </w:r>
      <w:r>
        <w:rPr>
          <w:lang w:eastAsia="ja-JP"/>
        </w:rPr>
        <w:t xml:space="preserve">ings. </w:t>
      </w:r>
    </w:p>
    <w:p w14:paraId="4161F862" w14:textId="0E942334" w:rsidR="00436BDE" w:rsidRDefault="00436BDE" w:rsidP="00436BDE">
      <w:pPr>
        <w:pStyle w:val="Textkrper-Einzug2"/>
        <w:spacing w:line="360" w:lineRule="auto"/>
        <w:jc w:val="both"/>
        <w:rPr>
          <w:lang w:eastAsia="ja-JP"/>
        </w:rPr>
      </w:pPr>
      <w:r>
        <w:rPr>
          <w:lang w:eastAsia="ja-JP"/>
        </w:rPr>
        <w:t xml:space="preserve">When Cohort 1 and 2 leave the market their </w:t>
      </w:r>
      <w:proofErr w:type="spellStart"/>
      <w:r w:rsidR="007A6BB6">
        <w:rPr>
          <w:lang w:eastAsia="ja-JP"/>
        </w:rPr>
        <w:t>taler</w:t>
      </w:r>
      <w:proofErr w:type="spellEnd"/>
      <w:r>
        <w:rPr>
          <w:lang w:eastAsia="ja-JP"/>
        </w:rPr>
        <w:t xml:space="preserve"> holdings will be converted into E</w:t>
      </w:r>
      <w:r>
        <w:rPr>
          <w:lang w:eastAsia="ja-JP"/>
        </w:rPr>
        <w:t>U</w:t>
      </w:r>
      <w:r>
        <w:rPr>
          <w:lang w:eastAsia="ja-JP"/>
        </w:rPr>
        <w:t xml:space="preserve">RO at the following exchange rates: </w:t>
      </w:r>
      <w:r w:rsidRPr="00B60BFB">
        <w:rPr>
          <w:b/>
          <w:lang w:eastAsia="ja-JP"/>
        </w:rPr>
        <w:t>Cohort 1</w:t>
      </w:r>
      <w:r>
        <w:rPr>
          <w:b/>
          <w:lang w:eastAsia="ja-JP"/>
        </w:rPr>
        <w:t xml:space="preserve"> and 2</w:t>
      </w:r>
      <w:r>
        <w:rPr>
          <w:lang w:eastAsia="ja-JP"/>
        </w:rPr>
        <w:t xml:space="preserve">: </w:t>
      </w:r>
      <w:r w:rsidRPr="00484AA0">
        <w:rPr>
          <w:lang w:eastAsia="ja-JP"/>
        </w:rPr>
        <w:t xml:space="preserve">100 </w:t>
      </w:r>
      <w:proofErr w:type="spellStart"/>
      <w:r w:rsidR="007A6BB6">
        <w:rPr>
          <w:lang w:eastAsia="ja-JP"/>
        </w:rPr>
        <w:t>taler</w:t>
      </w:r>
      <w:proofErr w:type="spellEnd"/>
      <w:r>
        <w:rPr>
          <w:lang w:eastAsia="ja-JP"/>
        </w:rPr>
        <w:t xml:space="preserve"> = 1 Euro; </w:t>
      </w:r>
      <w:r w:rsidRPr="00B60BFB">
        <w:rPr>
          <w:b/>
          <w:lang w:eastAsia="ja-JP"/>
        </w:rPr>
        <w:t xml:space="preserve">Cohort </w:t>
      </w:r>
      <w:r>
        <w:rPr>
          <w:b/>
          <w:lang w:eastAsia="ja-JP"/>
        </w:rPr>
        <w:t>3</w:t>
      </w:r>
      <w:r>
        <w:rPr>
          <w:lang w:eastAsia="ja-JP"/>
        </w:rPr>
        <w:t xml:space="preserve">: </w:t>
      </w:r>
      <w:r w:rsidRPr="00484AA0">
        <w:rPr>
          <w:lang w:eastAsia="ja-JP"/>
        </w:rPr>
        <w:t xml:space="preserve">200 </w:t>
      </w:r>
      <w:proofErr w:type="spellStart"/>
      <w:r w:rsidR="007A6BB6">
        <w:rPr>
          <w:lang w:eastAsia="ja-JP"/>
        </w:rPr>
        <w:t>taler</w:t>
      </w:r>
      <w:proofErr w:type="spellEnd"/>
      <w:r>
        <w:rPr>
          <w:lang w:eastAsia="ja-JP"/>
        </w:rPr>
        <w:t xml:space="preserve"> = 1 Euro.</w:t>
      </w:r>
    </w:p>
    <w:p w14:paraId="66828CE9" w14:textId="77777777" w:rsidR="00436BDE" w:rsidRPr="0033429C" w:rsidRDefault="00436BDE" w:rsidP="00436BDE">
      <w:pPr>
        <w:rPr>
          <w:sz w:val="24"/>
          <w:szCs w:val="24"/>
          <w:lang w:eastAsia="ja-JP"/>
        </w:rPr>
      </w:pPr>
    </w:p>
    <w:p w14:paraId="3964A129" w14:textId="77777777" w:rsidR="00436BDE" w:rsidRPr="00436BDE" w:rsidRDefault="00436BDE" w:rsidP="0033429C">
      <w:pPr>
        <w:pStyle w:val="Textkrper-Einzug2"/>
        <w:spacing w:line="360" w:lineRule="auto"/>
        <w:ind w:firstLine="0"/>
        <w:jc w:val="both"/>
        <w:rPr>
          <w:b/>
          <w:lang w:eastAsia="ja-JP"/>
        </w:rPr>
      </w:pPr>
      <w:r w:rsidRPr="00436BDE">
        <w:rPr>
          <w:b/>
          <w:lang w:eastAsia="ja-JP"/>
        </w:rPr>
        <w:t>Trading</w:t>
      </w:r>
    </w:p>
    <w:p w14:paraId="6487658E" w14:textId="67F179A1" w:rsidR="00436BDE" w:rsidRDefault="00436BDE" w:rsidP="00436BDE">
      <w:pPr>
        <w:pStyle w:val="Textkrper-Einzug2"/>
        <w:spacing w:line="360" w:lineRule="auto"/>
        <w:ind w:firstLine="0"/>
        <w:jc w:val="both"/>
        <w:rPr>
          <w:lang w:eastAsia="ja-JP"/>
        </w:rPr>
      </w:pPr>
      <w:r>
        <w:rPr>
          <w:lang w:eastAsia="ja-JP"/>
        </w:rPr>
        <w:t xml:space="preserve">Trading will take place through a double auction (see Figure 2, explained in detail later on by the instructor). As a buyer you can submit as many bids as you wish, each for a </w:t>
      </w:r>
      <w:r w:rsidRPr="00E073EF">
        <w:rPr>
          <w:lang w:eastAsia="ja-JP"/>
        </w:rPr>
        <w:t xml:space="preserve">single </w:t>
      </w:r>
      <w:r>
        <w:rPr>
          <w:lang w:eastAsia="ja-JP"/>
        </w:rPr>
        <w:t>share, provided that you have enough c</w:t>
      </w:r>
      <w:r>
        <w:rPr>
          <w:rFonts w:hint="eastAsia"/>
          <w:lang w:eastAsia="ja-JP"/>
        </w:rPr>
        <w:t>ash to pay</w:t>
      </w:r>
      <w:r>
        <w:rPr>
          <w:lang w:eastAsia="ja-JP"/>
        </w:rPr>
        <w:t xml:space="preserve"> if your bids are accepted. Buying </w:t>
      </w:r>
      <w:r>
        <w:rPr>
          <w:rFonts w:hint="eastAsia"/>
          <w:lang w:eastAsia="ja-JP"/>
        </w:rPr>
        <w:t>a share</w:t>
      </w:r>
      <w:r>
        <w:rPr>
          <w:lang w:eastAsia="ja-JP"/>
        </w:rPr>
        <w:t xml:space="preserve"> reduces </w:t>
      </w:r>
      <w:r>
        <w:rPr>
          <w:rFonts w:hint="eastAsia"/>
          <w:lang w:eastAsia="ja-JP"/>
        </w:rPr>
        <w:t xml:space="preserve">your cash balance by the purchase price. </w:t>
      </w:r>
      <w:r>
        <w:rPr>
          <w:lang w:eastAsia="ja-JP"/>
        </w:rPr>
        <w:t>Similarly, as a seller you can submit offer prices at which you are willing to sell each of the shares you own. You can accept any offer submitted by others if you have the cash to pay; and you can accept any bid from others if you own a share. If a bid or ask is accepted, a transaction is recorded at the bid/ask price</w:t>
      </w:r>
      <w:r w:rsidRPr="00850EC1">
        <w:rPr>
          <w:lang w:eastAsia="ja-JP"/>
        </w:rPr>
        <w:t>.</w:t>
      </w:r>
      <w:r>
        <w:rPr>
          <w:lang w:eastAsia="ja-JP"/>
        </w:rPr>
        <w:t xml:space="preserve"> Prices are d</w:t>
      </w:r>
      <w:r>
        <w:rPr>
          <w:lang w:eastAsia="ja-JP"/>
        </w:rPr>
        <w:t>e</w:t>
      </w:r>
      <w:r>
        <w:rPr>
          <w:lang w:eastAsia="ja-JP"/>
        </w:rPr>
        <w:t xml:space="preserve">termined only by the bids, asks and acceptances submitted by the </w:t>
      </w:r>
      <w:r w:rsidR="00440147">
        <w:rPr>
          <w:lang w:eastAsia="ja-JP"/>
        </w:rPr>
        <w:t>investor</w:t>
      </w:r>
      <w:r>
        <w:rPr>
          <w:lang w:eastAsia="ja-JP"/>
        </w:rPr>
        <w:t xml:space="preserve">s in the market. Note that neither your share nor the </w:t>
      </w:r>
      <w:proofErr w:type="spellStart"/>
      <w:r w:rsidR="007A6BB6">
        <w:rPr>
          <w:lang w:eastAsia="ja-JP"/>
        </w:rPr>
        <w:t>taler</w:t>
      </w:r>
      <w:proofErr w:type="spellEnd"/>
      <w:r>
        <w:rPr>
          <w:lang w:eastAsia="ja-JP"/>
        </w:rPr>
        <w:t xml:space="preserve"> inventories are allowed to fall below zero. Outstan</w:t>
      </w:r>
      <w:r>
        <w:rPr>
          <w:lang w:eastAsia="ja-JP"/>
        </w:rPr>
        <w:t>d</w:t>
      </w:r>
      <w:r>
        <w:rPr>
          <w:lang w:eastAsia="ja-JP"/>
        </w:rPr>
        <w:t>ing bids and offers can be canceled at any time without cost. All bids and asks are automat</w:t>
      </w:r>
      <w:r>
        <w:rPr>
          <w:lang w:eastAsia="ja-JP"/>
        </w:rPr>
        <w:t>i</w:t>
      </w:r>
      <w:r>
        <w:rPr>
          <w:lang w:eastAsia="ja-JP"/>
        </w:rPr>
        <w:t>cally cancelled at the end of a period.</w:t>
      </w:r>
    </w:p>
    <w:p w14:paraId="394FD340" w14:textId="77777777" w:rsidR="00436BDE" w:rsidRDefault="00436BDE" w:rsidP="00436BDE">
      <w:pPr>
        <w:pStyle w:val="Textkrper-Einzug2"/>
        <w:spacing w:line="360" w:lineRule="auto"/>
        <w:ind w:firstLine="0"/>
        <w:jc w:val="both"/>
        <w:rPr>
          <w:i/>
          <w:lang w:eastAsia="ja-JP"/>
        </w:rPr>
      </w:pPr>
    </w:p>
    <w:p w14:paraId="46680FD9" w14:textId="77777777" w:rsidR="00436BDE" w:rsidRDefault="00436BDE">
      <w:pPr>
        <w:rPr>
          <w:i/>
          <w:sz w:val="24"/>
          <w:szCs w:val="24"/>
          <w:lang w:eastAsia="ja-JP"/>
        </w:rPr>
      </w:pPr>
      <w:r>
        <w:rPr>
          <w:i/>
          <w:lang w:eastAsia="ja-JP"/>
        </w:rPr>
        <w:br w:type="page"/>
      </w:r>
    </w:p>
    <w:p w14:paraId="2134CA41" w14:textId="77777777" w:rsidR="00436BDE" w:rsidRDefault="00436BDE" w:rsidP="00436BDE">
      <w:pPr>
        <w:pStyle w:val="Textkrper-Einzug2"/>
        <w:spacing w:line="360" w:lineRule="auto"/>
        <w:ind w:firstLine="0"/>
        <w:jc w:val="both"/>
        <w:rPr>
          <w:i/>
          <w:lang w:eastAsia="ja-JP"/>
        </w:rPr>
      </w:pPr>
      <w:r>
        <w:rPr>
          <w:i/>
          <w:lang w:eastAsia="ja-JP"/>
        </w:rPr>
        <w:lastRenderedPageBreak/>
        <w:t>Figure 2</w:t>
      </w:r>
      <w:proofErr w:type="gramStart"/>
      <w:r>
        <w:rPr>
          <w:i/>
          <w:lang w:eastAsia="ja-JP"/>
        </w:rPr>
        <w:t>:</w:t>
      </w:r>
      <w:r w:rsidRPr="008C00B3">
        <w:rPr>
          <w:i/>
          <w:lang w:eastAsia="ja-JP"/>
        </w:rPr>
        <w:t>Trading</w:t>
      </w:r>
      <w:proofErr w:type="gramEnd"/>
      <w:r w:rsidRPr="008C00B3">
        <w:rPr>
          <w:i/>
          <w:lang w:eastAsia="ja-JP"/>
        </w:rPr>
        <w:t xml:space="preserve"> screen </w:t>
      </w:r>
    </w:p>
    <w:p w14:paraId="013FF1F7" w14:textId="77777777" w:rsidR="0033429C" w:rsidRDefault="0033429C" w:rsidP="00436BDE">
      <w:pPr>
        <w:pStyle w:val="Textkrper-Einzug2"/>
        <w:spacing w:line="360" w:lineRule="auto"/>
        <w:ind w:firstLine="0"/>
        <w:jc w:val="both"/>
        <w:rPr>
          <w:i/>
          <w:lang w:eastAsia="ja-JP"/>
        </w:rPr>
      </w:pPr>
      <w:r>
        <w:rPr>
          <w:i/>
          <w:noProof/>
          <w:lang w:val="de-DE" w:eastAsia="de-DE"/>
        </w:rPr>
        <w:drawing>
          <wp:anchor distT="0" distB="0" distL="114300" distR="114300" simplePos="0" relativeHeight="251675136" behindDoc="1" locked="0" layoutInCell="1" allowOverlap="1" wp14:anchorId="3AA62310" wp14:editId="129BFD66">
            <wp:simplePos x="0" y="0"/>
            <wp:positionH relativeFrom="column">
              <wp:posOffset>-143123</wp:posOffset>
            </wp:positionH>
            <wp:positionV relativeFrom="paragraph">
              <wp:posOffset>707169</wp:posOffset>
            </wp:positionV>
            <wp:extent cx="5852160" cy="3872285"/>
            <wp:effectExtent l="0" t="0" r="0" b="0"/>
            <wp:wrapNone/>
            <wp:docPr id="40" name="Grafik 40" descr="J:\c434\c434_finanzen\AHKS Storage\2013_Hirota Sunder\Screens\Trading_screen_PRED_T2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434\c434_finanzen\AHKS Storage\2013_Hirota Sunder\Screens\Trading_screen_PRED_T2L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52160" cy="3872285"/>
                    </a:xfrm>
                    <a:prstGeom prst="rect">
                      <a:avLst/>
                    </a:prstGeom>
                    <a:noFill/>
                    <a:ln>
                      <a:noFill/>
                    </a:ln>
                  </pic:spPr>
                </pic:pic>
              </a:graphicData>
            </a:graphic>
          </wp:anchor>
        </w:drawing>
      </w:r>
    </w:p>
    <w:p w14:paraId="0D3235C0" w14:textId="77777777" w:rsidR="0033429C" w:rsidRDefault="0033429C" w:rsidP="00436BDE">
      <w:pPr>
        <w:pStyle w:val="Textkrper-Einzug2"/>
        <w:spacing w:line="360" w:lineRule="auto"/>
        <w:ind w:firstLine="0"/>
        <w:jc w:val="both"/>
        <w:rPr>
          <w:lang w:eastAsia="ja-JP"/>
        </w:rPr>
      </w:pPr>
    </w:p>
    <w:p w14:paraId="5A44AFE3" w14:textId="77777777" w:rsidR="00436BDE" w:rsidRPr="008C00B3" w:rsidRDefault="00292FF3" w:rsidP="00436BDE">
      <w:pPr>
        <w:pStyle w:val="Textkrper-Einzug2"/>
        <w:spacing w:line="360" w:lineRule="auto"/>
        <w:ind w:firstLine="0"/>
        <w:jc w:val="both"/>
        <w:rPr>
          <w:i/>
          <w:lang w:eastAsia="ja-JP"/>
        </w:rPr>
      </w:pPr>
      <w:r>
        <w:rPr>
          <w:noProof/>
          <w:lang w:val="de-DE" w:eastAsia="de-DE"/>
        </w:rPr>
        <mc:AlternateContent>
          <mc:Choice Requires="wps">
            <w:drawing>
              <wp:anchor distT="0" distB="0" distL="114300" distR="114300" simplePos="0" relativeHeight="251664896" behindDoc="0" locked="0" layoutInCell="1" allowOverlap="1" wp14:anchorId="0554EAB4" wp14:editId="25BCBB28">
                <wp:simplePos x="0" y="0"/>
                <wp:positionH relativeFrom="column">
                  <wp:posOffset>398145</wp:posOffset>
                </wp:positionH>
                <wp:positionV relativeFrom="paragraph">
                  <wp:posOffset>1557020</wp:posOffset>
                </wp:positionV>
                <wp:extent cx="962025" cy="369570"/>
                <wp:effectExtent l="0" t="0" r="28575" b="11430"/>
                <wp:wrapTopAndBottom/>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9570"/>
                        </a:xfrm>
                        <a:prstGeom prst="rect">
                          <a:avLst/>
                        </a:prstGeom>
                        <a:solidFill>
                          <a:srgbClr val="FFFFFF"/>
                        </a:solidFill>
                        <a:ln w="9525">
                          <a:solidFill>
                            <a:srgbClr val="000000"/>
                          </a:solidFill>
                          <a:miter lim="800000"/>
                          <a:headEnd/>
                          <a:tailEnd/>
                        </a:ln>
                      </wps:spPr>
                      <wps:txbx>
                        <w:txbxContent>
                          <w:p w14:paraId="0B923299" w14:textId="77777777" w:rsidR="00795305" w:rsidRPr="00F11C14" w:rsidRDefault="00795305" w:rsidP="00436BDE">
                            <w:pPr>
                              <w:autoSpaceDE w:val="0"/>
                              <w:autoSpaceDN w:val="0"/>
                              <w:adjustRightInd w:val="0"/>
                              <w:rPr>
                                <w:sz w:val="14"/>
                                <w:szCs w:val="18"/>
                              </w:rPr>
                            </w:pPr>
                            <w:r w:rsidRPr="00F11C14">
                              <w:rPr>
                                <w:rFonts w:ascii="Arial,Bold" w:hAnsi="Arial,Bold" w:cs="Arial,Bold"/>
                                <w:b/>
                                <w:bCs/>
                                <w:sz w:val="18"/>
                                <w:szCs w:val="22"/>
                              </w:rPr>
                              <w:t>Current Market Price</w:t>
                            </w:r>
                            <w:r w:rsidRPr="00F11C14">
                              <w:rPr>
                                <w:rFonts w:ascii="Arial,Bold" w:hAnsi="Arial,Bold" w:cs="Arial,Bold"/>
                                <w:b/>
                                <w:bCs/>
                                <w:sz w:val="14"/>
                                <w:szCs w:val="18"/>
                              </w:rPr>
                              <w:t xml:space="preserve"> </w:t>
                            </w:r>
                            <w:r w:rsidRPr="00F11C14">
                              <w:rPr>
                                <w:rFonts w:ascii="Arial" w:hAnsi="Arial" w:cs="Arial"/>
                                <w:sz w:val="14"/>
                                <w:szCs w:val="18"/>
                              </w:rPr>
                              <w:t>(of Stock)</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left:0;text-align:left;margin-left:31.35pt;margin-top:122.6pt;width:75.75pt;height:2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">
                <v:textbox inset="1.5mm,,1.5mm">
                  <w:txbxContent>
                    <w:p w14:paraId="0B923299" w14:textId="77777777" w:rsidR="00795305" w:rsidRPr="00F11C14" w:rsidRDefault="00795305" w:rsidP="00436BDE">
                      <w:pPr>
                        <w:autoSpaceDE w:val="0"/>
                        <w:autoSpaceDN w:val="0"/>
                        <w:adjustRightInd w:val="0"/>
                        <w:rPr>
                          <w:sz w:val="14"/>
                          <w:szCs w:val="18"/>
                        </w:rPr>
                      </w:pPr>
                      <w:r w:rsidRPr="00F11C14">
                        <w:rPr>
                          <w:rFonts w:ascii="Arial,Bold" w:hAnsi="Arial,Bold" w:cs="Arial,Bold"/>
                          <w:b/>
                          <w:bCs/>
                          <w:sz w:val="18"/>
                          <w:szCs w:val="22"/>
                        </w:rPr>
                        <w:t>Current Market Price</w:t>
                      </w:r>
                      <w:r w:rsidRPr="00F11C14">
                        <w:rPr>
                          <w:rFonts w:ascii="Arial,Bold" w:hAnsi="Arial,Bold" w:cs="Arial,Bold"/>
                          <w:b/>
                          <w:bCs/>
                          <w:sz w:val="14"/>
                          <w:szCs w:val="18"/>
                        </w:rPr>
                        <w:t xml:space="preserve"> </w:t>
                      </w:r>
                      <w:r w:rsidRPr="00F11C14">
                        <w:rPr>
                          <w:rFonts w:ascii="Arial" w:hAnsi="Arial" w:cs="Arial"/>
                          <w:sz w:val="14"/>
                          <w:szCs w:val="18"/>
                        </w:rPr>
                        <w:t>(of Stock)</w:t>
                      </w:r>
                    </w:p>
                  </w:txbxContent>
                </v:textbox>
                <w10:wrap type="topAndBottom"/>
              </v:shape>
            </w:pict>
          </mc:Fallback>
        </mc:AlternateContent>
      </w:r>
      <w:r>
        <w:rPr>
          <w:noProof/>
          <w:lang w:val="de-DE" w:eastAsia="de-DE"/>
        </w:rPr>
        <mc:AlternateContent>
          <mc:Choice Requires="wps">
            <w:drawing>
              <wp:anchor distT="0" distB="0" distL="114300" distR="114300" simplePos="0" relativeHeight="251665920" behindDoc="0" locked="0" layoutInCell="1" allowOverlap="1" wp14:anchorId="5464B71C" wp14:editId="36D19540">
                <wp:simplePos x="0" y="0"/>
                <wp:positionH relativeFrom="column">
                  <wp:posOffset>581660</wp:posOffset>
                </wp:positionH>
                <wp:positionV relativeFrom="paragraph">
                  <wp:posOffset>3089275</wp:posOffset>
                </wp:positionV>
                <wp:extent cx="1581150" cy="269875"/>
                <wp:effectExtent l="0" t="0" r="19050" b="15875"/>
                <wp:wrapTopAndBottom/>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9875"/>
                        </a:xfrm>
                        <a:prstGeom prst="rect">
                          <a:avLst/>
                        </a:prstGeom>
                        <a:solidFill>
                          <a:srgbClr val="FFFFFF"/>
                        </a:solidFill>
                        <a:ln w="9525">
                          <a:solidFill>
                            <a:srgbClr val="000000"/>
                          </a:solidFill>
                          <a:miter lim="800000"/>
                          <a:headEnd/>
                          <a:tailEnd/>
                        </a:ln>
                      </wps:spPr>
                      <wps:txbx>
                        <w:txbxContent>
                          <w:p w14:paraId="15B07812" w14:textId="77777777" w:rsidR="00795305" w:rsidRPr="00F11C14" w:rsidRDefault="00795305" w:rsidP="00436BDE">
                            <w:pPr>
                              <w:autoSpaceDE w:val="0"/>
                              <w:autoSpaceDN w:val="0"/>
                              <w:adjustRightInd w:val="0"/>
                              <w:rPr>
                                <w:sz w:val="16"/>
                                <w:szCs w:val="18"/>
                              </w:rPr>
                            </w:pPr>
                            <w:r w:rsidRPr="004E2A70">
                              <w:rPr>
                                <w:rFonts w:ascii="Arial,Bold" w:hAnsi="Arial,Bold" w:cs="Arial,Bold"/>
                                <w:b/>
                                <w:bCs/>
                                <w:sz w:val="18"/>
                                <w:szCs w:val="22"/>
                              </w:rPr>
                              <w:t>Price-Chart</w:t>
                            </w:r>
                            <w:r w:rsidRPr="004E2A70">
                              <w:rPr>
                                <w:rFonts w:ascii="Arial,Bold" w:hAnsi="Arial,Bold" w:cs="Arial,Bold"/>
                                <w:b/>
                                <w:bCs/>
                                <w:sz w:val="14"/>
                                <w:szCs w:val="18"/>
                              </w:rPr>
                              <w:t xml:space="preserve"> </w:t>
                            </w:r>
                            <w:r w:rsidRPr="00F11C14">
                              <w:rPr>
                                <w:rFonts w:ascii="Arial" w:hAnsi="Arial" w:cs="Arial"/>
                                <w:sz w:val="16"/>
                                <w:szCs w:val="18"/>
                              </w:rPr>
                              <w:t>of current period</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9" o:spid="_x0000_s1027" type="#_x0000_t202" style="position:absolute;left:0;text-align:left;margin-left:45.8pt;margin-top:243.25pt;width:124.5pt;height:2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">
                <v:textbox inset="1.5mm,,1.5mm">
                  <w:txbxContent>
                    <w:p w14:paraId="15B07812" w14:textId="77777777" w:rsidR="00795305" w:rsidRPr="00F11C14" w:rsidRDefault="00795305" w:rsidP="00436BDE">
                      <w:pPr>
                        <w:autoSpaceDE w:val="0"/>
                        <w:autoSpaceDN w:val="0"/>
                        <w:adjustRightInd w:val="0"/>
                        <w:rPr>
                          <w:sz w:val="16"/>
                          <w:szCs w:val="18"/>
                        </w:rPr>
                      </w:pPr>
                      <w:r w:rsidRPr="004E2A70">
                        <w:rPr>
                          <w:rFonts w:ascii="Arial,Bold" w:hAnsi="Arial,Bold" w:cs="Arial,Bold"/>
                          <w:b/>
                          <w:bCs/>
                          <w:sz w:val="18"/>
                          <w:szCs w:val="22"/>
                        </w:rPr>
                        <w:t>Price-Chart</w:t>
                      </w:r>
                      <w:r w:rsidRPr="004E2A70">
                        <w:rPr>
                          <w:rFonts w:ascii="Arial,Bold" w:hAnsi="Arial,Bold" w:cs="Arial,Bold"/>
                          <w:b/>
                          <w:bCs/>
                          <w:sz w:val="14"/>
                          <w:szCs w:val="18"/>
                        </w:rPr>
                        <w:t xml:space="preserve"> </w:t>
                      </w:r>
                      <w:r w:rsidRPr="00F11C14">
                        <w:rPr>
                          <w:rFonts w:ascii="Arial" w:hAnsi="Arial" w:cs="Arial"/>
                          <w:sz w:val="16"/>
                          <w:szCs w:val="18"/>
                        </w:rPr>
                        <w:t>of current period</w:t>
                      </w:r>
                    </w:p>
                  </w:txbxContent>
                </v:textbox>
                <w10:wrap type="topAndBottom"/>
              </v:shape>
            </w:pict>
          </mc:Fallback>
        </mc:AlternateContent>
      </w:r>
      <w:r>
        <w:rPr>
          <w:noProof/>
          <w:lang w:val="de-DE" w:eastAsia="de-DE"/>
        </w:rPr>
        <mc:AlternateContent>
          <mc:Choice Requires="wps">
            <w:drawing>
              <wp:anchor distT="0" distB="0" distL="114300" distR="114300" simplePos="0" relativeHeight="251663872" behindDoc="0" locked="0" layoutInCell="1" allowOverlap="1" wp14:anchorId="21577731" wp14:editId="33845C75">
                <wp:simplePos x="0" y="0"/>
                <wp:positionH relativeFrom="column">
                  <wp:posOffset>3061335</wp:posOffset>
                </wp:positionH>
                <wp:positionV relativeFrom="paragraph">
                  <wp:posOffset>3713480</wp:posOffset>
                </wp:positionV>
                <wp:extent cx="1485900" cy="518160"/>
                <wp:effectExtent l="0" t="0" r="19050" b="15240"/>
                <wp:wrapTopAndBottom/>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18160"/>
                        </a:xfrm>
                        <a:prstGeom prst="rect">
                          <a:avLst/>
                        </a:prstGeom>
                        <a:solidFill>
                          <a:srgbClr val="FFFFFF"/>
                        </a:solidFill>
                        <a:ln w="9525">
                          <a:solidFill>
                            <a:srgbClr val="000000"/>
                          </a:solidFill>
                          <a:miter lim="800000"/>
                          <a:headEnd/>
                          <a:tailEnd/>
                        </a:ln>
                      </wps:spPr>
                      <wps:txbx>
                        <w:txbxContent>
                          <w:p w14:paraId="10FB479D" w14:textId="77777777" w:rsidR="00795305" w:rsidRPr="00F11C14" w:rsidRDefault="00795305" w:rsidP="00436BDE">
                            <w:pPr>
                              <w:autoSpaceDE w:val="0"/>
                              <w:autoSpaceDN w:val="0"/>
                              <w:adjustRightInd w:val="0"/>
                              <w:rPr>
                                <w:sz w:val="16"/>
                                <w:szCs w:val="18"/>
                              </w:rPr>
                            </w:pPr>
                            <w:r w:rsidRPr="00F11C14">
                              <w:rPr>
                                <w:rFonts w:ascii="Arial,Bold" w:hAnsi="Arial,Bold" w:cs="Arial,Bold"/>
                                <w:b/>
                                <w:bCs/>
                                <w:szCs w:val="22"/>
                              </w:rPr>
                              <w:t>BUY</w:t>
                            </w:r>
                            <w:r w:rsidRPr="00F11C14">
                              <w:rPr>
                                <w:rFonts w:ascii="Arial" w:hAnsi="Arial" w:cs="Arial"/>
                                <w:sz w:val="16"/>
                                <w:szCs w:val="18"/>
                              </w:rPr>
                              <w:t xml:space="preserve">: You buy </w:t>
                            </w:r>
                            <w:r>
                              <w:rPr>
                                <w:rFonts w:ascii="Arial" w:hAnsi="Arial" w:cs="Arial"/>
                                <w:sz w:val="16"/>
                                <w:szCs w:val="18"/>
                              </w:rPr>
                              <w:t>one unit</w:t>
                            </w:r>
                            <w:r w:rsidRPr="00F11C14">
                              <w:rPr>
                                <w:rFonts w:ascii="Arial" w:hAnsi="Arial" w:cs="Arial"/>
                                <w:sz w:val="16"/>
                                <w:szCs w:val="18"/>
                              </w:rPr>
                              <w:t>, given the price with the blue background.</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 o:spid="_x0000_s1028" type="#_x0000_t202" style="position:absolute;left:0;text-align:left;margin-left:241.05pt;margin-top:292.4pt;width:117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">
                <v:textbox inset="1.5mm,,1.5mm">
                  <w:txbxContent>
                    <w:p w14:paraId="10FB479D" w14:textId="77777777" w:rsidR="00795305" w:rsidRPr="00F11C14" w:rsidRDefault="00795305" w:rsidP="00436BDE">
                      <w:pPr>
                        <w:autoSpaceDE w:val="0"/>
                        <w:autoSpaceDN w:val="0"/>
                        <w:adjustRightInd w:val="0"/>
                        <w:rPr>
                          <w:sz w:val="16"/>
                          <w:szCs w:val="18"/>
                        </w:rPr>
                      </w:pPr>
                      <w:r w:rsidRPr="00F11C14">
                        <w:rPr>
                          <w:rFonts w:ascii="Arial,Bold" w:hAnsi="Arial,Bold" w:cs="Arial,Bold"/>
                          <w:b/>
                          <w:bCs/>
                          <w:szCs w:val="22"/>
                        </w:rPr>
                        <w:t>BUY</w:t>
                      </w:r>
                      <w:r w:rsidRPr="00F11C14">
                        <w:rPr>
                          <w:rFonts w:ascii="Arial" w:hAnsi="Arial" w:cs="Arial"/>
                          <w:sz w:val="16"/>
                          <w:szCs w:val="18"/>
                        </w:rPr>
                        <w:t xml:space="preserve">: You buy </w:t>
                      </w:r>
                      <w:r>
                        <w:rPr>
                          <w:rFonts w:ascii="Arial" w:hAnsi="Arial" w:cs="Arial"/>
                          <w:sz w:val="16"/>
                          <w:szCs w:val="18"/>
                        </w:rPr>
                        <w:t>one unit</w:t>
                      </w:r>
                      <w:r w:rsidRPr="00F11C14">
                        <w:rPr>
                          <w:rFonts w:ascii="Arial" w:hAnsi="Arial" w:cs="Arial"/>
                          <w:sz w:val="16"/>
                          <w:szCs w:val="18"/>
                        </w:rPr>
                        <w:t>, given the price with the blue background.</w:t>
                      </w:r>
                    </w:p>
                  </w:txbxContent>
                </v:textbox>
                <w10:wrap type="topAndBottom"/>
              </v:shape>
            </w:pict>
          </mc:Fallback>
        </mc:AlternateContent>
      </w:r>
      <w:r>
        <w:rPr>
          <w:noProof/>
          <w:lang w:val="de-DE" w:eastAsia="de-DE"/>
        </w:rPr>
        <mc:AlternateContent>
          <mc:Choice Requires="wps">
            <w:drawing>
              <wp:anchor distT="0" distB="0" distL="114300" distR="114300" simplePos="0" relativeHeight="251662848" behindDoc="0" locked="0" layoutInCell="1" allowOverlap="1" wp14:anchorId="77DBBD2E" wp14:editId="43F59542">
                <wp:simplePos x="0" y="0"/>
                <wp:positionH relativeFrom="column">
                  <wp:posOffset>1539875</wp:posOffset>
                </wp:positionH>
                <wp:positionV relativeFrom="paragraph">
                  <wp:posOffset>3713480</wp:posOffset>
                </wp:positionV>
                <wp:extent cx="1485900" cy="518160"/>
                <wp:effectExtent l="0" t="0" r="19050" b="15240"/>
                <wp:wrapTopAndBottom/>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18160"/>
                        </a:xfrm>
                        <a:prstGeom prst="rect">
                          <a:avLst/>
                        </a:prstGeom>
                        <a:solidFill>
                          <a:srgbClr val="FFFFFF"/>
                        </a:solidFill>
                        <a:ln w="9525">
                          <a:solidFill>
                            <a:srgbClr val="000000"/>
                          </a:solidFill>
                          <a:miter lim="800000"/>
                          <a:headEnd/>
                          <a:tailEnd/>
                        </a:ln>
                      </wps:spPr>
                      <wps:txbx>
                        <w:txbxContent>
                          <w:p w14:paraId="2B758EED" w14:textId="77777777" w:rsidR="00795305" w:rsidRPr="00F11C14" w:rsidRDefault="00795305" w:rsidP="00436BDE">
                            <w:pPr>
                              <w:autoSpaceDE w:val="0"/>
                              <w:autoSpaceDN w:val="0"/>
                              <w:adjustRightInd w:val="0"/>
                              <w:rPr>
                                <w:sz w:val="16"/>
                                <w:szCs w:val="18"/>
                              </w:rPr>
                            </w:pPr>
                            <w:r w:rsidRPr="00F11C14">
                              <w:rPr>
                                <w:rFonts w:ascii="Arial,Bold" w:hAnsi="Arial,Bold" w:cs="Arial,Bold"/>
                                <w:b/>
                                <w:bCs/>
                                <w:szCs w:val="22"/>
                              </w:rPr>
                              <w:t>SELL</w:t>
                            </w:r>
                            <w:r w:rsidRPr="00F11C14">
                              <w:rPr>
                                <w:rFonts w:ascii="Arial" w:hAnsi="Arial" w:cs="Arial"/>
                                <w:sz w:val="16"/>
                                <w:szCs w:val="18"/>
                              </w:rPr>
                              <w:t xml:space="preserve">: You sell </w:t>
                            </w:r>
                            <w:r>
                              <w:rPr>
                                <w:rFonts w:ascii="Arial" w:hAnsi="Arial" w:cs="Arial"/>
                                <w:sz w:val="16"/>
                                <w:szCs w:val="18"/>
                              </w:rPr>
                              <w:t>one unit</w:t>
                            </w:r>
                            <w:r w:rsidRPr="00F11C14">
                              <w:rPr>
                                <w:rFonts w:ascii="Arial" w:hAnsi="Arial" w:cs="Arial"/>
                                <w:sz w:val="16"/>
                                <w:szCs w:val="18"/>
                              </w:rPr>
                              <w:t xml:space="preserve">, given the price with the blue background.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6" o:spid="_x0000_s1029" type="#_x0000_t202" style="position:absolute;left:0;text-align:left;margin-left:121.25pt;margin-top:292.4pt;width:117pt;height:4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">
                <v:textbox inset="1.5mm,,1.5mm">
                  <w:txbxContent>
                    <w:p w14:paraId="2B758EED" w14:textId="77777777" w:rsidR="00795305" w:rsidRPr="00F11C14" w:rsidRDefault="00795305" w:rsidP="00436BDE">
                      <w:pPr>
                        <w:autoSpaceDE w:val="0"/>
                        <w:autoSpaceDN w:val="0"/>
                        <w:adjustRightInd w:val="0"/>
                        <w:rPr>
                          <w:sz w:val="16"/>
                          <w:szCs w:val="18"/>
                        </w:rPr>
                      </w:pPr>
                      <w:r w:rsidRPr="00F11C14">
                        <w:rPr>
                          <w:rFonts w:ascii="Arial,Bold" w:hAnsi="Arial,Bold" w:cs="Arial,Bold"/>
                          <w:b/>
                          <w:bCs/>
                          <w:szCs w:val="22"/>
                        </w:rPr>
                        <w:t>SELL</w:t>
                      </w:r>
                      <w:r w:rsidRPr="00F11C14">
                        <w:rPr>
                          <w:rFonts w:ascii="Arial" w:hAnsi="Arial" w:cs="Arial"/>
                          <w:sz w:val="16"/>
                          <w:szCs w:val="18"/>
                        </w:rPr>
                        <w:t xml:space="preserve">: You sell </w:t>
                      </w:r>
                      <w:r>
                        <w:rPr>
                          <w:rFonts w:ascii="Arial" w:hAnsi="Arial" w:cs="Arial"/>
                          <w:sz w:val="16"/>
                          <w:szCs w:val="18"/>
                        </w:rPr>
                        <w:t>one unit</w:t>
                      </w:r>
                      <w:r w:rsidRPr="00F11C14">
                        <w:rPr>
                          <w:rFonts w:ascii="Arial" w:hAnsi="Arial" w:cs="Arial"/>
                          <w:sz w:val="16"/>
                          <w:szCs w:val="18"/>
                        </w:rPr>
                        <w:t xml:space="preserve">, given the price with the blue background. </w:t>
                      </w:r>
                    </w:p>
                  </w:txbxContent>
                </v:textbox>
                <w10:wrap type="topAndBottom"/>
              </v:shape>
            </w:pict>
          </mc:Fallback>
        </mc:AlternateContent>
      </w:r>
      <w:r>
        <w:rPr>
          <w:noProof/>
          <w:lang w:val="de-DE" w:eastAsia="de-DE"/>
        </w:rPr>
        <mc:AlternateContent>
          <mc:Choice Requires="wps">
            <w:drawing>
              <wp:anchor distT="0" distB="0" distL="114300" distR="114300" simplePos="0" relativeHeight="251661824" behindDoc="0" locked="0" layoutInCell="1" allowOverlap="1" wp14:anchorId="3F6BCF15" wp14:editId="25F424C2">
                <wp:simplePos x="0" y="0"/>
                <wp:positionH relativeFrom="column">
                  <wp:posOffset>3952875</wp:posOffset>
                </wp:positionH>
                <wp:positionV relativeFrom="paragraph">
                  <wp:posOffset>2924810</wp:posOffset>
                </wp:positionV>
                <wp:extent cx="2273935" cy="659130"/>
                <wp:effectExtent l="0" t="0" r="12065" b="26670"/>
                <wp:wrapTopAndBottom/>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659130"/>
                        </a:xfrm>
                        <a:prstGeom prst="rect">
                          <a:avLst/>
                        </a:prstGeom>
                        <a:solidFill>
                          <a:srgbClr val="FFFFFF"/>
                        </a:solidFill>
                        <a:ln w="9525">
                          <a:solidFill>
                            <a:srgbClr val="000000"/>
                          </a:solidFill>
                          <a:miter lim="800000"/>
                          <a:headEnd/>
                          <a:tailEnd/>
                        </a:ln>
                      </wps:spPr>
                      <wps:txbx>
                        <w:txbxContent>
                          <w:p w14:paraId="0077609F" w14:textId="77777777" w:rsidR="00795305" w:rsidRPr="00F11C14" w:rsidRDefault="00795305" w:rsidP="00436BDE">
                            <w:pPr>
                              <w:autoSpaceDE w:val="0"/>
                              <w:autoSpaceDN w:val="0"/>
                              <w:adjustRightInd w:val="0"/>
                              <w:rPr>
                                <w:sz w:val="16"/>
                                <w:szCs w:val="18"/>
                              </w:rPr>
                            </w:pPr>
                            <w:r w:rsidRPr="00F11C14">
                              <w:rPr>
                                <w:rFonts w:ascii="Arial,Bold" w:hAnsi="Arial,Bold" w:cs="Arial,Bold"/>
                                <w:b/>
                                <w:bCs/>
                                <w:szCs w:val="22"/>
                              </w:rPr>
                              <w:t>List of all ASKS</w:t>
                            </w:r>
                            <w:r w:rsidRPr="00F11C14">
                              <w:rPr>
                                <w:rFonts w:ascii="Arial" w:hAnsi="Arial" w:cs="Arial"/>
                                <w:sz w:val="16"/>
                                <w:szCs w:val="18"/>
                              </w:rPr>
                              <w:t xml:space="preserve">: from all </w:t>
                            </w:r>
                            <w:r>
                              <w:rPr>
                                <w:rFonts w:ascii="Arial" w:hAnsi="Arial" w:cs="Arial"/>
                                <w:sz w:val="16"/>
                                <w:szCs w:val="18"/>
                              </w:rPr>
                              <w:t>investor</w:t>
                            </w:r>
                            <w:r w:rsidRPr="00F11C14">
                              <w:rPr>
                                <w:rFonts w:ascii="Arial" w:hAnsi="Arial" w:cs="Arial"/>
                                <w:sz w:val="16"/>
                                <w:szCs w:val="18"/>
                              </w:rPr>
                              <w:t xml:space="preserve">s - your own asks are written in blue. </w:t>
                            </w:r>
                            <w:proofErr w:type="gramStart"/>
                            <w:r w:rsidRPr="00F11C14">
                              <w:rPr>
                                <w:rFonts w:ascii="Arial" w:hAnsi="Arial" w:cs="Arial"/>
                                <w:sz w:val="16"/>
                                <w:szCs w:val="18"/>
                              </w:rPr>
                              <w:t xml:space="preserve">The </w:t>
                            </w:r>
                            <w:r>
                              <w:rPr>
                                <w:rFonts w:ascii="Arial" w:hAnsi="Arial" w:cs="Arial"/>
                                <w:sz w:val="16"/>
                                <w:szCs w:val="18"/>
                              </w:rPr>
                              <w:t>ask</w:t>
                            </w:r>
                            <w:proofErr w:type="gramEnd"/>
                            <w:r w:rsidRPr="00F11C14">
                              <w:rPr>
                                <w:rFonts w:ascii="Arial" w:hAnsi="Arial" w:cs="Arial"/>
                                <w:sz w:val="16"/>
                                <w:szCs w:val="18"/>
                              </w:rPr>
                              <w:t xml:space="preserve"> with blue background is always the </w:t>
                            </w:r>
                            <w:r>
                              <w:rPr>
                                <w:rFonts w:ascii="Arial" w:hAnsi="Arial" w:cs="Arial"/>
                                <w:sz w:val="16"/>
                                <w:szCs w:val="18"/>
                              </w:rPr>
                              <w:t>most attractive, because</w:t>
                            </w:r>
                            <w:r w:rsidRPr="00F11C14">
                              <w:rPr>
                                <w:rFonts w:ascii="Arial" w:hAnsi="Arial" w:cs="Arial"/>
                                <w:sz w:val="16"/>
                                <w:szCs w:val="18"/>
                              </w:rPr>
                              <w:t xml:space="preserve"> it is the cheapest for the buyer.</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7" o:spid="_x0000_s1030" type="#_x0000_t202" style="position:absolute;left:0;text-align:left;margin-left:311.25pt;margin-top:230.3pt;width:179.05pt;height:5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">
                <v:textbox inset="1.5mm,,1.5mm">
                  <w:txbxContent>
                    <w:p w14:paraId="0077609F" w14:textId="77777777" w:rsidR="00795305" w:rsidRPr="00F11C14" w:rsidRDefault="00795305" w:rsidP="00436BDE">
                      <w:pPr>
                        <w:autoSpaceDE w:val="0"/>
                        <w:autoSpaceDN w:val="0"/>
                        <w:adjustRightInd w:val="0"/>
                        <w:rPr>
                          <w:sz w:val="16"/>
                          <w:szCs w:val="18"/>
                        </w:rPr>
                      </w:pPr>
                      <w:r w:rsidRPr="00F11C14">
                        <w:rPr>
                          <w:rFonts w:ascii="Arial,Bold" w:hAnsi="Arial,Bold" w:cs="Arial,Bold"/>
                          <w:b/>
                          <w:bCs/>
                          <w:szCs w:val="22"/>
                        </w:rPr>
                        <w:t>List of all ASKS</w:t>
                      </w:r>
                      <w:r w:rsidRPr="00F11C14">
                        <w:rPr>
                          <w:rFonts w:ascii="Arial" w:hAnsi="Arial" w:cs="Arial"/>
                          <w:sz w:val="16"/>
                          <w:szCs w:val="18"/>
                        </w:rPr>
                        <w:t xml:space="preserve">: from all </w:t>
                      </w:r>
                      <w:r>
                        <w:rPr>
                          <w:rFonts w:ascii="Arial" w:hAnsi="Arial" w:cs="Arial"/>
                          <w:sz w:val="16"/>
                          <w:szCs w:val="18"/>
                        </w:rPr>
                        <w:t>investor</w:t>
                      </w:r>
                      <w:r w:rsidRPr="00F11C14">
                        <w:rPr>
                          <w:rFonts w:ascii="Arial" w:hAnsi="Arial" w:cs="Arial"/>
                          <w:sz w:val="16"/>
                          <w:szCs w:val="18"/>
                        </w:rPr>
                        <w:t xml:space="preserve">s - your own asks are written in blue. </w:t>
                      </w:r>
                      <w:proofErr w:type="gramStart"/>
                      <w:r w:rsidRPr="00F11C14">
                        <w:rPr>
                          <w:rFonts w:ascii="Arial" w:hAnsi="Arial" w:cs="Arial"/>
                          <w:sz w:val="16"/>
                          <w:szCs w:val="18"/>
                        </w:rPr>
                        <w:t xml:space="preserve">The </w:t>
                      </w:r>
                      <w:r>
                        <w:rPr>
                          <w:rFonts w:ascii="Arial" w:hAnsi="Arial" w:cs="Arial"/>
                          <w:sz w:val="16"/>
                          <w:szCs w:val="18"/>
                        </w:rPr>
                        <w:t>ask</w:t>
                      </w:r>
                      <w:proofErr w:type="gramEnd"/>
                      <w:r w:rsidRPr="00F11C14">
                        <w:rPr>
                          <w:rFonts w:ascii="Arial" w:hAnsi="Arial" w:cs="Arial"/>
                          <w:sz w:val="16"/>
                          <w:szCs w:val="18"/>
                        </w:rPr>
                        <w:t xml:space="preserve"> with blue background is always the </w:t>
                      </w:r>
                      <w:r>
                        <w:rPr>
                          <w:rFonts w:ascii="Arial" w:hAnsi="Arial" w:cs="Arial"/>
                          <w:sz w:val="16"/>
                          <w:szCs w:val="18"/>
                        </w:rPr>
                        <w:t>most attractive, because</w:t>
                      </w:r>
                      <w:r w:rsidRPr="00F11C14">
                        <w:rPr>
                          <w:rFonts w:ascii="Arial" w:hAnsi="Arial" w:cs="Arial"/>
                          <w:sz w:val="16"/>
                          <w:szCs w:val="18"/>
                        </w:rPr>
                        <w:t xml:space="preserve"> it is the cheapest for the buyer.</w:t>
                      </w:r>
                    </w:p>
                  </w:txbxContent>
                </v:textbox>
                <w10:wrap type="topAndBottom"/>
              </v:shape>
            </w:pict>
          </mc:Fallback>
        </mc:AlternateContent>
      </w:r>
      <w:r>
        <w:rPr>
          <w:noProof/>
          <w:lang w:val="de-DE" w:eastAsia="de-DE"/>
        </w:rPr>
        <mc:AlternateContent>
          <mc:Choice Requires="wps">
            <w:drawing>
              <wp:anchor distT="0" distB="0" distL="114300" distR="114300" simplePos="0" relativeHeight="251668992" behindDoc="0" locked="0" layoutInCell="1" allowOverlap="1" wp14:anchorId="2232EEEF" wp14:editId="1705131B">
                <wp:simplePos x="0" y="0"/>
                <wp:positionH relativeFrom="column">
                  <wp:posOffset>3958590</wp:posOffset>
                </wp:positionH>
                <wp:positionV relativeFrom="paragraph">
                  <wp:posOffset>1835150</wp:posOffset>
                </wp:positionV>
                <wp:extent cx="2273935" cy="285750"/>
                <wp:effectExtent l="0" t="0" r="12065" b="19050"/>
                <wp:wrapTopAndBottom/>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85750"/>
                        </a:xfrm>
                        <a:prstGeom prst="rect">
                          <a:avLst/>
                        </a:prstGeom>
                        <a:solidFill>
                          <a:srgbClr val="FFFFFF"/>
                        </a:solidFill>
                        <a:ln w="9525">
                          <a:solidFill>
                            <a:srgbClr val="000000"/>
                          </a:solidFill>
                          <a:miter lim="800000"/>
                          <a:headEnd/>
                          <a:tailEnd/>
                        </a:ln>
                      </wps:spPr>
                      <wps:txbx>
                        <w:txbxContent>
                          <w:p w14:paraId="000B62DA" w14:textId="77777777" w:rsidR="00795305" w:rsidRPr="00F11C14" w:rsidRDefault="00795305" w:rsidP="00436BDE">
                            <w:pPr>
                              <w:autoSpaceDE w:val="0"/>
                              <w:autoSpaceDN w:val="0"/>
                              <w:adjustRightInd w:val="0"/>
                              <w:rPr>
                                <w:sz w:val="16"/>
                                <w:szCs w:val="18"/>
                              </w:rPr>
                            </w:pPr>
                            <w:r w:rsidRPr="00F11C14">
                              <w:rPr>
                                <w:rFonts w:ascii="Arial,Bold" w:hAnsi="Arial,Bold" w:cs="Arial,Bold"/>
                                <w:b/>
                                <w:bCs/>
                                <w:szCs w:val="22"/>
                              </w:rPr>
                              <w:t>ASK</w:t>
                            </w:r>
                            <w:r w:rsidRPr="00F11C14">
                              <w:rPr>
                                <w:rFonts w:ascii="Arial" w:hAnsi="Arial" w:cs="Arial"/>
                                <w:sz w:val="16"/>
                                <w:szCs w:val="18"/>
                              </w:rPr>
                              <w:t xml:space="preserve">: </w:t>
                            </w:r>
                            <w:r>
                              <w:rPr>
                                <w:rFonts w:ascii="Arial" w:hAnsi="Arial" w:cs="Arial"/>
                                <w:sz w:val="16"/>
                                <w:szCs w:val="18"/>
                              </w:rPr>
                              <w:t xml:space="preserve">seller’s </w:t>
                            </w:r>
                            <w:r w:rsidRPr="00F11C14">
                              <w:rPr>
                                <w:rFonts w:ascii="Arial" w:hAnsi="Arial" w:cs="Arial"/>
                                <w:sz w:val="16"/>
                                <w:szCs w:val="18"/>
                              </w:rPr>
                              <w:t xml:space="preserve">analogue to BID - see </w:t>
                            </w:r>
                            <w:r>
                              <w:rPr>
                                <w:rFonts w:ascii="Arial" w:hAnsi="Arial" w:cs="Arial"/>
                                <w:sz w:val="16"/>
                                <w:szCs w:val="18"/>
                              </w:rPr>
                              <w:t>above</w:t>
                            </w:r>
                            <w:r w:rsidRPr="00F11C14">
                              <w:rPr>
                                <w:rFonts w:ascii="Arial" w:hAnsi="Arial" w:cs="Arial"/>
                                <w:sz w:val="16"/>
                                <w:szCs w:val="18"/>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31" type="#_x0000_t202" style="position:absolute;left:0;text-align:left;margin-left:311.7pt;margin-top:144.5pt;width:179.0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">
                <v:textbox inset="1.5mm,,1.5mm">
                  <w:txbxContent>
                    <w:p w14:paraId="000B62DA" w14:textId="77777777" w:rsidR="00795305" w:rsidRPr="00F11C14" w:rsidRDefault="00795305" w:rsidP="00436BDE">
                      <w:pPr>
                        <w:autoSpaceDE w:val="0"/>
                        <w:autoSpaceDN w:val="0"/>
                        <w:adjustRightInd w:val="0"/>
                        <w:rPr>
                          <w:sz w:val="16"/>
                          <w:szCs w:val="18"/>
                        </w:rPr>
                      </w:pPr>
                      <w:r w:rsidRPr="00F11C14">
                        <w:rPr>
                          <w:rFonts w:ascii="Arial,Bold" w:hAnsi="Arial,Bold" w:cs="Arial,Bold"/>
                          <w:b/>
                          <w:bCs/>
                          <w:szCs w:val="22"/>
                        </w:rPr>
                        <w:t>ASK</w:t>
                      </w:r>
                      <w:r w:rsidRPr="00F11C14">
                        <w:rPr>
                          <w:rFonts w:ascii="Arial" w:hAnsi="Arial" w:cs="Arial"/>
                          <w:sz w:val="16"/>
                          <w:szCs w:val="18"/>
                        </w:rPr>
                        <w:t xml:space="preserve">: </w:t>
                      </w:r>
                      <w:r>
                        <w:rPr>
                          <w:rFonts w:ascii="Arial" w:hAnsi="Arial" w:cs="Arial"/>
                          <w:sz w:val="16"/>
                          <w:szCs w:val="18"/>
                        </w:rPr>
                        <w:t xml:space="preserve">seller’s </w:t>
                      </w:r>
                      <w:r w:rsidRPr="00F11C14">
                        <w:rPr>
                          <w:rFonts w:ascii="Arial" w:hAnsi="Arial" w:cs="Arial"/>
                          <w:sz w:val="16"/>
                          <w:szCs w:val="18"/>
                        </w:rPr>
                        <w:t xml:space="preserve">analogue to BID - see </w:t>
                      </w:r>
                      <w:r>
                        <w:rPr>
                          <w:rFonts w:ascii="Arial" w:hAnsi="Arial" w:cs="Arial"/>
                          <w:sz w:val="16"/>
                          <w:szCs w:val="18"/>
                        </w:rPr>
                        <w:t>above</w:t>
                      </w:r>
                      <w:r w:rsidRPr="00F11C14">
                        <w:rPr>
                          <w:rFonts w:ascii="Arial" w:hAnsi="Arial" w:cs="Arial"/>
                          <w:sz w:val="16"/>
                          <w:szCs w:val="18"/>
                        </w:rPr>
                        <w:t>.</w:t>
                      </w:r>
                    </w:p>
                  </w:txbxContent>
                </v:textbox>
                <w10:wrap type="topAndBottom"/>
              </v:shape>
            </w:pict>
          </mc:Fallback>
        </mc:AlternateContent>
      </w:r>
      <w:r>
        <w:rPr>
          <w:noProof/>
          <w:lang w:val="de-DE" w:eastAsia="de-DE"/>
        </w:rPr>
        <mc:AlternateContent>
          <mc:Choice Requires="wps">
            <w:drawing>
              <wp:anchor distT="0" distB="0" distL="114300" distR="114300" simplePos="0" relativeHeight="251667968" behindDoc="0" locked="0" layoutInCell="1" allowOverlap="1" wp14:anchorId="38BAA2D7" wp14:editId="6B05D623">
                <wp:simplePos x="0" y="0"/>
                <wp:positionH relativeFrom="column">
                  <wp:posOffset>3949065</wp:posOffset>
                </wp:positionH>
                <wp:positionV relativeFrom="paragraph">
                  <wp:posOffset>1284605</wp:posOffset>
                </wp:positionV>
                <wp:extent cx="2273935" cy="538480"/>
                <wp:effectExtent l="0" t="0" r="12065" b="13970"/>
                <wp:wrapTopAndBottom/>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38480"/>
                        </a:xfrm>
                        <a:prstGeom prst="rect">
                          <a:avLst/>
                        </a:prstGeom>
                        <a:solidFill>
                          <a:srgbClr val="FFFFFF"/>
                        </a:solidFill>
                        <a:ln w="9525">
                          <a:solidFill>
                            <a:srgbClr val="000000"/>
                          </a:solidFill>
                          <a:miter lim="800000"/>
                          <a:headEnd/>
                          <a:tailEnd/>
                        </a:ln>
                      </wps:spPr>
                      <wps:txbx>
                        <w:txbxContent>
                          <w:p w14:paraId="423F0E6C" w14:textId="77777777" w:rsidR="00795305" w:rsidRPr="004E2A70" w:rsidRDefault="00795305" w:rsidP="00436BDE">
                            <w:pPr>
                              <w:autoSpaceDE w:val="0"/>
                              <w:autoSpaceDN w:val="0"/>
                              <w:adjustRightInd w:val="0"/>
                              <w:rPr>
                                <w:sz w:val="16"/>
                                <w:szCs w:val="18"/>
                              </w:rPr>
                            </w:pPr>
                            <w:r w:rsidRPr="004E2A70">
                              <w:rPr>
                                <w:rFonts w:ascii="Arial,Bold" w:hAnsi="Arial,Bold" w:cs="Arial,Bold"/>
                                <w:b/>
                                <w:bCs/>
                                <w:szCs w:val="22"/>
                              </w:rPr>
                              <w:t>BID</w:t>
                            </w:r>
                            <w:r w:rsidRPr="004E2A70">
                              <w:rPr>
                                <w:rFonts w:ascii="Arial" w:hAnsi="Arial" w:cs="Arial"/>
                                <w:sz w:val="16"/>
                                <w:szCs w:val="18"/>
                              </w:rPr>
                              <w:t>: enter the price you are willing to pay for one unit. Trade does not take place until anot</w:t>
                            </w:r>
                            <w:r w:rsidRPr="004E2A70">
                              <w:rPr>
                                <w:rFonts w:ascii="Arial" w:hAnsi="Arial" w:cs="Arial"/>
                                <w:sz w:val="16"/>
                                <w:szCs w:val="18"/>
                              </w:rPr>
                              <w:t>h</w:t>
                            </w:r>
                            <w:r w:rsidRPr="004E2A70">
                              <w:rPr>
                                <w:rFonts w:ascii="Arial" w:hAnsi="Arial" w:cs="Arial"/>
                                <w:sz w:val="16"/>
                                <w:szCs w:val="18"/>
                              </w:rPr>
                              <w:t xml:space="preserve">er participant accepts your </w:t>
                            </w:r>
                            <w:r>
                              <w:rPr>
                                <w:rFonts w:ascii="Arial" w:hAnsi="Arial" w:cs="Arial"/>
                                <w:sz w:val="16"/>
                                <w:szCs w:val="18"/>
                              </w:rPr>
                              <w:t>bid</w:t>
                            </w:r>
                            <w:r w:rsidRPr="004E2A70">
                              <w:rPr>
                                <w:rFonts w:ascii="Arial" w:hAnsi="Arial" w:cs="Arial"/>
                                <w:sz w:val="16"/>
                                <w:szCs w:val="18"/>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32" type="#_x0000_t202" style="position:absolute;left:0;text-align:left;margin-left:310.95pt;margin-top:101.15pt;width:179.05pt;height:4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">
                <v:textbox inset="1.5mm,,1.5mm">
                  <w:txbxContent>
                    <w:p w14:paraId="423F0E6C" w14:textId="77777777" w:rsidR="00795305" w:rsidRPr="004E2A70" w:rsidRDefault="00795305" w:rsidP="00436BDE">
                      <w:pPr>
                        <w:autoSpaceDE w:val="0"/>
                        <w:autoSpaceDN w:val="0"/>
                        <w:adjustRightInd w:val="0"/>
                        <w:rPr>
                          <w:sz w:val="16"/>
                          <w:szCs w:val="18"/>
                        </w:rPr>
                      </w:pPr>
                      <w:r w:rsidRPr="004E2A70">
                        <w:rPr>
                          <w:rFonts w:ascii="Arial,Bold" w:hAnsi="Arial,Bold" w:cs="Arial,Bold"/>
                          <w:b/>
                          <w:bCs/>
                          <w:szCs w:val="22"/>
                        </w:rPr>
                        <w:t>BID</w:t>
                      </w:r>
                      <w:r w:rsidRPr="004E2A70">
                        <w:rPr>
                          <w:rFonts w:ascii="Arial" w:hAnsi="Arial" w:cs="Arial"/>
                          <w:sz w:val="16"/>
                          <w:szCs w:val="18"/>
                        </w:rPr>
                        <w:t>: enter the price you are willing to pay for one unit. Trade does not take place until anot</w:t>
                      </w:r>
                      <w:r w:rsidRPr="004E2A70">
                        <w:rPr>
                          <w:rFonts w:ascii="Arial" w:hAnsi="Arial" w:cs="Arial"/>
                          <w:sz w:val="16"/>
                          <w:szCs w:val="18"/>
                        </w:rPr>
                        <w:t>h</w:t>
                      </w:r>
                      <w:r w:rsidRPr="004E2A70">
                        <w:rPr>
                          <w:rFonts w:ascii="Arial" w:hAnsi="Arial" w:cs="Arial"/>
                          <w:sz w:val="16"/>
                          <w:szCs w:val="18"/>
                        </w:rPr>
                        <w:t xml:space="preserve">er participant accepts your </w:t>
                      </w:r>
                      <w:r>
                        <w:rPr>
                          <w:rFonts w:ascii="Arial" w:hAnsi="Arial" w:cs="Arial"/>
                          <w:sz w:val="16"/>
                          <w:szCs w:val="18"/>
                        </w:rPr>
                        <w:t>bid</w:t>
                      </w:r>
                      <w:r w:rsidRPr="004E2A70">
                        <w:rPr>
                          <w:rFonts w:ascii="Arial" w:hAnsi="Arial" w:cs="Arial"/>
                          <w:sz w:val="16"/>
                          <w:szCs w:val="18"/>
                        </w:rPr>
                        <w:t xml:space="preserve">!!! </w:t>
                      </w:r>
                    </w:p>
                  </w:txbxContent>
                </v:textbox>
                <w10:wrap type="topAndBottom"/>
              </v:shape>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59F4FA38" wp14:editId="263019C7">
                <wp:simplePos x="0" y="0"/>
                <wp:positionH relativeFrom="column">
                  <wp:posOffset>-532765</wp:posOffset>
                </wp:positionH>
                <wp:positionV relativeFrom="paragraph">
                  <wp:posOffset>581660</wp:posOffset>
                </wp:positionV>
                <wp:extent cx="1631315" cy="934720"/>
                <wp:effectExtent l="0" t="0" r="26035" b="1778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934720"/>
                        </a:xfrm>
                        <a:prstGeom prst="rect">
                          <a:avLst/>
                        </a:prstGeom>
                        <a:solidFill>
                          <a:srgbClr val="FFFFFF"/>
                        </a:solidFill>
                        <a:ln w="9525">
                          <a:solidFill>
                            <a:srgbClr val="000000"/>
                          </a:solidFill>
                          <a:miter lim="800000"/>
                          <a:headEnd/>
                          <a:tailEnd/>
                        </a:ln>
                      </wps:spPr>
                      <wps:txbx>
                        <w:txbxContent>
                          <w:p w14:paraId="43CD4FFA" w14:textId="062ED2C6" w:rsidR="00795305" w:rsidRDefault="00795305" w:rsidP="00436BDE">
                            <w:pPr>
                              <w:autoSpaceDE w:val="0"/>
                              <w:autoSpaceDN w:val="0"/>
                              <w:adjustRightInd w:val="0"/>
                              <w:rPr>
                                <w:rFonts w:ascii="Arial" w:hAnsi="Arial" w:cs="Arial"/>
                                <w:sz w:val="16"/>
                                <w:szCs w:val="18"/>
                              </w:rPr>
                            </w:pPr>
                            <w:r>
                              <w:rPr>
                                <w:rFonts w:ascii="Arial" w:hAnsi="Arial" w:cs="Arial"/>
                                <w:b/>
                                <w:sz w:val="16"/>
                                <w:szCs w:val="18"/>
                              </w:rPr>
                              <w:t>Investor</w:t>
                            </w:r>
                            <w:r w:rsidRPr="004E2A70">
                              <w:rPr>
                                <w:rFonts w:ascii="Arial" w:hAnsi="Arial" w:cs="Arial"/>
                                <w:b/>
                                <w:sz w:val="16"/>
                                <w:szCs w:val="18"/>
                              </w:rPr>
                              <w:t>:</w:t>
                            </w:r>
                            <w:r w:rsidRPr="004E2A70">
                              <w:rPr>
                                <w:rFonts w:ascii="Arial" w:hAnsi="Arial" w:cs="Arial"/>
                                <w:sz w:val="16"/>
                                <w:szCs w:val="18"/>
                              </w:rPr>
                              <w:t xml:space="preserve"> Information about </w:t>
                            </w:r>
                            <w:r>
                              <w:rPr>
                                <w:rFonts w:ascii="Arial" w:hAnsi="Arial" w:cs="Arial"/>
                                <w:sz w:val="16"/>
                                <w:szCs w:val="18"/>
                              </w:rPr>
                              <w:t xml:space="preserve">your task (investor), period you leave the market, </w:t>
                            </w:r>
                            <w:r w:rsidRPr="004E2A70">
                              <w:rPr>
                                <w:rFonts w:ascii="Arial" w:hAnsi="Arial" w:cs="Arial"/>
                                <w:sz w:val="16"/>
                                <w:szCs w:val="18"/>
                              </w:rPr>
                              <w:t>current S</w:t>
                            </w:r>
                            <w:r>
                              <w:rPr>
                                <w:rFonts w:ascii="Arial" w:hAnsi="Arial" w:cs="Arial"/>
                                <w:sz w:val="16"/>
                                <w:szCs w:val="18"/>
                              </w:rPr>
                              <w:t xml:space="preserve">hare and </w:t>
                            </w:r>
                            <w:proofErr w:type="spellStart"/>
                            <w:r>
                              <w:rPr>
                                <w:rFonts w:ascii="Arial" w:hAnsi="Arial" w:cs="Arial"/>
                                <w:sz w:val="16"/>
                                <w:szCs w:val="18"/>
                              </w:rPr>
                              <w:t>t</w:t>
                            </w:r>
                            <w:r w:rsidRPr="004E2A70">
                              <w:rPr>
                                <w:rFonts w:ascii="Arial" w:hAnsi="Arial" w:cs="Arial"/>
                                <w:sz w:val="16"/>
                                <w:szCs w:val="18"/>
                              </w:rPr>
                              <w:t>aler</w:t>
                            </w:r>
                            <w:proofErr w:type="spellEnd"/>
                            <w:r w:rsidRPr="004E2A70">
                              <w:rPr>
                                <w:rFonts w:ascii="Arial" w:hAnsi="Arial" w:cs="Arial"/>
                                <w:sz w:val="16"/>
                                <w:szCs w:val="18"/>
                              </w:rPr>
                              <w:t xml:space="preserve"> holdings.</w:t>
                            </w:r>
                          </w:p>
                          <w:p w14:paraId="3681F2E0" w14:textId="77777777" w:rsidR="00795305" w:rsidRPr="004E2A70" w:rsidRDefault="00795305" w:rsidP="00436BDE">
                            <w:pPr>
                              <w:autoSpaceDE w:val="0"/>
                              <w:autoSpaceDN w:val="0"/>
                              <w:adjustRightInd w:val="0"/>
                              <w:rPr>
                                <w:sz w:val="16"/>
                                <w:szCs w:val="18"/>
                              </w:rPr>
                            </w:pPr>
                            <w:r w:rsidRPr="004E2A70">
                              <w:rPr>
                                <w:rFonts w:ascii="Arial" w:hAnsi="Arial" w:cs="Arial"/>
                                <w:b/>
                                <w:sz w:val="16"/>
                                <w:szCs w:val="18"/>
                              </w:rPr>
                              <w:t>Predictors:</w:t>
                            </w:r>
                            <w:r>
                              <w:rPr>
                                <w:rFonts w:ascii="Arial" w:hAnsi="Arial" w:cs="Arial"/>
                                <w:sz w:val="16"/>
                                <w:szCs w:val="18"/>
                              </w:rPr>
                              <w:t xml:space="preserve"> Information about your task (</w:t>
                            </w:r>
                            <w:proofErr w:type="spellStart"/>
                            <w:r>
                              <w:rPr>
                                <w:rFonts w:ascii="Arial" w:hAnsi="Arial" w:cs="Arial"/>
                                <w:sz w:val="16"/>
                                <w:szCs w:val="18"/>
                              </w:rPr>
                              <w:t>predictior</w:t>
                            </w:r>
                            <w:proofErr w:type="spellEnd"/>
                            <w:r>
                              <w:rPr>
                                <w:rFonts w:ascii="Arial" w:hAnsi="Arial" w:cs="Arial"/>
                                <w:sz w:val="16"/>
                                <w:szCs w:val="18"/>
                              </w:rPr>
                              <w:t>) and your forecast.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8" o:spid="_x0000_s1033" type="#_x0000_t202" style="position:absolute;left:0;text-align:left;margin-left:-41.95pt;margin-top:45.8pt;width:128.45pt;height:7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">
                <v:textbox>
                  <w:txbxContent>
                    <w:p w14:paraId="43CD4FFA" w14:textId="062ED2C6" w:rsidR="00795305" w:rsidRDefault="00795305" w:rsidP="00436BDE">
                      <w:pPr>
                        <w:autoSpaceDE w:val="0"/>
                        <w:autoSpaceDN w:val="0"/>
                        <w:adjustRightInd w:val="0"/>
                        <w:rPr>
                          <w:rFonts w:ascii="Arial" w:hAnsi="Arial" w:cs="Arial"/>
                          <w:sz w:val="16"/>
                          <w:szCs w:val="18"/>
                        </w:rPr>
                      </w:pPr>
                      <w:r>
                        <w:rPr>
                          <w:rFonts w:ascii="Arial" w:hAnsi="Arial" w:cs="Arial"/>
                          <w:b/>
                          <w:sz w:val="16"/>
                          <w:szCs w:val="18"/>
                        </w:rPr>
                        <w:t>Investor</w:t>
                      </w:r>
                      <w:r w:rsidRPr="004E2A70">
                        <w:rPr>
                          <w:rFonts w:ascii="Arial" w:hAnsi="Arial" w:cs="Arial"/>
                          <w:b/>
                          <w:sz w:val="16"/>
                          <w:szCs w:val="18"/>
                        </w:rPr>
                        <w:t>:</w:t>
                      </w:r>
                      <w:r w:rsidRPr="004E2A70">
                        <w:rPr>
                          <w:rFonts w:ascii="Arial" w:hAnsi="Arial" w:cs="Arial"/>
                          <w:sz w:val="16"/>
                          <w:szCs w:val="18"/>
                        </w:rPr>
                        <w:t xml:space="preserve"> Information about </w:t>
                      </w:r>
                      <w:r>
                        <w:rPr>
                          <w:rFonts w:ascii="Arial" w:hAnsi="Arial" w:cs="Arial"/>
                          <w:sz w:val="16"/>
                          <w:szCs w:val="18"/>
                        </w:rPr>
                        <w:t xml:space="preserve">your task (investor), period you leave the market, </w:t>
                      </w:r>
                      <w:r w:rsidRPr="004E2A70">
                        <w:rPr>
                          <w:rFonts w:ascii="Arial" w:hAnsi="Arial" w:cs="Arial"/>
                          <w:sz w:val="16"/>
                          <w:szCs w:val="18"/>
                        </w:rPr>
                        <w:t>current S</w:t>
                      </w:r>
                      <w:r>
                        <w:rPr>
                          <w:rFonts w:ascii="Arial" w:hAnsi="Arial" w:cs="Arial"/>
                          <w:sz w:val="16"/>
                          <w:szCs w:val="18"/>
                        </w:rPr>
                        <w:t xml:space="preserve">hare and </w:t>
                      </w:r>
                      <w:proofErr w:type="spellStart"/>
                      <w:r>
                        <w:rPr>
                          <w:rFonts w:ascii="Arial" w:hAnsi="Arial" w:cs="Arial"/>
                          <w:sz w:val="16"/>
                          <w:szCs w:val="18"/>
                        </w:rPr>
                        <w:t>t</w:t>
                      </w:r>
                      <w:r w:rsidRPr="004E2A70">
                        <w:rPr>
                          <w:rFonts w:ascii="Arial" w:hAnsi="Arial" w:cs="Arial"/>
                          <w:sz w:val="16"/>
                          <w:szCs w:val="18"/>
                        </w:rPr>
                        <w:t>aler</w:t>
                      </w:r>
                      <w:proofErr w:type="spellEnd"/>
                      <w:r w:rsidRPr="004E2A70">
                        <w:rPr>
                          <w:rFonts w:ascii="Arial" w:hAnsi="Arial" w:cs="Arial"/>
                          <w:sz w:val="16"/>
                          <w:szCs w:val="18"/>
                        </w:rPr>
                        <w:t xml:space="preserve"> holdings.</w:t>
                      </w:r>
                    </w:p>
                    <w:p w14:paraId="3681F2E0" w14:textId="77777777" w:rsidR="00795305" w:rsidRPr="004E2A70" w:rsidRDefault="00795305" w:rsidP="00436BDE">
                      <w:pPr>
                        <w:autoSpaceDE w:val="0"/>
                        <w:autoSpaceDN w:val="0"/>
                        <w:adjustRightInd w:val="0"/>
                        <w:rPr>
                          <w:sz w:val="16"/>
                          <w:szCs w:val="18"/>
                        </w:rPr>
                      </w:pPr>
                      <w:r w:rsidRPr="004E2A70">
                        <w:rPr>
                          <w:rFonts w:ascii="Arial" w:hAnsi="Arial" w:cs="Arial"/>
                          <w:b/>
                          <w:sz w:val="16"/>
                          <w:szCs w:val="18"/>
                        </w:rPr>
                        <w:t>Predictors:</w:t>
                      </w:r>
                      <w:r>
                        <w:rPr>
                          <w:rFonts w:ascii="Arial" w:hAnsi="Arial" w:cs="Arial"/>
                          <w:sz w:val="16"/>
                          <w:szCs w:val="18"/>
                        </w:rPr>
                        <w:t xml:space="preserve"> Information about your task (</w:t>
                      </w:r>
                      <w:proofErr w:type="spellStart"/>
                      <w:r>
                        <w:rPr>
                          <w:rFonts w:ascii="Arial" w:hAnsi="Arial" w:cs="Arial"/>
                          <w:sz w:val="16"/>
                          <w:szCs w:val="18"/>
                        </w:rPr>
                        <w:t>predictior</w:t>
                      </w:r>
                      <w:proofErr w:type="spellEnd"/>
                      <w:r>
                        <w:rPr>
                          <w:rFonts w:ascii="Arial" w:hAnsi="Arial" w:cs="Arial"/>
                          <w:sz w:val="16"/>
                          <w:szCs w:val="18"/>
                        </w:rPr>
                        <w:t>) and your forecast.</w:t>
                      </w:r>
                    </w:p>
                  </w:txbxContent>
                </v:textbox>
              </v:shape>
            </w:pict>
          </mc:Fallback>
        </mc:AlternateContent>
      </w:r>
      <w:r>
        <w:rPr>
          <w:noProof/>
          <w:lang w:val="de-DE" w:eastAsia="de-DE"/>
        </w:rPr>
        <mc:AlternateContent>
          <mc:Choice Requires="wps">
            <w:drawing>
              <wp:anchor distT="0" distB="0" distL="114300" distR="114300" simplePos="0" relativeHeight="251666944" behindDoc="0" locked="0" layoutInCell="1" allowOverlap="1" wp14:anchorId="1E599C32" wp14:editId="6EC9E6C7">
                <wp:simplePos x="0" y="0"/>
                <wp:positionH relativeFrom="column">
                  <wp:posOffset>3950970</wp:posOffset>
                </wp:positionH>
                <wp:positionV relativeFrom="paragraph">
                  <wp:posOffset>578485</wp:posOffset>
                </wp:positionV>
                <wp:extent cx="2239010" cy="564515"/>
                <wp:effectExtent l="0" t="0" r="27940" b="2603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564515"/>
                        </a:xfrm>
                        <a:prstGeom prst="rect">
                          <a:avLst/>
                        </a:prstGeom>
                        <a:solidFill>
                          <a:srgbClr val="FFFFFF"/>
                        </a:solidFill>
                        <a:ln w="9525">
                          <a:solidFill>
                            <a:srgbClr val="000000"/>
                          </a:solidFill>
                          <a:miter lim="800000"/>
                          <a:headEnd/>
                          <a:tailEnd/>
                        </a:ln>
                      </wps:spPr>
                      <wps:txbx>
                        <w:txbxContent>
                          <w:p w14:paraId="29178A0F" w14:textId="77777777" w:rsidR="00795305" w:rsidRPr="00F11C14" w:rsidRDefault="00795305" w:rsidP="00436BDE">
                            <w:pPr>
                              <w:jc w:val="center"/>
                              <w:rPr>
                                <w:rFonts w:ascii="Arial" w:hAnsi="Arial" w:cs="Arial"/>
                                <w:b/>
                                <w:bCs/>
                                <w:sz w:val="16"/>
                                <w:szCs w:val="18"/>
                              </w:rPr>
                            </w:pPr>
                            <w:r w:rsidRPr="00F11C14">
                              <w:rPr>
                                <w:rFonts w:ascii="Arial" w:hAnsi="Arial" w:cs="Arial"/>
                                <w:bCs/>
                                <w:sz w:val="16"/>
                                <w:szCs w:val="18"/>
                              </w:rPr>
                              <w:t xml:space="preserve">Summary tables of your own BIDS and ASKS. With the “CANCEL”-buttons you can delete your own limit orders.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34" type="#_x0000_t202" style="position:absolute;left:0;text-align:left;margin-left:311.1pt;margin-top:45.55pt;width:176.3pt;height:4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">
                <v:textbox>
                  <w:txbxContent>
                    <w:p w14:paraId="29178A0F" w14:textId="77777777" w:rsidR="00795305" w:rsidRPr="00F11C14" w:rsidRDefault="00795305" w:rsidP="00436BDE">
                      <w:pPr>
                        <w:jc w:val="center"/>
                        <w:rPr>
                          <w:rFonts w:ascii="Arial" w:hAnsi="Arial" w:cs="Arial"/>
                          <w:b/>
                          <w:bCs/>
                          <w:sz w:val="16"/>
                          <w:szCs w:val="18"/>
                        </w:rPr>
                      </w:pPr>
                      <w:r w:rsidRPr="00F11C14">
                        <w:rPr>
                          <w:rFonts w:ascii="Arial" w:hAnsi="Arial" w:cs="Arial"/>
                          <w:bCs/>
                          <w:sz w:val="16"/>
                          <w:szCs w:val="18"/>
                        </w:rPr>
                        <w:t xml:space="preserve">Summary tables of your own BIDS and ASKS. With the “CANCEL”-buttons you can delete your own limit orders. </w:t>
                      </w:r>
                    </w:p>
                  </w:txbxContent>
                </v:textbox>
              </v:shape>
            </w:pict>
          </mc:Fallback>
        </mc:AlternateContent>
      </w:r>
      <w:r>
        <w:rPr>
          <w:noProof/>
          <w:lang w:val="de-DE" w:eastAsia="de-DE"/>
        </w:rPr>
        <mc:AlternateContent>
          <mc:Choice Requires="wps">
            <w:drawing>
              <wp:anchor distT="0" distB="0" distL="114300" distR="114300" simplePos="0" relativeHeight="251660800" behindDoc="0" locked="0" layoutInCell="1" allowOverlap="1" wp14:anchorId="52A75E79" wp14:editId="79E01D4C">
                <wp:simplePos x="0" y="0"/>
                <wp:positionH relativeFrom="column">
                  <wp:posOffset>3952875</wp:posOffset>
                </wp:positionH>
                <wp:positionV relativeFrom="paragraph">
                  <wp:posOffset>2201545</wp:posOffset>
                </wp:positionV>
                <wp:extent cx="2273935" cy="651510"/>
                <wp:effectExtent l="0" t="0" r="12065" b="15240"/>
                <wp:wrapTopAndBottom/>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651510"/>
                        </a:xfrm>
                        <a:prstGeom prst="rect">
                          <a:avLst/>
                        </a:prstGeom>
                        <a:solidFill>
                          <a:srgbClr val="FFFFFF"/>
                        </a:solidFill>
                        <a:ln w="9525">
                          <a:solidFill>
                            <a:srgbClr val="000000"/>
                          </a:solidFill>
                          <a:miter lim="800000"/>
                          <a:headEnd/>
                          <a:tailEnd/>
                        </a:ln>
                      </wps:spPr>
                      <wps:txbx>
                        <w:txbxContent>
                          <w:p w14:paraId="44D5D804" w14:textId="77777777" w:rsidR="00795305" w:rsidRPr="00F11C14" w:rsidRDefault="00795305" w:rsidP="00436BDE">
                            <w:pPr>
                              <w:autoSpaceDE w:val="0"/>
                              <w:autoSpaceDN w:val="0"/>
                              <w:adjustRightInd w:val="0"/>
                              <w:rPr>
                                <w:sz w:val="16"/>
                                <w:szCs w:val="18"/>
                              </w:rPr>
                            </w:pPr>
                            <w:r w:rsidRPr="00F11C14">
                              <w:rPr>
                                <w:rFonts w:ascii="Arial,Bold" w:hAnsi="Arial,Bold" w:cs="Arial,Bold"/>
                                <w:b/>
                                <w:bCs/>
                                <w:szCs w:val="22"/>
                              </w:rPr>
                              <w:t>List of all BIDS</w:t>
                            </w:r>
                            <w:r w:rsidRPr="00F11C14">
                              <w:rPr>
                                <w:rFonts w:ascii="Arial" w:hAnsi="Arial" w:cs="Arial"/>
                                <w:szCs w:val="22"/>
                              </w:rPr>
                              <w:t>:</w:t>
                            </w:r>
                            <w:r w:rsidRPr="00F11C14">
                              <w:rPr>
                                <w:rFonts w:ascii="Arial" w:hAnsi="Arial" w:cs="Arial"/>
                                <w:sz w:val="16"/>
                                <w:szCs w:val="18"/>
                              </w:rPr>
                              <w:t xml:space="preserve"> from all </w:t>
                            </w:r>
                            <w:r>
                              <w:rPr>
                                <w:rFonts w:ascii="Arial" w:hAnsi="Arial" w:cs="Arial"/>
                                <w:sz w:val="16"/>
                                <w:szCs w:val="18"/>
                              </w:rPr>
                              <w:t>investor</w:t>
                            </w:r>
                            <w:r w:rsidRPr="00F11C14">
                              <w:rPr>
                                <w:rFonts w:ascii="Arial" w:hAnsi="Arial" w:cs="Arial"/>
                                <w:sz w:val="16"/>
                                <w:szCs w:val="18"/>
                              </w:rPr>
                              <w:t xml:space="preserve">s - your own bids are written in blue. The </w:t>
                            </w:r>
                            <w:r>
                              <w:rPr>
                                <w:rFonts w:ascii="Arial" w:hAnsi="Arial" w:cs="Arial"/>
                                <w:sz w:val="16"/>
                                <w:szCs w:val="18"/>
                              </w:rPr>
                              <w:t>bid</w:t>
                            </w:r>
                            <w:r w:rsidRPr="00F11C14">
                              <w:rPr>
                                <w:rFonts w:ascii="Arial" w:hAnsi="Arial" w:cs="Arial"/>
                                <w:sz w:val="16"/>
                                <w:szCs w:val="18"/>
                              </w:rPr>
                              <w:t xml:space="preserve"> with blue background is always the </w:t>
                            </w:r>
                            <w:r>
                              <w:rPr>
                                <w:rFonts w:ascii="Arial" w:hAnsi="Arial" w:cs="Arial"/>
                                <w:sz w:val="16"/>
                                <w:szCs w:val="18"/>
                              </w:rPr>
                              <w:t xml:space="preserve">most attractive, </w:t>
                            </w:r>
                            <w:r w:rsidRPr="00F11C14">
                              <w:rPr>
                                <w:rFonts w:ascii="Arial" w:hAnsi="Arial" w:cs="Arial"/>
                                <w:sz w:val="16"/>
                                <w:szCs w:val="18"/>
                              </w:rPr>
                              <w:t>yield</w:t>
                            </w:r>
                            <w:r>
                              <w:rPr>
                                <w:rFonts w:ascii="Arial" w:hAnsi="Arial" w:cs="Arial"/>
                                <w:sz w:val="16"/>
                                <w:szCs w:val="18"/>
                              </w:rPr>
                              <w:t>ing</w:t>
                            </w:r>
                            <w:r w:rsidRPr="00F11C14">
                              <w:rPr>
                                <w:rFonts w:ascii="Arial" w:hAnsi="Arial" w:cs="Arial"/>
                                <w:sz w:val="16"/>
                                <w:szCs w:val="18"/>
                              </w:rPr>
                              <w:t xml:space="preserve"> the highest revenues for the seller.</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9" o:spid="_x0000_s1035" type="#_x0000_t202" style="position:absolute;left:0;text-align:left;margin-left:311.25pt;margin-top:173.35pt;width:179.05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">
                <v:textbox inset="1.5mm,,1.5mm">
                  <w:txbxContent>
                    <w:p w14:paraId="44D5D804" w14:textId="77777777" w:rsidR="00795305" w:rsidRPr="00F11C14" w:rsidRDefault="00795305" w:rsidP="00436BDE">
                      <w:pPr>
                        <w:autoSpaceDE w:val="0"/>
                        <w:autoSpaceDN w:val="0"/>
                        <w:adjustRightInd w:val="0"/>
                        <w:rPr>
                          <w:sz w:val="16"/>
                          <w:szCs w:val="18"/>
                        </w:rPr>
                      </w:pPr>
                      <w:r w:rsidRPr="00F11C14">
                        <w:rPr>
                          <w:rFonts w:ascii="Arial,Bold" w:hAnsi="Arial,Bold" w:cs="Arial,Bold"/>
                          <w:b/>
                          <w:bCs/>
                          <w:szCs w:val="22"/>
                        </w:rPr>
                        <w:t>List of all BIDS</w:t>
                      </w:r>
                      <w:r w:rsidRPr="00F11C14">
                        <w:rPr>
                          <w:rFonts w:ascii="Arial" w:hAnsi="Arial" w:cs="Arial"/>
                          <w:szCs w:val="22"/>
                        </w:rPr>
                        <w:t>:</w:t>
                      </w:r>
                      <w:r w:rsidRPr="00F11C14">
                        <w:rPr>
                          <w:rFonts w:ascii="Arial" w:hAnsi="Arial" w:cs="Arial"/>
                          <w:sz w:val="16"/>
                          <w:szCs w:val="18"/>
                        </w:rPr>
                        <w:t xml:space="preserve"> from all </w:t>
                      </w:r>
                      <w:r>
                        <w:rPr>
                          <w:rFonts w:ascii="Arial" w:hAnsi="Arial" w:cs="Arial"/>
                          <w:sz w:val="16"/>
                          <w:szCs w:val="18"/>
                        </w:rPr>
                        <w:t>investor</w:t>
                      </w:r>
                      <w:r w:rsidRPr="00F11C14">
                        <w:rPr>
                          <w:rFonts w:ascii="Arial" w:hAnsi="Arial" w:cs="Arial"/>
                          <w:sz w:val="16"/>
                          <w:szCs w:val="18"/>
                        </w:rPr>
                        <w:t xml:space="preserve">s - your own bids are written in blue. The </w:t>
                      </w:r>
                      <w:r>
                        <w:rPr>
                          <w:rFonts w:ascii="Arial" w:hAnsi="Arial" w:cs="Arial"/>
                          <w:sz w:val="16"/>
                          <w:szCs w:val="18"/>
                        </w:rPr>
                        <w:t>bid</w:t>
                      </w:r>
                      <w:r w:rsidRPr="00F11C14">
                        <w:rPr>
                          <w:rFonts w:ascii="Arial" w:hAnsi="Arial" w:cs="Arial"/>
                          <w:sz w:val="16"/>
                          <w:szCs w:val="18"/>
                        </w:rPr>
                        <w:t xml:space="preserve"> with blue background is always the </w:t>
                      </w:r>
                      <w:r>
                        <w:rPr>
                          <w:rFonts w:ascii="Arial" w:hAnsi="Arial" w:cs="Arial"/>
                          <w:sz w:val="16"/>
                          <w:szCs w:val="18"/>
                        </w:rPr>
                        <w:t xml:space="preserve">most attractive, </w:t>
                      </w:r>
                      <w:r w:rsidRPr="00F11C14">
                        <w:rPr>
                          <w:rFonts w:ascii="Arial" w:hAnsi="Arial" w:cs="Arial"/>
                          <w:sz w:val="16"/>
                          <w:szCs w:val="18"/>
                        </w:rPr>
                        <w:t>yield</w:t>
                      </w:r>
                      <w:r>
                        <w:rPr>
                          <w:rFonts w:ascii="Arial" w:hAnsi="Arial" w:cs="Arial"/>
                          <w:sz w:val="16"/>
                          <w:szCs w:val="18"/>
                        </w:rPr>
                        <w:t>ing</w:t>
                      </w:r>
                      <w:r w:rsidRPr="00F11C14">
                        <w:rPr>
                          <w:rFonts w:ascii="Arial" w:hAnsi="Arial" w:cs="Arial"/>
                          <w:sz w:val="16"/>
                          <w:szCs w:val="18"/>
                        </w:rPr>
                        <w:t xml:space="preserve"> the highest revenues for the seller.</w:t>
                      </w:r>
                    </w:p>
                  </w:txbxContent>
                </v:textbox>
                <w10:wrap type="topAndBottom"/>
              </v:shape>
            </w:pict>
          </mc:Fallback>
        </mc:AlternateContent>
      </w:r>
      <w:r w:rsidR="00436BDE">
        <w:rPr>
          <w:i/>
          <w:lang w:eastAsia="ja-JP"/>
        </w:rPr>
        <w:br w:type="page"/>
      </w:r>
    </w:p>
    <w:p w14:paraId="181C7218" w14:textId="77777777" w:rsidR="00436BDE" w:rsidRPr="00252CDF" w:rsidRDefault="00436BDE" w:rsidP="00436BDE">
      <w:pPr>
        <w:spacing w:line="360" w:lineRule="auto"/>
        <w:jc w:val="center"/>
        <w:rPr>
          <w:b/>
          <w:sz w:val="24"/>
        </w:rPr>
      </w:pPr>
      <w:r w:rsidRPr="00252CDF">
        <w:rPr>
          <w:b/>
          <w:sz w:val="24"/>
        </w:rPr>
        <w:lastRenderedPageBreak/>
        <w:t>Market p</w:t>
      </w:r>
      <w:r w:rsidRPr="00252CDF">
        <w:rPr>
          <w:rFonts w:hint="eastAsia"/>
          <w:b/>
          <w:sz w:val="24"/>
        </w:rPr>
        <w:t>redict</w:t>
      </w:r>
      <w:r w:rsidRPr="00252CDF">
        <w:rPr>
          <w:b/>
          <w:sz w:val="24"/>
        </w:rPr>
        <w:t>ions</w:t>
      </w:r>
    </w:p>
    <w:p w14:paraId="1651BD9E" w14:textId="77777777" w:rsidR="00436BDE" w:rsidRPr="00436BDE" w:rsidRDefault="00436BDE" w:rsidP="00436BDE">
      <w:pPr>
        <w:spacing w:line="360" w:lineRule="auto"/>
        <w:jc w:val="both"/>
        <w:rPr>
          <w:sz w:val="24"/>
          <w:szCs w:val="24"/>
          <w:lang w:eastAsia="ja-JP"/>
        </w:rPr>
      </w:pPr>
    </w:p>
    <w:p w14:paraId="58E40108" w14:textId="3BC60EA5" w:rsidR="00436BDE" w:rsidRPr="00436BDE" w:rsidRDefault="00436BDE" w:rsidP="00436BDE">
      <w:pPr>
        <w:spacing w:line="360" w:lineRule="auto"/>
        <w:jc w:val="both"/>
        <w:rPr>
          <w:sz w:val="24"/>
          <w:szCs w:val="24"/>
          <w:lang w:eastAsia="ja-JP"/>
        </w:rPr>
      </w:pPr>
      <w:r w:rsidRPr="00436BDE">
        <w:rPr>
          <w:sz w:val="24"/>
          <w:szCs w:val="24"/>
          <w:lang w:eastAsia="ja-JP"/>
        </w:rPr>
        <w:t xml:space="preserve">At the beginning of each period participants who do not actively participate in the market are asked to predict </w:t>
      </w:r>
      <w:r w:rsidRPr="00436BDE">
        <w:rPr>
          <w:rFonts w:hint="eastAsia"/>
          <w:sz w:val="24"/>
          <w:szCs w:val="24"/>
          <w:lang w:eastAsia="ja-JP"/>
        </w:rPr>
        <w:t xml:space="preserve">the </w:t>
      </w:r>
      <w:r w:rsidRPr="00436BDE">
        <w:rPr>
          <w:sz w:val="24"/>
          <w:szCs w:val="24"/>
          <w:lang w:eastAsia="ja-JP"/>
        </w:rPr>
        <w:t xml:space="preserve">average of the </w:t>
      </w:r>
      <w:r w:rsidRPr="00436BDE">
        <w:rPr>
          <w:rFonts w:hint="eastAsia"/>
          <w:sz w:val="24"/>
          <w:szCs w:val="24"/>
          <w:lang w:eastAsia="ja-JP"/>
        </w:rPr>
        <w:t>price</w:t>
      </w:r>
      <w:r w:rsidRPr="00436BDE">
        <w:rPr>
          <w:sz w:val="24"/>
          <w:szCs w:val="24"/>
          <w:lang w:eastAsia="ja-JP"/>
        </w:rPr>
        <w:t>s</w:t>
      </w:r>
      <w:r w:rsidRPr="00436BDE">
        <w:rPr>
          <w:rFonts w:hint="eastAsia"/>
          <w:sz w:val="24"/>
          <w:szCs w:val="24"/>
          <w:lang w:eastAsia="ja-JP"/>
        </w:rPr>
        <w:t xml:space="preserve"> </w:t>
      </w:r>
      <w:r w:rsidRPr="00436BDE">
        <w:rPr>
          <w:sz w:val="24"/>
          <w:szCs w:val="24"/>
          <w:lang w:eastAsia="ja-JP"/>
        </w:rPr>
        <w:t>at which shares will be traded during that period. Those participants will be able to monitor the market. At the end of each period, their predi</w:t>
      </w:r>
      <w:r w:rsidRPr="00436BDE">
        <w:rPr>
          <w:sz w:val="24"/>
          <w:szCs w:val="24"/>
          <w:lang w:eastAsia="ja-JP"/>
        </w:rPr>
        <w:t>c</w:t>
      </w:r>
      <w:r w:rsidRPr="00436BDE">
        <w:rPr>
          <w:sz w:val="24"/>
          <w:szCs w:val="24"/>
          <w:lang w:eastAsia="ja-JP"/>
        </w:rPr>
        <w:t xml:space="preserve">tion will be compared to the </w:t>
      </w:r>
      <w:r w:rsidRPr="00436BDE">
        <w:rPr>
          <w:rFonts w:hint="eastAsia"/>
          <w:sz w:val="24"/>
          <w:szCs w:val="24"/>
          <w:lang w:eastAsia="ja-JP"/>
        </w:rPr>
        <w:t xml:space="preserve">actual </w:t>
      </w:r>
      <w:r w:rsidRPr="00436BDE">
        <w:rPr>
          <w:sz w:val="24"/>
          <w:szCs w:val="24"/>
          <w:lang w:eastAsia="ja-JP"/>
        </w:rPr>
        <w:t>average trading</w:t>
      </w:r>
      <w:r w:rsidRPr="00436BDE">
        <w:rPr>
          <w:rFonts w:hint="eastAsia"/>
          <w:sz w:val="24"/>
          <w:szCs w:val="24"/>
          <w:lang w:eastAsia="ja-JP"/>
        </w:rPr>
        <w:t xml:space="preserve"> </w:t>
      </w:r>
      <w:r w:rsidRPr="00436BDE">
        <w:rPr>
          <w:sz w:val="24"/>
          <w:szCs w:val="24"/>
          <w:lang w:eastAsia="ja-JP"/>
        </w:rPr>
        <w:t xml:space="preserve">price. The more accurate the prediction, the more </w:t>
      </w:r>
      <w:proofErr w:type="spellStart"/>
      <w:r w:rsidR="007A6BB6">
        <w:rPr>
          <w:sz w:val="24"/>
          <w:szCs w:val="24"/>
          <w:lang w:eastAsia="ja-JP"/>
        </w:rPr>
        <w:t>taler</w:t>
      </w:r>
      <w:r w:rsidRPr="00436BDE">
        <w:rPr>
          <w:sz w:val="24"/>
          <w:szCs w:val="24"/>
          <w:lang w:eastAsia="ja-JP"/>
        </w:rPr>
        <w:t>s</w:t>
      </w:r>
      <w:proofErr w:type="spellEnd"/>
      <w:r w:rsidRPr="00436BDE">
        <w:rPr>
          <w:sz w:val="24"/>
          <w:szCs w:val="24"/>
          <w:lang w:eastAsia="ja-JP"/>
        </w:rPr>
        <w:t xml:space="preserve"> they earn. </w:t>
      </w:r>
    </w:p>
    <w:p w14:paraId="3E08774F" w14:textId="2588632C" w:rsidR="00436BDE" w:rsidRPr="00436BDE" w:rsidRDefault="00436BDE" w:rsidP="00436BDE">
      <w:pPr>
        <w:spacing w:line="360" w:lineRule="auto"/>
        <w:ind w:firstLine="720"/>
        <w:jc w:val="both"/>
        <w:rPr>
          <w:sz w:val="24"/>
          <w:szCs w:val="24"/>
          <w:lang w:eastAsia="ja-JP"/>
        </w:rPr>
      </w:pPr>
      <w:r w:rsidRPr="00436BDE">
        <w:rPr>
          <w:sz w:val="24"/>
          <w:szCs w:val="24"/>
          <w:lang w:eastAsia="ja-JP"/>
        </w:rPr>
        <w:t xml:space="preserve">Each period, you will earn 140 </w:t>
      </w:r>
      <w:proofErr w:type="spellStart"/>
      <w:r w:rsidR="007A6BB6">
        <w:rPr>
          <w:sz w:val="24"/>
          <w:szCs w:val="24"/>
          <w:lang w:eastAsia="ja-JP"/>
        </w:rPr>
        <w:t>taler</w:t>
      </w:r>
      <w:proofErr w:type="spellEnd"/>
      <w:r w:rsidRPr="00436BDE">
        <w:rPr>
          <w:sz w:val="24"/>
          <w:szCs w:val="24"/>
          <w:lang w:eastAsia="ja-JP"/>
        </w:rPr>
        <w:t xml:space="preserve"> minus the absolute value of your prediction error. For example, suppose, you predict a price of PP and the actual average trading price is AP, you have a prediction error of </w:t>
      </w:r>
      <w:r w:rsidRPr="00436BDE">
        <w:rPr>
          <w:sz w:val="24"/>
          <w:szCs w:val="24"/>
          <w:lang w:eastAsia="ja-JP"/>
        </w:rPr>
        <w:sym w:font="Symbol" w:char="F0FA"/>
      </w:r>
      <w:r w:rsidRPr="00436BDE">
        <w:rPr>
          <w:rFonts w:hint="eastAsia"/>
          <w:sz w:val="24"/>
          <w:szCs w:val="24"/>
          <w:lang w:eastAsia="ja-JP"/>
        </w:rPr>
        <w:t xml:space="preserve"> </w:t>
      </w:r>
      <w:r w:rsidRPr="00436BDE">
        <w:rPr>
          <w:sz w:val="24"/>
          <w:szCs w:val="24"/>
          <w:lang w:eastAsia="ja-JP"/>
        </w:rPr>
        <w:t>PP-AP</w:t>
      </w:r>
      <w:r w:rsidRPr="00436BDE">
        <w:rPr>
          <w:sz w:val="24"/>
          <w:szCs w:val="24"/>
          <w:lang w:eastAsia="ja-JP"/>
        </w:rPr>
        <w:sym w:font="Symbol" w:char="F0FA"/>
      </w:r>
      <w:r w:rsidRPr="00436BDE">
        <w:rPr>
          <w:sz w:val="24"/>
          <w:szCs w:val="24"/>
          <w:lang w:eastAsia="ja-JP"/>
        </w:rPr>
        <w:t xml:space="preserve">, and your prediction earnings will be 140 minus </w:t>
      </w:r>
      <w:r w:rsidRPr="00436BDE">
        <w:rPr>
          <w:sz w:val="24"/>
          <w:szCs w:val="24"/>
          <w:lang w:eastAsia="ja-JP"/>
        </w:rPr>
        <w:sym w:font="Symbol" w:char="F0FA"/>
      </w:r>
      <w:r w:rsidRPr="00436BDE">
        <w:rPr>
          <w:rFonts w:hint="eastAsia"/>
          <w:sz w:val="24"/>
          <w:szCs w:val="24"/>
          <w:lang w:eastAsia="ja-JP"/>
        </w:rPr>
        <w:t xml:space="preserve"> </w:t>
      </w:r>
      <w:r w:rsidRPr="00436BDE">
        <w:rPr>
          <w:sz w:val="24"/>
          <w:szCs w:val="24"/>
          <w:lang w:eastAsia="ja-JP"/>
        </w:rPr>
        <w:t>PP-AP</w:t>
      </w:r>
      <w:r w:rsidRPr="00436BDE">
        <w:rPr>
          <w:sz w:val="24"/>
          <w:szCs w:val="24"/>
          <w:lang w:eastAsia="ja-JP"/>
        </w:rPr>
        <w:sym w:font="Symbol" w:char="F0FA"/>
      </w:r>
      <w:r w:rsidRPr="00436BDE">
        <w:rPr>
          <w:sz w:val="24"/>
          <w:szCs w:val="24"/>
          <w:lang w:eastAsia="ja-JP"/>
        </w:rPr>
        <w:t xml:space="preserve">. </w:t>
      </w:r>
    </w:p>
    <w:p w14:paraId="65D5DEA6" w14:textId="71FF6B30" w:rsidR="00436BDE" w:rsidRPr="00436BDE" w:rsidRDefault="00D3240B" w:rsidP="00436BDE">
      <w:pPr>
        <w:spacing w:line="360" w:lineRule="auto"/>
        <w:ind w:firstLine="720"/>
        <w:jc w:val="both"/>
        <w:rPr>
          <w:sz w:val="24"/>
          <w:szCs w:val="24"/>
          <w:lang w:eastAsia="ja-JP"/>
        </w:rPr>
      </w:pPr>
      <w:proofErr w:type="spellStart"/>
      <w:r>
        <w:rPr>
          <w:sz w:val="24"/>
          <w:szCs w:val="24"/>
          <w:lang w:eastAsia="ja-JP"/>
        </w:rPr>
        <w:t>T</w:t>
      </w:r>
      <w:r w:rsidR="007A6BB6">
        <w:rPr>
          <w:sz w:val="24"/>
          <w:szCs w:val="24"/>
          <w:lang w:eastAsia="ja-JP"/>
        </w:rPr>
        <w:t>aler</w:t>
      </w:r>
      <w:proofErr w:type="spellEnd"/>
      <w:r w:rsidR="00436BDE" w:rsidRPr="00436BDE">
        <w:rPr>
          <w:sz w:val="24"/>
          <w:szCs w:val="24"/>
          <w:lang w:eastAsia="ja-JP"/>
        </w:rPr>
        <w:t xml:space="preserve"> will be converted into EURO at an exchange rate of 133 </w:t>
      </w:r>
      <w:proofErr w:type="spellStart"/>
      <w:r w:rsidR="007A6BB6">
        <w:rPr>
          <w:sz w:val="24"/>
          <w:szCs w:val="24"/>
          <w:lang w:eastAsia="ja-JP"/>
        </w:rPr>
        <w:t>taler</w:t>
      </w:r>
      <w:proofErr w:type="spellEnd"/>
      <w:r w:rsidR="00436BDE" w:rsidRPr="00436BDE">
        <w:rPr>
          <w:sz w:val="24"/>
          <w:szCs w:val="24"/>
          <w:lang w:eastAsia="ja-JP"/>
        </w:rPr>
        <w:t xml:space="preserve"> = 1 Euro. You have 30 seconds to enter your prediction. If you do not enter a prediction value in time or your earnings would be negative, you will earn 0 Euro.</w:t>
      </w:r>
    </w:p>
    <w:p w14:paraId="58CB750C" w14:textId="77777777" w:rsidR="00436BDE" w:rsidRPr="00436BDE" w:rsidRDefault="00436BDE" w:rsidP="00436BDE">
      <w:pPr>
        <w:spacing w:line="360" w:lineRule="auto"/>
        <w:jc w:val="both"/>
        <w:rPr>
          <w:sz w:val="24"/>
          <w:szCs w:val="24"/>
          <w:lang w:eastAsia="ja-JP"/>
        </w:rPr>
      </w:pPr>
    </w:p>
    <w:p w14:paraId="10563909" w14:textId="77777777" w:rsidR="00436BDE" w:rsidRDefault="00436BDE" w:rsidP="00436BDE">
      <w:pPr>
        <w:pStyle w:val="Textkrper-Einzug2"/>
        <w:spacing w:line="360" w:lineRule="auto"/>
        <w:ind w:firstLine="0"/>
        <w:jc w:val="both"/>
        <w:rPr>
          <w:lang w:eastAsia="ja-JP"/>
        </w:rPr>
      </w:pPr>
      <w:r>
        <w:rPr>
          <w:lang w:eastAsia="ja-JP"/>
        </w:rPr>
        <w:t>At the end of each period you see a H</w:t>
      </w:r>
      <w:r w:rsidRPr="000A4209">
        <w:rPr>
          <w:lang w:eastAsia="ja-JP"/>
        </w:rPr>
        <w:t xml:space="preserve">istory </w:t>
      </w:r>
      <w:r>
        <w:rPr>
          <w:lang w:eastAsia="ja-JP"/>
        </w:rPr>
        <w:t>S</w:t>
      </w:r>
      <w:r w:rsidRPr="000A4209">
        <w:rPr>
          <w:lang w:eastAsia="ja-JP"/>
        </w:rPr>
        <w:t>creen</w:t>
      </w:r>
      <w:r>
        <w:rPr>
          <w:lang w:eastAsia="ja-JP"/>
        </w:rPr>
        <w:t xml:space="preserve"> (Figure 3) for 15 seconds providing you with cumulative information.</w:t>
      </w:r>
    </w:p>
    <w:p w14:paraId="56D6C26B" w14:textId="77777777" w:rsidR="00436BDE" w:rsidRDefault="00436BDE" w:rsidP="00436BDE">
      <w:pPr>
        <w:pStyle w:val="Textkrper-Einzug2"/>
        <w:spacing w:line="360" w:lineRule="auto"/>
        <w:ind w:firstLine="0"/>
        <w:jc w:val="both"/>
        <w:rPr>
          <w:lang w:eastAsia="ja-JP"/>
        </w:rPr>
      </w:pPr>
    </w:p>
    <w:p w14:paraId="07ED6CE6" w14:textId="77777777" w:rsidR="00436BDE" w:rsidRPr="00850EC1" w:rsidRDefault="00436BDE" w:rsidP="00436BDE">
      <w:pPr>
        <w:pStyle w:val="Textkrper-Einzug2"/>
        <w:spacing w:line="360" w:lineRule="auto"/>
        <w:ind w:firstLine="0"/>
        <w:jc w:val="both"/>
        <w:rPr>
          <w:b/>
          <w:lang w:eastAsia="ja-JP"/>
        </w:rPr>
      </w:pPr>
      <w:r w:rsidRPr="00850EC1">
        <w:rPr>
          <w:b/>
          <w:lang w:eastAsia="ja-JP"/>
        </w:rPr>
        <w:t>Important information</w:t>
      </w:r>
    </w:p>
    <w:p w14:paraId="3A7767DB" w14:textId="4058F211" w:rsidR="00436BDE" w:rsidRDefault="00436BDE" w:rsidP="00436BDE">
      <w:pPr>
        <w:pStyle w:val="Textkrper-Einzug2"/>
        <w:numPr>
          <w:ilvl w:val="0"/>
          <w:numId w:val="28"/>
        </w:numPr>
        <w:spacing w:line="360" w:lineRule="auto"/>
        <w:jc w:val="both"/>
        <w:rPr>
          <w:lang w:eastAsia="ja-JP"/>
        </w:rPr>
      </w:pPr>
      <w:r>
        <w:rPr>
          <w:lang w:eastAsia="ja-JP"/>
        </w:rPr>
        <w:t xml:space="preserve">No interest is paid for </w:t>
      </w:r>
      <w:proofErr w:type="spellStart"/>
      <w:r w:rsidR="007A6BB6">
        <w:rPr>
          <w:lang w:eastAsia="ja-JP"/>
        </w:rPr>
        <w:t>taler</w:t>
      </w:r>
      <w:proofErr w:type="spellEnd"/>
      <w:r>
        <w:rPr>
          <w:lang w:eastAsia="ja-JP"/>
        </w:rPr>
        <w:t xml:space="preserve"> holdings.</w:t>
      </w:r>
    </w:p>
    <w:p w14:paraId="11D80E29" w14:textId="77777777" w:rsidR="00436BDE" w:rsidRDefault="00436BDE" w:rsidP="00436BDE">
      <w:pPr>
        <w:pStyle w:val="Textkrper-Einzug2"/>
        <w:numPr>
          <w:ilvl w:val="0"/>
          <w:numId w:val="28"/>
        </w:numPr>
        <w:spacing w:line="360" w:lineRule="auto"/>
        <w:jc w:val="both"/>
        <w:rPr>
          <w:lang w:eastAsia="ja-JP"/>
        </w:rPr>
      </w:pPr>
      <w:r>
        <w:rPr>
          <w:lang w:eastAsia="ja-JP"/>
        </w:rPr>
        <w:t>Each trading period lasts for 120 seconds.</w:t>
      </w:r>
    </w:p>
    <w:p w14:paraId="28A3E6F4" w14:textId="77777777" w:rsidR="00436BDE" w:rsidRDefault="00436BDE" w:rsidP="00436BDE">
      <w:pPr>
        <w:pStyle w:val="Textkrper-Einzug2"/>
        <w:numPr>
          <w:ilvl w:val="0"/>
          <w:numId w:val="28"/>
        </w:numPr>
        <w:spacing w:line="360" w:lineRule="auto"/>
        <w:jc w:val="both"/>
        <w:rPr>
          <w:lang w:eastAsia="ja-JP"/>
        </w:rPr>
      </w:pPr>
      <w:r>
        <w:rPr>
          <w:lang w:eastAsia="ja-JP"/>
        </w:rPr>
        <w:t>You have 30 sec. to enter your prediction.</w:t>
      </w:r>
    </w:p>
    <w:p w14:paraId="32DFF0FD" w14:textId="77777777" w:rsidR="00436BDE" w:rsidRDefault="00436BDE" w:rsidP="00436BDE">
      <w:pPr>
        <w:pStyle w:val="Textkrper-Einzug2"/>
        <w:numPr>
          <w:ilvl w:val="0"/>
          <w:numId w:val="28"/>
        </w:numPr>
        <w:spacing w:line="360" w:lineRule="auto"/>
        <w:jc w:val="both"/>
        <w:rPr>
          <w:lang w:eastAsia="ja-JP"/>
        </w:rPr>
      </w:pPr>
      <w:r>
        <w:rPr>
          <w:lang w:eastAsia="ja-JP"/>
        </w:rPr>
        <w:t>The session ends after 16 periods.</w:t>
      </w:r>
    </w:p>
    <w:p w14:paraId="542CE54A" w14:textId="741BFFB9" w:rsidR="00436BDE" w:rsidRDefault="00436BDE" w:rsidP="00436BDE">
      <w:pPr>
        <w:pStyle w:val="Textkrper-Einzug2"/>
        <w:numPr>
          <w:ilvl w:val="0"/>
          <w:numId w:val="28"/>
        </w:numPr>
        <w:spacing w:line="360" w:lineRule="auto"/>
        <w:jc w:val="both"/>
        <w:rPr>
          <w:lang w:eastAsia="ja-JP"/>
        </w:rPr>
      </w:pPr>
      <w:r>
        <w:rPr>
          <w:lang w:eastAsia="ja-JP"/>
        </w:rPr>
        <w:t xml:space="preserve">Offers to buy/sell shares can be placed in the range from 0 to 999 </w:t>
      </w:r>
      <w:proofErr w:type="spellStart"/>
      <w:r w:rsidR="007A6BB6">
        <w:rPr>
          <w:lang w:eastAsia="ja-JP"/>
        </w:rPr>
        <w:t>taler</w:t>
      </w:r>
      <w:proofErr w:type="spellEnd"/>
      <w:r>
        <w:rPr>
          <w:lang w:eastAsia="ja-JP"/>
        </w:rPr>
        <w:t xml:space="preserve"> </w:t>
      </w:r>
      <w:proofErr w:type="gramStart"/>
      <w:r>
        <w:rPr>
          <w:lang w:eastAsia="ja-JP"/>
        </w:rPr>
        <w:t xml:space="preserve">(with at most </w:t>
      </w:r>
      <w:r w:rsidRPr="00484AA0">
        <w:rPr>
          <w:lang w:eastAsia="ja-JP"/>
        </w:rPr>
        <w:t xml:space="preserve">one </w:t>
      </w:r>
      <w:r>
        <w:rPr>
          <w:lang w:eastAsia="ja-JP"/>
        </w:rPr>
        <w:t>decimal places)</w:t>
      </w:r>
      <w:proofErr w:type="gramEnd"/>
      <w:r>
        <w:rPr>
          <w:lang w:eastAsia="ja-JP"/>
        </w:rPr>
        <w:t>.</w:t>
      </w:r>
    </w:p>
    <w:p w14:paraId="59651761" w14:textId="17184273" w:rsidR="00436BDE" w:rsidRDefault="00436BDE" w:rsidP="00436BDE">
      <w:pPr>
        <w:pStyle w:val="Textkrper-Einzug2"/>
        <w:numPr>
          <w:ilvl w:val="0"/>
          <w:numId w:val="28"/>
        </w:numPr>
        <w:spacing w:line="360" w:lineRule="auto"/>
        <w:jc w:val="both"/>
        <w:rPr>
          <w:lang w:eastAsia="ja-JP"/>
        </w:rPr>
      </w:pPr>
      <w:r>
        <w:rPr>
          <w:lang w:eastAsia="ja-JP"/>
        </w:rPr>
        <w:t xml:space="preserve">Members of Cohort </w:t>
      </w:r>
      <w:r w:rsidRPr="00484AA0">
        <w:rPr>
          <w:lang w:eastAsia="ja-JP"/>
        </w:rPr>
        <w:t>3</w:t>
      </w:r>
      <w:r>
        <w:rPr>
          <w:lang w:eastAsia="ja-JP"/>
        </w:rPr>
        <w:t xml:space="preserve"> (and only this cohort) receive a dividend of 50 </w:t>
      </w:r>
      <w:proofErr w:type="spellStart"/>
      <w:r w:rsidR="007A6BB6">
        <w:rPr>
          <w:lang w:eastAsia="ja-JP"/>
        </w:rPr>
        <w:t>taler</w:t>
      </w:r>
      <w:r>
        <w:rPr>
          <w:lang w:eastAsia="ja-JP"/>
        </w:rPr>
        <w:t>s</w:t>
      </w:r>
      <w:proofErr w:type="spellEnd"/>
      <w:r>
        <w:rPr>
          <w:lang w:eastAsia="ja-JP"/>
        </w:rPr>
        <w:t xml:space="preserve"> per share for their holdings at the end of Period 16. Shares are worthless thereafter.</w:t>
      </w:r>
    </w:p>
    <w:p w14:paraId="163ED9BB" w14:textId="77777777" w:rsidR="00436BDE" w:rsidRDefault="00436BDE" w:rsidP="00436BDE">
      <w:pPr>
        <w:pStyle w:val="Textkrper-Einzug2"/>
        <w:numPr>
          <w:ilvl w:val="0"/>
          <w:numId w:val="28"/>
        </w:numPr>
        <w:spacing w:line="360" w:lineRule="auto"/>
        <w:jc w:val="both"/>
        <w:rPr>
          <w:lang w:eastAsia="ja-JP"/>
        </w:rPr>
      </w:pPr>
      <w:r>
        <w:rPr>
          <w:lang w:eastAsia="ja-JP"/>
        </w:rPr>
        <w:t>Use the full stop (.) for decimal.</w:t>
      </w:r>
    </w:p>
    <w:p w14:paraId="04338738" w14:textId="77777777" w:rsidR="00436BDE" w:rsidRPr="004E2A70" w:rsidRDefault="00436BDE" w:rsidP="00436BDE">
      <w:pPr>
        <w:pStyle w:val="Textkrper-Einzug2"/>
        <w:spacing w:line="360" w:lineRule="auto"/>
        <w:ind w:firstLine="0"/>
        <w:jc w:val="both"/>
        <w:rPr>
          <w:sz w:val="22"/>
          <w:lang w:eastAsia="ja-JP"/>
        </w:rPr>
      </w:pPr>
    </w:p>
    <w:p w14:paraId="47D7303B" w14:textId="77777777" w:rsidR="00436BDE" w:rsidRDefault="00436BDE" w:rsidP="00436BDE">
      <w:pPr>
        <w:rPr>
          <w:b/>
          <w:lang w:eastAsia="ja-JP"/>
        </w:rPr>
      </w:pPr>
      <w:r>
        <w:rPr>
          <w:b/>
          <w:lang w:eastAsia="ja-JP"/>
        </w:rPr>
        <w:br w:type="page"/>
      </w:r>
    </w:p>
    <w:p w14:paraId="25622CD0" w14:textId="77777777" w:rsidR="00436BDE" w:rsidRPr="0076701C" w:rsidRDefault="00436BDE" w:rsidP="00436BDE">
      <w:pPr>
        <w:pStyle w:val="Textkrper-Einzug2"/>
        <w:spacing w:line="360" w:lineRule="auto"/>
        <w:ind w:firstLine="0"/>
        <w:jc w:val="both"/>
        <w:rPr>
          <w:b/>
          <w:lang w:eastAsia="ja-JP"/>
        </w:rPr>
      </w:pPr>
      <w:r w:rsidRPr="0076701C">
        <w:rPr>
          <w:b/>
          <w:lang w:eastAsia="ja-JP"/>
        </w:rPr>
        <w:lastRenderedPageBreak/>
        <w:t>Trial periods</w:t>
      </w:r>
    </w:p>
    <w:p w14:paraId="425DF82F" w14:textId="3508CF70" w:rsidR="00436BDE" w:rsidRDefault="00436BDE" w:rsidP="00436BDE">
      <w:pPr>
        <w:pStyle w:val="Textkrper-Einzug2"/>
        <w:spacing w:line="360" w:lineRule="auto"/>
        <w:ind w:firstLine="0"/>
        <w:jc w:val="both"/>
        <w:rPr>
          <w:lang w:eastAsia="ja-JP"/>
        </w:rPr>
      </w:pPr>
      <w:r>
        <w:rPr>
          <w:lang w:eastAsia="ja-JP"/>
        </w:rPr>
        <w:t xml:space="preserve">Before the actual session starts, there will be two trial periods to familiarize you with the trading mechanism. Each participant will be an active </w:t>
      </w:r>
      <w:r w:rsidR="00440147">
        <w:rPr>
          <w:lang w:eastAsia="ja-JP"/>
        </w:rPr>
        <w:t>investor</w:t>
      </w:r>
      <w:r>
        <w:rPr>
          <w:lang w:eastAsia="ja-JP"/>
        </w:rPr>
        <w:t xml:space="preserve"> split into two cohorts. </w:t>
      </w:r>
      <w:r w:rsidRPr="007C68AF">
        <w:rPr>
          <w:lang w:eastAsia="ja-JP"/>
        </w:rPr>
        <w:t>Me</w:t>
      </w:r>
      <w:r w:rsidRPr="007C68AF">
        <w:rPr>
          <w:lang w:eastAsia="ja-JP"/>
        </w:rPr>
        <w:t>m</w:t>
      </w:r>
      <w:r w:rsidRPr="007C68AF">
        <w:rPr>
          <w:lang w:eastAsia="ja-JP"/>
        </w:rPr>
        <w:t xml:space="preserve">bers of Cohort 1 receive </w:t>
      </w:r>
      <w:r w:rsidRPr="00484AA0">
        <w:rPr>
          <w:lang w:eastAsia="ja-JP"/>
        </w:rPr>
        <w:t xml:space="preserve">4 </w:t>
      </w:r>
      <w:r w:rsidRPr="007C68AF">
        <w:rPr>
          <w:lang w:eastAsia="ja-JP"/>
        </w:rPr>
        <w:t xml:space="preserve">shares and no </w:t>
      </w:r>
      <w:proofErr w:type="spellStart"/>
      <w:r w:rsidR="007A6BB6">
        <w:rPr>
          <w:lang w:eastAsia="ja-JP"/>
        </w:rPr>
        <w:t>taler</w:t>
      </w:r>
      <w:proofErr w:type="spellEnd"/>
      <w:r w:rsidRPr="007C68AF">
        <w:rPr>
          <w:lang w:eastAsia="ja-JP"/>
        </w:rPr>
        <w:t xml:space="preserve">, while members of Cohort 2 receive </w:t>
      </w:r>
      <w:r w:rsidRPr="00484AA0">
        <w:rPr>
          <w:lang w:eastAsia="ja-JP"/>
        </w:rPr>
        <w:t xml:space="preserve">400 </w:t>
      </w:r>
      <w:proofErr w:type="spellStart"/>
      <w:r w:rsidR="007A6BB6">
        <w:rPr>
          <w:lang w:eastAsia="ja-JP"/>
        </w:rPr>
        <w:t>taler</w:t>
      </w:r>
      <w:proofErr w:type="spellEnd"/>
      <w:r w:rsidRPr="007C68AF">
        <w:rPr>
          <w:lang w:eastAsia="ja-JP"/>
        </w:rPr>
        <w:t xml:space="preserve"> and no shares. Th</w:t>
      </w:r>
      <w:r>
        <w:rPr>
          <w:lang w:eastAsia="ja-JP"/>
        </w:rPr>
        <w:t xml:space="preserve">e </w:t>
      </w:r>
      <w:r w:rsidR="006D14DF">
        <w:rPr>
          <w:lang w:eastAsia="ja-JP"/>
        </w:rPr>
        <w:t>security</w:t>
      </w:r>
      <w:r>
        <w:rPr>
          <w:lang w:eastAsia="ja-JP"/>
        </w:rPr>
        <w:t xml:space="preserve"> pays a dividend of 50 to members of Cohort 2. In contrast to the main experiment, you will also make predictions about the average trading price. Trial per</w:t>
      </w:r>
      <w:r>
        <w:rPr>
          <w:lang w:eastAsia="ja-JP"/>
        </w:rPr>
        <w:t>i</w:t>
      </w:r>
      <w:r>
        <w:rPr>
          <w:lang w:eastAsia="ja-JP"/>
        </w:rPr>
        <w:t>ods have no influence on your Euro earnings!</w:t>
      </w:r>
    </w:p>
    <w:p w14:paraId="2A070E00" w14:textId="77777777" w:rsidR="00436BDE" w:rsidRDefault="00436BDE" w:rsidP="00436BDE">
      <w:pPr>
        <w:pStyle w:val="Textkrper-Einzug2"/>
        <w:spacing w:line="360" w:lineRule="auto"/>
        <w:ind w:firstLine="0"/>
        <w:jc w:val="both"/>
        <w:rPr>
          <w:lang w:eastAsia="ja-JP"/>
        </w:rPr>
      </w:pPr>
    </w:p>
    <w:p w14:paraId="6BB0D131" w14:textId="77777777" w:rsidR="00436BDE" w:rsidRPr="00484AA0" w:rsidRDefault="00292FF3" w:rsidP="00436BDE">
      <w:pPr>
        <w:pStyle w:val="Textkrper-Einzug2"/>
        <w:spacing w:line="360" w:lineRule="auto"/>
        <w:ind w:firstLine="0"/>
        <w:jc w:val="both"/>
        <w:rPr>
          <w:lang w:eastAsia="ja-JP"/>
        </w:rPr>
      </w:pPr>
      <w:r>
        <w:rPr>
          <w:i/>
          <w:noProof/>
          <w:lang w:val="de-DE" w:eastAsia="de-DE"/>
        </w:rPr>
        <mc:AlternateContent>
          <mc:Choice Requires="wps">
            <w:drawing>
              <wp:anchor distT="0" distB="0" distL="114300" distR="114300" simplePos="0" relativeHeight="251671040" behindDoc="0" locked="0" layoutInCell="1" allowOverlap="1" wp14:anchorId="25D0E88B" wp14:editId="5A75E0C1">
                <wp:simplePos x="0" y="0"/>
                <wp:positionH relativeFrom="column">
                  <wp:posOffset>2535555</wp:posOffset>
                </wp:positionH>
                <wp:positionV relativeFrom="paragraph">
                  <wp:posOffset>105410</wp:posOffset>
                </wp:positionV>
                <wp:extent cx="1016635" cy="633730"/>
                <wp:effectExtent l="0" t="0" r="12065" b="1397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633730"/>
                        </a:xfrm>
                        <a:prstGeom prst="rect">
                          <a:avLst/>
                        </a:prstGeom>
                        <a:solidFill>
                          <a:srgbClr val="FFFFFF"/>
                        </a:solidFill>
                        <a:ln w="9525">
                          <a:solidFill>
                            <a:srgbClr val="000000"/>
                          </a:solidFill>
                          <a:miter lim="800000"/>
                          <a:headEnd/>
                          <a:tailEnd/>
                        </a:ln>
                      </wps:spPr>
                      <wps:txbx>
                        <w:txbxContent>
                          <w:p w14:paraId="02239128" w14:textId="77777777" w:rsidR="00795305" w:rsidRPr="00AC3B41" w:rsidRDefault="00795305" w:rsidP="00436BDE">
                            <w:pPr>
                              <w:autoSpaceDE w:val="0"/>
                              <w:autoSpaceDN w:val="0"/>
                              <w:adjustRightInd w:val="0"/>
                              <w:rPr>
                                <w:rFonts w:ascii="Arial" w:hAnsi="Arial" w:cs="Arial"/>
                                <w:sz w:val="14"/>
                                <w:szCs w:val="18"/>
                              </w:rPr>
                            </w:pPr>
                            <w:proofErr w:type="gramStart"/>
                            <w:r w:rsidRPr="00AC3B41">
                              <w:rPr>
                                <w:rFonts w:ascii="Arial" w:hAnsi="Arial" w:cs="Arial"/>
                                <w:sz w:val="14"/>
                                <w:szCs w:val="18"/>
                              </w:rPr>
                              <w:t xml:space="preserve">Closing Price of the </w:t>
                            </w:r>
                            <w:r>
                              <w:rPr>
                                <w:rFonts w:ascii="Arial" w:hAnsi="Arial" w:cs="Arial"/>
                                <w:sz w:val="14"/>
                                <w:szCs w:val="18"/>
                              </w:rPr>
                              <w:t>security</w:t>
                            </w:r>
                            <w:r w:rsidRPr="00AC3B41">
                              <w:rPr>
                                <w:rFonts w:ascii="Arial" w:hAnsi="Arial" w:cs="Arial"/>
                                <w:sz w:val="14"/>
                                <w:szCs w:val="18"/>
                              </w:rPr>
                              <w:t xml:space="preserve"> </w:t>
                            </w:r>
                            <w:r>
                              <w:rPr>
                                <w:rFonts w:ascii="Arial" w:hAnsi="Arial" w:cs="Arial"/>
                                <w:sz w:val="14"/>
                                <w:szCs w:val="18"/>
                              </w:rPr>
                              <w:t>and pa</w:t>
                            </w:r>
                            <w:r>
                              <w:rPr>
                                <w:rFonts w:ascii="Arial" w:hAnsi="Arial" w:cs="Arial"/>
                                <w:sz w:val="14"/>
                                <w:szCs w:val="18"/>
                              </w:rPr>
                              <w:t>y</w:t>
                            </w:r>
                            <w:r>
                              <w:rPr>
                                <w:rFonts w:ascii="Arial" w:hAnsi="Arial" w:cs="Arial"/>
                                <w:sz w:val="14"/>
                                <w:szCs w:val="18"/>
                              </w:rPr>
                              <w:t xml:space="preserve">ment from market participation </w:t>
                            </w:r>
                            <w:r w:rsidRPr="00AC3B41">
                              <w:rPr>
                                <w:rFonts w:ascii="Arial" w:hAnsi="Arial" w:cs="Arial"/>
                                <w:sz w:val="14"/>
                                <w:szCs w:val="18"/>
                              </w:rPr>
                              <w:t>(in the respective period).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36" type="#_x0000_t202" style="position:absolute;left:0;text-align:left;margin-left:199.65pt;margin-top:8.3pt;width:80.05pt;height:4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">
                <v:textbox>
                  <w:txbxContent>
                    <w:p w14:paraId="02239128" w14:textId="77777777" w:rsidR="00795305" w:rsidRPr="00AC3B41" w:rsidRDefault="00795305" w:rsidP="00436BDE">
                      <w:pPr>
                        <w:autoSpaceDE w:val="0"/>
                        <w:autoSpaceDN w:val="0"/>
                        <w:adjustRightInd w:val="0"/>
                        <w:rPr>
                          <w:rFonts w:ascii="Arial" w:hAnsi="Arial" w:cs="Arial"/>
                          <w:sz w:val="14"/>
                          <w:szCs w:val="18"/>
                        </w:rPr>
                      </w:pPr>
                      <w:proofErr w:type="gramStart"/>
                      <w:r w:rsidRPr="00AC3B41">
                        <w:rPr>
                          <w:rFonts w:ascii="Arial" w:hAnsi="Arial" w:cs="Arial"/>
                          <w:sz w:val="14"/>
                          <w:szCs w:val="18"/>
                        </w:rPr>
                        <w:t xml:space="preserve">Closing Price of the </w:t>
                      </w:r>
                      <w:r>
                        <w:rPr>
                          <w:rFonts w:ascii="Arial" w:hAnsi="Arial" w:cs="Arial"/>
                          <w:sz w:val="14"/>
                          <w:szCs w:val="18"/>
                        </w:rPr>
                        <w:t>security</w:t>
                      </w:r>
                      <w:r w:rsidRPr="00AC3B41">
                        <w:rPr>
                          <w:rFonts w:ascii="Arial" w:hAnsi="Arial" w:cs="Arial"/>
                          <w:sz w:val="14"/>
                          <w:szCs w:val="18"/>
                        </w:rPr>
                        <w:t xml:space="preserve"> </w:t>
                      </w:r>
                      <w:r>
                        <w:rPr>
                          <w:rFonts w:ascii="Arial" w:hAnsi="Arial" w:cs="Arial"/>
                          <w:sz w:val="14"/>
                          <w:szCs w:val="18"/>
                        </w:rPr>
                        <w:t>and pa</w:t>
                      </w:r>
                      <w:r>
                        <w:rPr>
                          <w:rFonts w:ascii="Arial" w:hAnsi="Arial" w:cs="Arial"/>
                          <w:sz w:val="14"/>
                          <w:szCs w:val="18"/>
                        </w:rPr>
                        <w:t>y</w:t>
                      </w:r>
                      <w:r>
                        <w:rPr>
                          <w:rFonts w:ascii="Arial" w:hAnsi="Arial" w:cs="Arial"/>
                          <w:sz w:val="14"/>
                          <w:szCs w:val="18"/>
                        </w:rPr>
                        <w:t xml:space="preserve">ment from market participation </w:t>
                      </w:r>
                      <w:r w:rsidRPr="00AC3B41">
                        <w:rPr>
                          <w:rFonts w:ascii="Arial" w:hAnsi="Arial" w:cs="Arial"/>
                          <w:sz w:val="14"/>
                          <w:szCs w:val="18"/>
                        </w:rPr>
                        <w:t>(in the respective period).</w:t>
                      </w:r>
                      <w:proofErr w:type="gramEnd"/>
                    </w:p>
                  </w:txbxContent>
                </v:textbox>
              </v:shape>
            </w:pict>
          </mc:Fallback>
        </mc:AlternateContent>
      </w:r>
      <w:r w:rsidR="00436BDE" w:rsidRPr="008C00B3">
        <w:rPr>
          <w:i/>
          <w:lang w:eastAsia="ja-JP"/>
        </w:rPr>
        <w:t xml:space="preserve">Figure </w:t>
      </w:r>
      <w:r w:rsidR="00436BDE">
        <w:rPr>
          <w:i/>
          <w:lang w:eastAsia="ja-JP"/>
        </w:rPr>
        <w:t xml:space="preserve">3: </w:t>
      </w:r>
      <w:r w:rsidR="00436BDE" w:rsidRPr="008C00B3">
        <w:rPr>
          <w:i/>
          <w:lang w:eastAsia="ja-JP"/>
        </w:rPr>
        <w:t>History screen</w:t>
      </w:r>
    </w:p>
    <w:p w14:paraId="795631AB" w14:textId="77777777" w:rsidR="00436BDE" w:rsidRDefault="00292FF3" w:rsidP="00436BDE">
      <w:pPr>
        <w:pStyle w:val="Textkrper-Einzug2"/>
        <w:spacing w:line="360" w:lineRule="auto"/>
        <w:ind w:firstLine="0"/>
        <w:jc w:val="both"/>
        <w:rPr>
          <w:b/>
        </w:rPr>
      </w:pPr>
      <w:r>
        <w:rPr>
          <w:i/>
          <w:noProof/>
          <w:lang w:val="de-DE" w:eastAsia="de-DE"/>
        </w:rPr>
        <mc:AlternateContent>
          <mc:Choice Requires="wps">
            <w:drawing>
              <wp:anchor distT="0" distB="0" distL="114300" distR="114300" simplePos="0" relativeHeight="251670016" behindDoc="0" locked="0" layoutInCell="1" allowOverlap="1" wp14:anchorId="773C3828" wp14:editId="5C4353E3">
                <wp:simplePos x="0" y="0"/>
                <wp:positionH relativeFrom="column">
                  <wp:posOffset>345440</wp:posOffset>
                </wp:positionH>
                <wp:positionV relativeFrom="paragraph">
                  <wp:posOffset>2331720</wp:posOffset>
                </wp:positionV>
                <wp:extent cx="1391920" cy="477520"/>
                <wp:effectExtent l="0" t="0" r="17780" b="1778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477520"/>
                        </a:xfrm>
                        <a:prstGeom prst="rect">
                          <a:avLst/>
                        </a:prstGeom>
                        <a:solidFill>
                          <a:srgbClr val="FFFFFF"/>
                        </a:solidFill>
                        <a:ln w="9525">
                          <a:solidFill>
                            <a:srgbClr val="000000"/>
                          </a:solidFill>
                          <a:miter lim="800000"/>
                          <a:headEnd/>
                          <a:tailEnd/>
                        </a:ln>
                      </wps:spPr>
                      <wps:txbx>
                        <w:txbxContent>
                          <w:p w14:paraId="545D96FF" w14:textId="77777777" w:rsidR="00795305" w:rsidRPr="00B62AD4" w:rsidRDefault="00795305" w:rsidP="00436BDE">
                            <w:pPr>
                              <w:autoSpaceDE w:val="0"/>
                              <w:autoSpaceDN w:val="0"/>
                              <w:adjustRightInd w:val="0"/>
                              <w:rPr>
                                <w:sz w:val="16"/>
                                <w:szCs w:val="18"/>
                              </w:rPr>
                            </w:pPr>
                            <w:r w:rsidRPr="00B62AD4">
                              <w:rPr>
                                <w:rFonts w:ascii="Arial" w:hAnsi="Arial" w:cs="Arial"/>
                                <w:sz w:val="16"/>
                                <w:szCs w:val="18"/>
                              </w:rPr>
                              <w:t xml:space="preserve">Price-Chart, displaying average prices of previous </w:t>
                            </w:r>
                            <w:r>
                              <w:rPr>
                                <w:rFonts w:ascii="Arial" w:hAnsi="Arial" w:cs="Arial"/>
                                <w:sz w:val="16"/>
                                <w:szCs w:val="18"/>
                              </w:rPr>
                              <w:t>periods.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37" type="#_x0000_t202" style="position:absolute;left:0;text-align:left;margin-left:27.2pt;margin-top:183.6pt;width:109.6pt;height:3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">
                <v:textbox>
                  <w:txbxContent>
                    <w:p w14:paraId="545D96FF" w14:textId="77777777" w:rsidR="00795305" w:rsidRPr="00B62AD4" w:rsidRDefault="00795305" w:rsidP="00436BDE">
                      <w:pPr>
                        <w:autoSpaceDE w:val="0"/>
                        <w:autoSpaceDN w:val="0"/>
                        <w:adjustRightInd w:val="0"/>
                        <w:rPr>
                          <w:sz w:val="16"/>
                          <w:szCs w:val="18"/>
                        </w:rPr>
                      </w:pPr>
                      <w:r w:rsidRPr="00B62AD4">
                        <w:rPr>
                          <w:rFonts w:ascii="Arial" w:hAnsi="Arial" w:cs="Arial"/>
                          <w:sz w:val="16"/>
                          <w:szCs w:val="18"/>
                        </w:rPr>
                        <w:t xml:space="preserve">Price-Chart, displaying average prices of previous </w:t>
                      </w:r>
                      <w:r>
                        <w:rPr>
                          <w:rFonts w:ascii="Arial" w:hAnsi="Arial" w:cs="Arial"/>
                          <w:sz w:val="16"/>
                          <w:szCs w:val="18"/>
                        </w:rPr>
                        <w:t>periods.</w:t>
                      </w:r>
                    </w:p>
                  </w:txbxContent>
                </v:textbox>
              </v:shape>
            </w:pict>
          </mc:Fallback>
        </mc:AlternateContent>
      </w:r>
      <w:r>
        <w:rPr>
          <w:i/>
          <w:noProof/>
          <w:lang w:val="de-DE" w:eastAsia="de-DE"/>
        </w:rPr>
        <mc:AlternateContent>
          <mc:Choice Requires="wps">
            <w:drawing>
              <wp:anchor distT="0" distB="0" distL="114300" distR="114300" simplePos="0" relativeHeight="251672064" behindDoc="0" locked="0" layoutInCell="1" allowOverlap="1" wp14:anchorId="1DF600F6" wp14:editId="018F9A83">
                <wp:simplePos x="0" y="0"/>
                <wp:positionH relativeFrom="column">
                  <wp:posOffset>588010</wp:posOffset>
                </wp:positionH>
                <wp:positionV relativeFrom="paragraph">
                  <wp:posOffset>783590</wp:posOffset>
                </wp:positionV>
                <wp:extent cx="969010" cy="340995"/>
                <wp:effectExtent l="0" t="0" r="21590" b="2095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340995"/>
                        </a:xfrm>
                        <a:prstGeom prst="rect">
                          <a:avLst/>
                        </a:prstGeom>
                        <a:solidFill>
                          <a:srgbClr val="FFFFFF"/>
                        </a:solidFill>
                        <a:ln w="9525">
                          <a:solidFill>
                            <a:srgbClr val="000000"/>
                          </a:solidFill>
                          <a:miter lim="800000"/>
                          <a:headEnd/>
                          <a:tailEnd/>
                        </a:ln>
                      </wps:spPr>
                      <wps:txbx>
                        <w:txbxContent>
                          <w:p w14:paraId="534CCD13" w14:textId="77777777" w:rsidR="00795305" w:rsidRPr="00484AA0" w:rsidRDefault="00795305" w:rsidP="00436BDE">
                            <w:pPr>
                              <w:jc w:val="center"/>
                              <w:rPr>
                                <w:rFonts w:ascii="Arial" w:hAnsi="Arial" w:cs="Arial"/>
                                <w:sz w:val="14"/>
                                <w:szCs w:val="14"/>
                                <w:lang w:val="de-DE"/>
                              </w:rPr>
                            </w:pPr>
                            <w:proofErr w:type="spellStart"/>
                            <w:r w:rsidRPr="00484AA0">
                              <w:rPr>
                                <w:rFonts w:ascii="Arial" w:hAnsi="Arial" w:cs="Arial"/>
                                <w:sz w:val="14"/>
                                <w:szCs w:val="14"/>
                                <w:lang w:val="de-DE"/>
                              </w:rPr>
                              <w:t>Period</w:t>
                            </w:r>
                            <w:proofErr w:type="spellEnd"/>
                            <w:r w:rsidRPr="00484AA0">
                              <w:rPr>
                                <w:rFonts w:ascii="Arial" w:hAnsi="Arial" w:cs="Arial"/>
                                <w:sz w:val="14"/>
                                <w:szCs w:val="14"/>
                                <w:lang w:val="de-DE"/>
                              </w:rPr>
                              <w:t xml:space="preserve">, </w:t>
                            </w:r>
                            <w:proofErr w:type="spellStart"/>
                            <w:r w:rsidRPr="00484AA0">
                              <w:rPr>
                                <w:rFonts w:ascii="Arial" w:hAnsi="Arial" w:cs="Arial"/>
                                <w:sz w:val="14"/>
                                <w:szCs w:val="14"/>
                                <w:lang w:val="de-DE"/>
                              </w:rPr>
                              <w:t>subjects</w:t>
                            </w:r>
                            <w:proofErr w:type="spellEnd"/>
                            <w:r w:rsidRPr="00484AA0">
                              <w:rPr>
                                <w:rFonts w:ascii="Arial" w:hAnsi="Arial" w:cs="Arial"/>
                                <w:sz w:val="14"/>
                                <w:szCs w:val="14"/>
                                <w:lang w:val="de-DE"/>
                              </w:rPr>
                              <w:t xml:space="preserve">‘ </w:t>
                            </w:r>
                            <w:proofErr w:type="spellStart"/>
                            <w:r w:rsidRPr="00484AA0">
                              <w:rPr>
                                <w:rFonts w:ascii="Arial" w:hAnsi="Arial" w:cs="Arial"/>
                                <w:sz w:val="14"/>
                                <w:szCs w:val="14"/>
                                <w:lang w:val="de-DE"/>
                              </w:rPr>
                              <w:t>task</w:t>
                            </w:r>
                            <w:proofErr w:type="spellEnd"/>
                            <w:r w:rsidRPr="00484AA0">
                              <w:rPr>
                                <w:rFonts w:ascii="Arial" w:hAnsi="Arial" w:cs="Arial"/>
                                <w:sz w:val="14"/>
                                <w:szCs w:val="14"/>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5" o:spid="_x0000_s1038" type="#_x0000_t202" style="position:absolute;left:0;text-align:left;margin-left:46.3pt;margin-top:61.7pt;width:76.3pt;height:2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">
                <v:textbox>
                  <w:txbxContent>
                    <w:p w14:paraId="534CCD13" w14:textId="77777777" w:rsidR="00795305" w:rsidRPr="00484AA0" w:rsidRDefault="00795305" w:rsidP="00436BDE">
                      <w:pPr>
                        <w:jc w:val="center"/>
                        <w:rPr>
                          <w:rFonts w:ascii="Arial" w:hAnsi="Arial" w:cs="Arial"/>
                          <w:sz w:val="14"/>
                          <w:szCs w:val="14"/>
                          <w:lang w:val="de-DE"/>
                        </w:rPr>
                      </w:pPr>
                      <w:proofErr w:type="spellStart"/>
                      <w:r w:rsidRPr="00484AA0">
                        <w:rPr>
                          <w:rFonts w:ascii="Arial" w:hAnsi="Arial" w:cs="Arial"/>
                          <w:sz w:val="14"/>
                          <w:szCs w:val="14"/>
                          <w:lang w:val="de-DE"/>
                        </w:rPr>
                        <w:t>Period</w:t>
                      </w:r>
                      <w:proofErr w:type="spellEnd"/>
                      <w:r w:rsidRPr="00484AA0">
                        <w:rPr>
                          <w:rFonts w:ascii="Arial" w:hAnsi="Arial" w:cs="Arial"/>
                          <w:sz w:val="14"/>
                          <w:szCs w:val="14"/>
                          <w:lang w:val="de-DE"/>
                        </w:rPr>
                        <w:t xml:space="preserve">, </w:t>
                      </w:r>
                      <w:proofErr w:type="spellStart"/>
                      <w:r w:rsidRPr="00484AA0">
                        <w:rPr>
                          <w:rFonts w:ascii="Arial" w:hAnsi="Arial" w:cs="Arial"/>
                          <w:sz w:val="14"/>
                          <w:szCs w:val="14"/>
                          <w:lang w:val="de-DE"/>
                        </w:rPr>
                        <w:t>subjects</w:t>
                      </w:r>
                      <w:proofErr w:type="spellEnd"/>
                      <w:r w:rsidRPr="00484AA0">
                        <w:rPr>
                          <w:rFonts w:ascii="Arial" w:hAnsi="Arial" w:cs="Arial"/>
                          <w:sz w:val="14"/>
                          <w:szCs w:val="14"/>
                          <w:lang w:val="de-DE"/>
                        </w:rPr>
                        <w:t xml:space="preserve">‘ </w:t>
                      </w:r>
                      <w:proofErr w:type="spellStart"/>
                      <w:r w:rsidRPr="00484AA0">
                        <w:rPr>
                          <w:rFonts w:ascii="Arial" w:hAnsi="Arial" w:cs="Arial"/>
                          <w:sz w:val="14"/>
                          <w:szCs w:val="14"/>
                          <w:lang w:val="de-DE"/>
                        </w:rPr>
                        <w:t>task</w:t>
                      </w:r>
                      <w:proofErr w:type="spellEnd"/>
                      <w:r w:rsidRPr="00484AA0">
                        <w:rPr>
                          <w:rFonts w:ascii="Arial" w:hAnsi="Arial" w:cs="Arial"/>
                          <w:sz w:val="14"/>
                          <w:szCs w:val="14"/>
                          <w:lang w:val="de-DE"/>
                        </w:rPr>
                        <w:t>.</w:t>
                      </w:r>
                    </w:p>
                  </w:txbxContent>
                </v:textbox>
              </v:shape>
            </w:pict>
          </mc:Fallback>
        </mc:AlternateContent>
      </w:r>
      <w:r>
        <w:rPr>
          <w:i/>
          <w:noProof/>
          <w:lang w:val="de-DE" w:eastAsia="de-DE"/>
        </w:rPr>
        <mc:AlternateContent>
          <mc:Choice Requires="wps">
            <w:drawing>
              <wp:anchor distT="0" distB="0" distL="114300" distR="114300" simplePos="0" relativeHeight="251673088" behindDoc="0" locked="0" layoutInCell="1" allowOverlap="1" wp14:anchorId="7D274F74" wp14:editId="68201A5D">
                <wp:simplePos x="0" y="0"/>
                <wp:positionH relativeFrom="column">
                  <wp:posOffset>1607820</wp:posOffset>
                </wp:positionH>
                <wp:positionV relativeFrom="paragraph">
                  <wp:posOffset>774065</wp:posOffset>
                </wp:positionV>
                <wp:extent cx="1016635" cy="361950"/>
                <wp:effectExtent l="0" t="0" r="12065" b="1905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61950"/>
                        </a:xfrm>
                        <a:prstGeom prst="rect">
                          <a:avLst/>
                        </a:prstGeom>
                        <a:solidFill>
                          <a:srgbClr val="FFFFFF"/>
                        </a:solidFill>
                        <a:ln w="9525">
                          <a:solidFill>
                            <a:srgbClr val="000000"/>
                          </a:solidFill>
                          <a:miter lim="800000"/>
                          <a:headEnd/>
                          <a:tailEnd/>
                        </a:ln>
                      </wps:spPr>
                      <wps:txbx>
                        <w:txbxContent>
                          <w:p w14:paraId="51D7EABB" w14:textId="2D3B0044" w:rsidR="00795305" w:rsidRPr="00B62AD4" w:rsidRDefault="00795305" w:rsidP="00436BDE">
                            <w:pPr>
                              <w:autoSpaceDE w:val="0"/>
                              <w:autoSpaceDN w:val="0"/>
                              <w:adjustRightInd w:val="0"/>
                              <w:rPr>
                                <w:sz w:val="14"/>
                                <w:szCs w:val="18"/>
                              </w:rPr>
                            </w:pPr>
                            <w:r w:rsidRPr="00B62AD4">
                              <w:rPr>
                                <w:rFonts w:ascii="Arial" w:hAnsi="Arial" w:cs="Arial"/>
                                <w:sz w:val="14"/>
                                <w:szCs w:val="18"/>
                              </w:rPr>
                              <w:t>E</w:t>
                            </w:r>
                            <w:r>
                              <w:rPr>
                                <w:rFonts w:ascii="Arial" w:hAnsi="Arial" w:cs="Arial"/>
                                <w:sz w:val="14"/>
                                <w:szCs w:val="18"/>
                              </w:rPr>
                              <w:t xml:space="preserve">nd-of-period share and </w:t>
                            </w:r>
                            <w:proofErr w:type="spellStart"/>
                            <w:r>
                              <w:rPr>
                                <w:rFonts w:ascii="Arial" w:hAnsi="Arial" w:cs="Arial"/>
                                <w:sz w:val="14"/>
                                <w:szCs w:val="18"/>
                              </w:rPr>
                              <w:t>t</w:t>
                            </w:r>
                            <w:r w:rsidRPr="00B62AD4">
                              <w:rPr>
                                <w:rFonts w:ascii="Arial" w:hAnsi="Arial" w:cs="Arial"/>
                                <w:sz w:val="14"/>
                                <w:szCs w:val="18"/>
                              </w:rPr>
                              <w:t>aler</w:t>
                            </w:r>
                            <w:proofErr w:type="spellEnd"/>
                            <w:r w:rsidRPr="00B62AD4">
                              <w:rPr>
                                <w:rFonts w:ascii="Arial" w:hAnsi="Arial" w:cs="Arial"/>
                                <w:sz w:val="14"/>
                                <w:szCs w:val="18"/>
                              </w:rPr>
                              <w:t xml:space="preserve"> holdings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39" type="#_x0000_t202" style="position:absolute;left:0;text-align:left;margin-left:126.6pt;margin-top:60.95pt;width:80.05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">
                <v:textbox>
                  <w:txbxContent>
                    <w:p w14:paraId="51D7EABB" w14:textId="2D3B0044" w:rsidR="00795305" w:rsidRPr="00B62AD4" w:rsidRDefault="00795305" w:rsidP="00436BDE">
                      <w:pPr>
                        <w:autoSpaceDE w:val="0"/>
                        <w:autoSpaceDN w:val="0"/>
                        <w:adjustRightInd w:val="0"/>
                        <w:rPr>
                          <w:sz w:val="14"/>
                          <w:szCs w:val="18"/>
                        </w:rPr>
                      </w:pPr>
                      <w:r w:rsidRPr="00B62AD4">
                        <w:rPr>
                          <w:rFonts w:ascii="Arial" w:hAnsi="Arial" w:cs="Arial"/>
                          <w:sz w:val="14"/>
                          <w:szCs w:val="18"/>
                        </w:rPr>
                        <w:t>E</w:t>
                      </w:r>
                      <w:r>
                        <w:rPr>
                          <w:rFonts w:ascii="Arial" w:hAnsi="Arial" w:cs="Arial"/>
                          <w:sz w:val="14"/>
                          <w:szCs w:val="18"/>
                        </w:rPr>
                        <w:t xml:space="preserve">nd-of-period share and </w:t>
                      </w:r>
                      <w:proofErr w:type="spellStart"/>
                      <w:r>
                        <w:rPr>
                          <w:rFonts w:ascii="Arial" w:hAnsi="Arial" w:cs="Arial"/>
                          <w:sz w:val="14"/>
                          <w:szCs w:val="18"/>
                        </w:rPr>
                        <w:t>t</w:t>
                      </w:r>
                      <w:r w:rsidRPr="00B62AD4">
                        <w:rPr>
                          <w:rFonts w:ascii="Arial" w:hAnsi="Arial" w:cs="Arial"/>
                          <w:sz w:val="14"/>
                          <w:szCs w:val="18"/>
                        </w:rPr>
                        <w:t>aler</w:t>
                      </w:r>
                      <w:proofErr w:type="spellEnd"/>
                      <w:r w:rsidRPr="00B62AD4">
                        <w:rPr>
                          <w:rFonts w:ascii="Arial" w:hAnsi="Arial" w:cs="Arial"/>
                          <w:sz w:val="14"/>
                          <w:szCs w:val="18"/>
                        </w:rPr>
                        <w:t xml:space="preserve"> holdings</w:t>
                      </w:r>
                    </w:p>
                  </w:txbxContent>
                </v:textbox>
              </v:shape>
            </w:pict>
          </mc:Fallback>
        </mc:AlternateContent>
      </w:r>
      <w:r>
        <w:rPr>
          <w:i/>
          <w:noProof/>
          <w:lang w:val="de-DE" w:eastAsia="de-DE"/>
        </w:rPr>
        <mc:AlternateContent>
          <mc:Choice Requires="wps">
            <w:drawing>
              <wp:anchor distT="0" distB="0" distL="114300" distR="114300" simplePos="0" relativeHeight="251674112" behindDoc="0" locked="0" layoutInCell="1" allowOverlap="1" wp14:anchorId="32A04584" wp14:editId="4997A9BA">
                <wp:simplePos x="0" y="0"/>
                <wp:positionH relativeFrom="column">
                  <wp:posOffset>3573145</wp:posOffset>
                </wp:positionH>
                <wp:positionV relativeFrom="paragraph">
                  <wp:posOffset>822960</wp:posOffset>
                </wp:positionV>
                <wp:extent cx="1487805" cy="450215"/>
                <wp:effectExtent l="0" t="0" r="17145" b="2603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50215"/>
                        </a:xfrm>
                        <a:prstGeom prst="rect">
                          <a:avLst/>
                        </a:prstGeom>
                        <a:solidFill>
                          <a:srgbClr val="FFFFFF"/>
                        </a:solidFill>
                        <a:ln w="9525">
                          <a:solidFill>
                            <a:srgbClr val="000000"/>
                          </a:solidFill>
                          <a:miter lim="800000"/>
                          <a:headEnd/>
                          <a:tailEnd/>
                        </a:ln>
                      </wps:spPr>
                      <wps:txbx>
                        <w:txbxContent>
                          <w:p w14:paraId="498604B0" w14:textId="77777777" w:rsidR="00795305" w:rsidRPr="00B62AD4" w:rsidRDefault="00795305" w:rsidP="00436BDE">
                            <w:pPr>
                              <w:autoSpaceDE w:val="0"/>
                              <w:autoSpaceDN w:val="0"/>
                              <w:adjustRightInd w:val="0"/>
                              <w:rPr>
                                <w:sz w:val="14"/>
                                <w:szCs w:val="18"/>
                              </w:rPr>
                            </w:pPr>
                            <w:proofErr w:type="gramStart"/>
                            <w:r w:rsidRPr="00B62AD4">
                              <w:rPr>
                                <w:rFonts w:ascii="Arial" w:hAnsi="Arial" w:cs="Arial"/>
                                <w:sz w:val="14"/>
                                <w:szCs w:val="18"/>
                              </w:rPr>
                              <w:t>Average trading price, predi</w:t>
                            </w:r>
                            <w:r w:rsidRPr="00B62AD4">
                              <w:rPr>
                                <w:rFonts w:ascii="Arial" w:hAnsi="Arial" w:cs="Arial"/>
                                <w:sz w:val="14"/>
                                <w:szCs w:val="18"/>
                              </w:rPr>
                              <w:t>c</w:t>
                            </w:r>
                            <w:r>
                              <w:rPr>
                                <w:rFonts w:ascii="Arial" w:hAnsi="Arial" w:cs="Arial"/>
                                <w:sz w:val="14"/>
                                <w:szCs w:val="18"/>
                              </w:rPr>
                              <w:t>ti</w:t>
                            </w:r>
                            <w:r w:rsidRPr="00B62AD4">
                              <w:rPr>
                                <w:rFonts w:ascii="Arial" w:hAnsi="Arial" w:cs="Arial"/>
                                <w:sz w:val="14"/>
                                <w:szCs w:val="18"/>
                              </w:rPr>
                              <w:t>ons and payment from the prediction task.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40" type="#_x0000_t202" style="position:absolute;left:0;text-align:left;margin-left:281.35pt;margin-top:64.8pt;width:117.15pt;height:35.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">
                <v:textbox>
                  <w:txbxContent>
                    <w:p w14:paraId="498604B0" w14:textId="77777777" w:rsidR="00795305" w:rsidRPr="00B62AD4" w:rsidRDefault="00795305" w:rsidP="00436BDE">
                      <w:pPr>
                        <w:autoSpaceDE w:val="0"/>
                        <w:autoSpaceDN w:val="0"/>
                        <w:adjustRightInd w:val="0"/>
                        <w:rPr>
                          <w:sz w:val="14"/>
                          <w:szCs w:val="18"/>
                        </w:rPr>
                      </w:pPr>
                      <w:proofErr w:type="gramStart"/>
                      <w:r w:rsidRPr="00B62AD4">
                        <w:rPr>
                          <w:rFonts w:ascii="Arial" w:hAnsi="Arial" w:cs="Arial"/>
                          <w:sz w:val="14"/>
                          <w:szCs w:val="18"/>
                        </w:rPr>
                        <w:t>Average trading price, predi</w:t>
                      </w:r>
                      <w:r w:rsidRPr="00B62AD4">
                        <w:rPr>
                          <w:rFonts w:ascii="Arial" w:hAnsi="Arial" w:cs="Arial"/>
                          <w:sz w:val="14"/>
                          <w:szCs w:val="18"/>
                        </w:rPr>
                        <w:t>c</w:t>
                      </w:r>
                      <w:r>
                        <w:rPr>
                          <w:rFonts w:ascii="Arial" w:hAnsi="Arial" w:cs="Arial"/>
                          <w:sz w:val="14"/>
                          <w:szCs w:val="18"/>
                        </w:rPr>
                        <w:t>ti</w:t>
                      </w:r>
                      <w:r w:rsidRPr="00B62AD4">
                        <w:rPr>
                          <w:rFonts w:ascii="Arial" w:hAnsi="Arial" w:cs="Arial"/>
                          <w:sz w:val="14"/>
                          <w:szCs w:val="18"/>
                        </w:rPr>
                        <w:t>ons and payment from the prediction task.</w:t>
                      </w:r>
                      <w:proofErr w:type="gramEnd"/>
                    </w:p>
                  </w:txbxContent>
                </v:textbox>
              </v:shape>
            </w:pict>
          </mc:Fallback>
        </mc:AlternateContent>
      </w:r>
      <w:r w:rsidR="00436BDE">
        <w:rPr>
          <w:b/>
          <w:noProof/>
          <w:lang w:val="de-DE" w:eastAsia="de-DE"/>
        </w:rPr>
        <w:drawing>
          <wp:inline distT="0" distB="0" distL="0" distR="0" wp14:anchorId="5A571711" wp14:editId="5A1CC07D">
            <wp:extent cx="5616054" cy="3302758"/>
            <wp:effectExtent l="0" t="0" r="3810" b="0"/>
            <wp:docPr id="41" name="Grafik 41" descr="J:\c434\c434_finanzen\AHKS Storage\2013_Hirota Sunder\Screens\History_screen_PRED_T2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434\c434_finanzen\AHKS Storage\2013_Hirota Sunder\Screens\History_screen_PRED_T2LH.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3300450"/>
                    </a:xfrm>
                    <a:prstGeom prst="rect">
                      <a:avLst/>
                    </a:prstGeom>
                    <a:noFill/>
                    <a:ln>
                      <a:noFill/>
                    </a:ln>
                  </pic:spPr>
                </pic:pic>
              </a:graphicData>
            </a:graphic>
          </wp:inline>
        </w:drawing>
      </w:r>
    </w:p>
    <w:p w14:paraId="7ABC6A79" w14:textId="77777777" w:rsidR="00436BDE" w:rsidRDefault="00436BDE" w:rsidP="00436BDE">
      <w:pPr>
        <w:pStyle w:val="Textkrper-Einzug2"/>
        <w:spacing w:line="360" w:lineRule="auto"/>
        <w:ind w:firstLine="0"/>
        <w:jc w:val="both"/>
        <w:rPr>
          <w:b/>
        </w:rPr>
      </w:pPr>
    </w:p>
    <w:p w14:paraId="294D9FD1" w14:textId="77777777" w:rsidR="00436BDE" w:rsidRPr="00386658" w:rsidRDefault="00436BDE" w:rsidP="00436BDE">
      <w:pPr>
        <w:pStyle w:val="Textkrper-Einzug2"/>
        <w:spacing w:line="360" w:lineRule="auto"/>
        <w:ind w:firstLine="0"/>
        <w:jc w:val="both"/>
        <w:rPr>
          <w:b/>
        </w:rPr>
      </w:pPr>
      <w:r>
        <w:rPr>
          <w:b/>
        </w:rPr>
        <w:t>Y</w:t>
      </w:r>
      <w:r w:rsidRPr="00386658">
        <w:rPr>
          <w:b/>
        </w:rPr>
        <w:t>our payment from the experiment</w:t>
      </w:r>
    </w:p>
    <w:p w14:paraId="21F8D225" w14:textId="77777777" w:rsidR="00436BDE" w:rsidRDefault="00436BDE" w:rsidP="00436BDE">
      <w:pPr>
        <w:pStyle w:val="Textkrper-Einzug2"/>
        <w:spacing w:line="360" w:lineRule="auto"/>
        <w:ind w:firstLine="0"/>
        <w:jc w:val="both"/>
        <w:rPr>
          <w:lang w:eastAsia="ja-JP"/>
        </w:rPr>
      </w:pPr>
      <w:r>
        <w:t>Your payment from the experiment equals the sum of earning from participation in the ma</w:t>
      </w:r>
      <w:r>
        <w:t>r</w:t>
      </w:r>
      <w:r>
        <w:t>ket plus the sum of earning from the prediction task.</w:t>
      </w:r>
      <w:r w:rsidRPr="00DD59BF">
        <w:rPr>
          <w:lang w:eastAsia="ja-JP"/>
        </w:rPr>
        <w:t xml:space="preserve"> </w:t>
      </w:r>
      <w:r>
        <w:rPr>
          <w:lang w:eastAsia="ja-JP"/>
        </w:rPr>
        <w:t>This amount will be paid to you in cash.</w:t>
      </w:r>
    </w:p>
    <w:p w14:paraId="61A29847" w14:textId="77777777" w:rsidR="00436BDE" w:rsidRDefault="00436BDE" w:rsidP="00436BDE">
      <w:pPr>
        <w:spacing w:line="360" w:lineRule="auto"/>
        <w:jc w:val="both"/>
      </w:pPr>
    </w:p>
    <w:p w14:paraId="35B8B688" w14:textId="77777777" w:rsidR="00436BDE" w:rsidRPr="00436BDE" w:rsidRDefault="00436BDE" w:rsidP="00436BDE">
      <w:pPr>
        <w:spacing w:line="360" w:lineRule="auto"/>
        <w:jc w:val="center"/>
        <w:rPr>
          <w:sz w:val="24"/>
        </w:rPr>
      </w:pPr>
      <w:r w:rsidRPr="00436BDE">
        <w:rPr>
          <w:sz w:val="24"/>
        </w:rPr>
        <w:t xml:space="preserve">Your payment = Sum of earnings from market experiment + </w:t>
      </w:r>
      <w:r w:rsidRPr="00436BDE">
        <w:rPr>
          <w:sz w:val="24"/>
        </w:rPr>
        <w:br/>
        <w:t xml:space="preserve">            Sum of earnings prediction tasks</w:t>
      </w:r>
    </w:p>
    <w:p w14:paraId="0A3F57FA" w14:textId="77777777" w:rsidR="00436BDE" w:rsidRDefault="00436BDE" w:rsidP="00436BDE">
      <w:pPr>
        <w:pStyle w:val="Numberedlistitemspaced"/>
        <w:numPr>
          <w:ilvl w:val="0"/>
          <w:numId w:val="0"/>
        </w:numPr>
        <w:rPr>
          <w:rFonts w:ascii="Times New Roman" w:hAnsi="Times New Roman"/>
          <w:sz w:val="24"/>
          <w:lang w:eastAsia="ja-JP"/>
        </w:rPr>
      </w:pPr>
    </w:p>
    <w:p w14:paraId="3B1EB9C2" w14:textId="77777777" w:rsidR="00CA4386" w:rsidRDefault="00CA4386">
      <w:pPr>
        <w:rPr>
          <w:sz w:val="24"/>
          <w:lang w:eastAsia="ja-JP"/>
        </w:rPr>
      </w:pPr>
      <w:r>
        <w:rPr>
          <w:sz w:val="24"/>
          <w:lang w:eastAsia="ja-JP"/>
        </w:rPr>
        <w:br w:type="page"/>
      </w:r>
    </w:p>
    <w:p w14:paraId="24C91A33" w14:textId="77777777" w:rsidR="00CA4386" w:rsidRPr="007A3938" w:rsidRDefault="00CA4386" w:rsidP="00CA4386">
      <w:pPr>
        <w:spacing w:line="480" w:lineRule="auto"/>
        <w:jc w:val="both"/>
        <w:rPr>
          <w:b/>
          <w:sz w:val="24"/>
          <w:szCs w:val="24"/>
          <w:lang w:eastAsia="ja-JP"/>
        </w:rPr>
      </w:pPr>
      <w:r w:rsidRPr="007A3938">
        <w:rPr>
          <w:b/>
          <w:sz w:val="24"/>
          <w:szCs w:val="24"/>
          <w:lang w:eastAsia="ja-JP"/>
        </w:rPr>
        <w:lastRenderedPageBreak/>
        <w:t xml:space="preserve">Appendix </w:t>
      </w:r>
      <w:r w:rsidR="000C50F0">
        <w:rPr>
          <w:b/>
          <w:sz w:val="24"/>
          <w:szCs w:val="24"/>
          <w:lang w:eastAsia="ja-JP"/>
        </w:rPr>
        <w:t>B</w:t>
      </w:r>
      <w:r>
        <w:rPr>
          <w:b/>
          <w:sz w:val="24"/>
          <w:szCs w:val="24"/>
          <w:lang w:eastAsia="ja-JP"/>
        </w:rPr>
        <w:t xml:space="preserve">: Questionnaire for understanding (correct answers in </w:t>
      </w:r>
      <w:r w:rsidR="00E1740D">
        <w:rPr>
          <w:b/>
          <w:sz w:val="24"/>
          <w:szCs w:val="24"/>
          <w:lang w:eastAsia="ja-JP"/>
        </w:rPr>
        <w:t>italic</w:t>
      </w:r>
      <w:r>
        <w:rPr>
          <w:b/>
          <w:sz w:val="24"/>
          <w:szCs w:val="24"/>
          <w:lang w:eastAsia="ja-JP"/>
        </w:rPr>
        <w:t xml:space="preserve"> font).</w:t>
      </w:r>
    </w:p>
    <w:p w14:paraId="51FEDE62" w14:textId="0E80BE1A" w:rsidR="00CA4386" w:rsidRPr="00E1740D" w:rsidRDefault="00CA4386" w:rsidP="00436BDE">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1</w:t>
      </w:r>
      <w:r w:rsidRPr="00E1740D">
        <w:rPr>
          <w:rFonts w:ascii="Times New Roman" w:hAnsi="Times New Roman" w:hint="eastAsia"/>
          <w:sz w:val="24"/>
          <w:lang w:eastAsia="ja-JP"/>
        </w:rPr>
        <w:t xml:space="preserve">. How many </w:t>
      </w:r>
      <w:r w:rsidRPr="00E1740D">
        <w:rPr>
          <w:rFonts w:ascii="Times New Roman" w:hAnsi="Times New Roman"/>
          <w:sz w:val="24"/>
          <w:lang w:eastAsia="ja-JP"/>
        </w:rPr>
        <w:t xml:space="preserve">trading </w:t>
      </w:r>
      <w:r w:rsidRPr="00E1740D">
        <w:rPr>
          <w:rFonts w:ascii="Times New Roman" w:hAnsi="Times New Roman" w:hint="eastAsia"/>
          <w:sz w:val="24"/>
          <w:lang w:eastAsia="ja-JP"/>
        </w:rPr>
        <w:t xml:space="preserve">periods are there during the session? </w:t>
      </w:r>
      <w:r w:rsidRPr="00E1740D">
        <w:rPr>
          <w:rFonts w:ascii="Times New Roman" w:hAnsi="Times New Roman"/>
          <w:i/>
          <w:sz w:val="24"/>
          <w:lang w:eastAsia="ja-JP"/>
        </w:rPr>
        <w:t>16</w:t>
      </w:r>
    </w:p>
    <w:p w14:paraId="39A636DC" w14:textId="7C09AE47" w:rsidR="00CA4386" w:rsidRPr="00E1740D" w:rsidRDefault="00CA4386" w:rsidP="00436BDE">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2</w:t>
      </w:r>
      <w:r w:rsidRPr="00E1740D">
        <w:rPr>
          <w:rFonts w:ascii="Times New Roman" w:hAnsi="Times New Roman" w:hint="eastAsia"/>
          <w:sz w:val="24"/>
          <w:lang w:eastAsia="ja-JP"/>
        </w:rPr>
        <w:t xml:space="preserve">. </w:t>
      </w:r>
      <w:proofErr w:type="gramStart"/>
      <w:r w:rsidRPr="00E1740D">
        <w:rPr>
          <w:rFonts w:ascii="Times New Roman" w:hAnsi="Times New Roman" w:hint="eastAsia"/>
          <w:sz w:val="24"/>
          <w:lang w:eastAsia="ja-JP"/>
        </w:rPr>
        <w:t>For</w:t>
      </w:r>
      <w:proofErr w:type="gramEnd"/>
      <w:r w:rsidRPr="00E1740D">
        <w:rPr>
          <w:rFonts w:ascii="Times New Roman" w:hAnsi="Times New Roman" w:hint="eastAsia"/>
          <w:sz w:val="24"/>
          <w:lang w:eastAsia="ja-JP"/>
        </w:rPr>
        <w:t xml:space="preserve"> how many </w:t>
      </w:r>
      <w:r w:rsidRPr="00E1740D">
        <w:rPr>
          <w:rFonts w:ascii="Times New Roman" w:hAnsi="Times New Roman"/>
          <w:sz w:val="24"/>
          <w:lang w:eastAsia="ja-JP"/>
        </w:rPr>
        <w:t>seconds</w:t>
      </w:r>
      <w:r w:rsidRPr="00E1740D">
        <w:rPr>
          <w:rFonts w:ascii="Times New Roman" w:hAnsi="Times New Roman" w:hint="eastAsia"/>
          <w:sz w:val="24"/>
          <w:lang w:eastAsia="ja-JP"/>
        </w:rPr>
        <w:t xml:space="preserve"> does one </w:t>
      </w:r>
      <w:r w:rsidRPr="00E1740D">
        <w:rPr>
          <w:rFonts w:ascii="Times New Roman" w:hAnsi="Times New Roman"/>
          <w:sz w:val="24"/>
          <w:lang w:eastAsia="ja-JP"/>
        </w:rPr>
        <w:t xml:space="preserve">trading </w:t>
      </w:r>
      <w:r w:rsidRPr="00E1740D">
        <w:rPr>
          <w:rFonts w:ascii="Times New Roman" w:hAnsi="Times New Roman" w:hint="eastAsia"/>
          <w:sz w:val="24"/>
          <w:lang w:eastAsia="ja-JP"/>
        </w:rPr>
        <w:t>period last?</w:t>
      </w:r>
      <w:r w:rsidRPr="00E1740D">
        <w:rPr>
          <w:rFonts w:ascii="Times New Roman" w:hAnsi="Times New Roman"/>
          <w:sz w:val="24"/>
          <w:lang w:eastAsia="ja-JP"/>
        </w:rPr>
        <w:t xml:space="preserve"> </w:t>
      </w:r>
      <w:r w:rsidRPr="00E1740D">
        <w:rPr>
          <w:rFonts w:ascii="Times New Roman" w:hAnsi="Times New Roman"/>
          <w:i/>
          <w:sz w:val="24"/>
          <w:lang w:eastAsia="ja-JP"/>
        </w:rPr>
        <w:t>120 sec</w:t>
      </w:r>
    </w:p>
    <w:p w14:paraId="389366EC" w14:textId="1A6FDAE6" w:rsidR="00CA4386" w:rsidRPr="00E1740D" w:rsidRDefault="00CA4386" w:rsidP="00436BDE">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3</w:t>
      </w:r>
      <w:r w:rsidR="0039558E" w:rsidRPr="00E1740D">
        <w:rPr>
          <w:rFonts w:ascii="Times New Roman" w:hAnsi="Times New Roman" w:hint="eastAsia"/>
          <w:sz w:val="24"/>
          <w:lang w:eastAsia="ja-JP"/>
        </w:rPr>
        <w:t xml:space="preserve">. </w:t>
      </w:r>
      <w:r w:rsidRPr="00E1740D">
        <w:rPr>
          <w:rFonts w:ascii="Times New Roman" w:hAnsi="Times New Roman" w:hint="eastAsia"/>
          <w:sz w:val="24"/>
          <w:lang w:eastAsia="ja-JP"/>
        </w:rPr>
        <w:t>If you buy a share</w:t>
      </w:r>
      <w:r w:rsidRPr="00E1740D">
        <w:rPr>
          <w:rFonts w:ascii="Times New Roman" w:hAnsi="Times New Roman"/>
          <w:sz w:val="24"/>
          <w:lang w:eastAsia="ja-JP"/>
        </w:rPr>
        <w:t xml:space="preserve"> for 350 </w:t>
      </w:r>
      <w:proofErr w:type="spellStart"/>
      <w:r w:rsidR="007A6BB6">
        <w:rPr>
          <w:rFonts w:ascii="Times New Roman" w:hAnsi="Times New Roman"/>
          <w:sz w:val="24"/>
          <w:lang w:eastAsia="ja-JP"/>
        </w:rPr>
        <w:t>taler</w:t>
      </w:r>
      <w:proofErr w:type="spellEnd"/>
      <w:r w:rsidRPr="00E1740D">
        <w:rPr>
          <w:rFonts w:ascii="Times New Roman" w:hAnsi="Times New Roman" w:hint="eastAsia"/>
          <w:sz w:val="24"/>
          <w:lang w:eastAsia="ja-JP"/>
        </w:rPr>
        <w:t xml:space="preserve">, what happens </w:t>
      </w:r>
      <w:r w:rsidRPr="00E1740D">
        <w:rPr>
          <w:rFonts w:ascii="Times New Roman" w:hAnsi="Times New Roman"/>
          <w:sz w:val="24"/>
          <w:lang w:eastAsia="ja-JP"/>
        </w:rPr>
        <w:t>to</w:t>
      </w:r>
      <w:r w:rsidRPr="00E1740D">
        <w:rPr>
          <w:rFonts w:ascii="Times New Roman" w:hAnsi="Times New Roman" w:hint="eastAsia"/>
          <w:sz w:val="24"/>
          <w:lang w:eastAsia="ja-JP"/>
        </w:rPr>
        <w:t xml:space="preserve"> your cash balance?</w:t>
      </w:r>
      <w:r w:rsidRPr="00E1740D">
        <w:rPr>
          <w:rFonts w:ascii="Times New Roman" w:hAnsi="Times New Roman"/>
          <w:sz w:val="24"/>
          <w:lang w:eastAsia="ja-JP"/>
        </w:rPr>
        <w:t xml:space="preserve"> (</w:t>
      </w:r>
      <w:proofErr w:type="spellStart"/>
      <w:r w:rsidRPr="00E1740D">
        <w:rPr>
          <w:rFonts w:ascii="Times New Roman" w:hAnsi="Times New Roman"/>
          <w:sz w:val="24"/>
          <w:lang w:eastAsia="ja-JP"/>
        </w:rPr>
        <w:t>i</w:t>
      </w:r>
      <w:proofErr w:type="spellEnd"/>
      <w:r w:rsidRPr="00E1740D">
        <w:rPr>
          <w:rFonts w:ascii="Times New Roman" w:hAnsi="Times New Roman"/>
          <w:sz w:val="24"/>
          <w:lang w:eastAsia="ja-JP"/>
        </w:rPr>
        <w:t xml:space="preserve">) </w:t>
      </w:r>
      <w:r w:rsidRPr="00E1740D">
        <w:rPr>
          <w:rFonts w:ascii="Times New Roman" w:hAnsi="Times New Roman" w:hint="eastAsia"/>
          <w:i/>
          <w:sz w:val="24"/>
          <w:lang w:eastAsia="ja-JP"/>
        </w:rPr>
        <w:t xml:space="preserve">My cash balance decreases by </w:t>
      </w:r>
      <w:r w:rsidRPr="00E1740D">
        <w:rPr>
          <w:rFonts w:ascii="Times New Roman" w:hAnsi="Times New Roman"/>
          <w:i/>
          <w:sz w:val="24"/>
          <w:lang w:eastAsia="ja-JP"/>
        </w:rPr>
        <w:t>350</w:t>
      </w:r>
      <w:r w:rsidRPr="00E1740D">
        <w:rPr>
          <w:rFonts w:ascii="Times New Roman" w:hAnsi="Times New Roman" w:hint="eastAsia"/>
          <w:sz w:val="24"/>
          <w:lang w:eastAsia="ja-JP"/>
        </w:rPr>
        <w:t>.</w:t>
      </w:r>
      <w:r w:rsidRPr="00E1740D">
        <w:rPr>
          <w:rFonts w:ascii="Times New Roman" w:hAnsi="Times New Roman"/>
          <w:sz w:val="24"/>
          <w:lang w:eastAsia="ja-JP"/>
        </w:rPr>
        <w:t xml:space="preserve"> (ii) My cash balance increases by 350. (iii) Nothing happens to my cash balance.</w:t>
      </w:r>
    </w:p>
    <w:p w14:paraId="09E02CC7" w14:textId="502D5BD5" w:rsidR="00CA4386" w:rsidRPr="00E1740D" w:rsidRDefault="00CA4386" w:rsidP="00436BDE">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4</w:t>
      </w:r>
      <w:r w:rsidRPr="00E1740D">
        <w:rPr>
          <w:rFonts w:ascii="Times New Roman" w:hAnsi="Times New Roman" w:hint="eastAsia"/>
          <w:sz w:val="24"/>
          <w:lang w:eastAsia="ja-JP"/>
        </w:rPr>
        <w:t>. If you sell a share</w:t>
      </w:r>
      <w:r w:rsidRPr="00E1740D">
        <w:rPr>
          <w:rFonts w:ascii="Times New Roman" w:hAnsi="Times New Roman"/>
          <w:sz w:val="24"/>
          <w:lang w:eastAsia="ja-JP"/>
        </w:rPr>
        <w:t xml:space="preserve"> for 350</w:t>
      </w:r>
      <w:r w:rsidRPr="00E1740D">
        <w:rPr>
          <w:rFonts w:ascii="Times New Roman" w:hAnsi="Times New Roman" w:hint="eastAsia"/>
          <w:sz w:val="24"/>
          <w:lang w:eastAsia="ja-JP"/>
        </w:rPr>
        <w:t>, what happens on your cash balance?</w:t>
      </w:r>
      <w:r w:rsidRPr="00E1740D">
        <w:rPr>
          <w:rFonts w:ascii="Times New Roman" w:hAnsi="Times New Roman"/>
          <w:sz w:val="24"/>
          <w:lang w:eastAsia="ja-JP"/>
        </w:rPr>
        <w:t xml:space="preserve"> (</w:t>
      </w:r>
      <w:proofErr w:type="spellStart"/>
      <w:r w:rsidRPr="00E1740D">
        <w:rPr>
          <w:rFonts w:ascii="Times New Roman" w:hAnsi="Times New Roman"/>
          <w:sz w:val="24"/>
          <w:lang w:eastAsia="ja-JP"/>
        </w:rPr>
        <w:t>i</w:t>
      </w:r>
      <w:proofErr w:type="spellEnd"/>
      <w:r w:rsidRPr="00E1740D">
        <w:rPr>
          <w:rFonts w:ascii="Times New Roman" w:hAnsi="Times New Roman"/>
          <w:sz w:val="24"/>
          <w:lang w:eastAsia="ja-JP"/>
        </w:rPr>
        <w:t xml:space="preserve">) </w:t>
      </w:r>
      <w:r w:rsidRPr="00E1740D">
        <w:rPr>
          <w:rFonts w:ascii="Times New Roman" w:hAnsi="Times New Roman" w:hint="eastAsia"/>
          <w:sz w:val="24"/>
          <w:lang w:eastAsia="ja-JP"/>
        </w:rPr>
        <w:t>My cash balance d</w:t>
      </w:r>
      <w:r w:rsidRPr="00E1740D">
        <w:rPr>
          <w:rFonts w:ascii="Times New Roman" w:hAnsi="Times New Roman" w:hint="eastAsia"/>
          <w:sz w:val="24"/>
          <w:lang w:eastAsia="ja-JP"/>
        </w:rPr>
        <w:t>e</w:t>
      </w:r>
      <w:r w:rsidRPr="00E1740D">
        <w:rPr>
          <w:rFonts w:ascii="Times New Roman" w:hAnsi="Times New Roman" w:hint="eastAsia"/>
          <w:sz w:val="24"/>
          <w:lang w:eastAsia="ja-JP"/>
        </w:rPr>
        <w:t xml:space="preserve">creases by </w:t>
      </w:r>
      <w:r w:rsidRPr="00E1740D">
        <w:rPr>
          <w:rFonts w:ascii="Times New Roman" w:hAnsi="Times New Roman"/>
          <w:sz w:val="24"/>
          <w:lang w:eastAsia="ja-JP"/>
        </w:rPr>
        <w:t>350</w:t>
      </w:r>
      <w:r w:rsidRPr="00E1740D">
        <w:rPr>
          <w:rFonts w:ascii="Times New Roman" w:hAnsi="Times New Roman" w:hint="eastAsia"/>
          <w:sz w:val="24"/>
          <w:lang w:eastAsia="ja-JP"/>
        </w:rPr>
        <w:t>.</w:t>
      </w:r>
      <w:r w:rsidRPr="00E1740D">
        <w:rPr>
          <w:rFonts w:ascii="Times New Roman" w:hAnsi="Times New Roman"/>
          <w:sz w:val="24"/>
          <w:lang w:eastAsia="ja-JP"/>
        </w:rPr>
        <w:t xml:space="preserve"> (ii) </w:t>
      </w:r>
      <w:r w:rsidRPr="00E1740D">
        <w:rPr>
          <w:rFonts w:ascii="Times New Roman" w:hAnsi="Times New Roman"/>
          <w:i/>
          <w:sz w:val="24"/>
          <w:lang w:eastAsia="ja-JP"/>
        </w:rPr>
        <w:t>My cash balance increases by 350</w:t>
      </w:r>
      <w:r w:rsidRPr="00E1740D">
        <w:rPr>
          <w:rFonts w:ascii="Times New Roman" w:hAnsi="Times New Roman"/>
          <w:sz w:val="24"/>
          <w:lang w:eastAsia="ja-JP"/>
        </w:rPr>
        <w:t>. (iii) Nothing happens to my cash balance.</w:t>
      </w:r>
    </w:p>
    <w:p w14:paraId="782274E1" w14:textId="7728CFA5" w:rsidR="00CA4386" w:rsidRPr="00E1740D" w:rsidRDefault="00CA4386" w:rsidP="00436BDE">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5</w:t>
      </w:r>
      <w:r w:rsidR="0039558E" w:rsidRPr="00E1740D">
        <w:rPr>
          <w:rFonts w:ascii="Times New Roman" w:hAnsi="Times New Roman" w:hint="eastAsia"/>
          <w:sz w:val="24"/>
          <w:lang w:eastAsia="ja-JP"/>
        </w:rPr>
        <w:t xml:space="preserve">. </w:t>
      </w:r>
      <w:r w:rsidRPr="00E1740D">
        <w:rPr>
          <w:rFonts w:ascii="Times New Roman" w:hAnsi="Times New Roman" w:hint="eastAsia"/>
          <w:sz w:val="24"/>
          <w:lang w:eastAsia="ja-JP"/>
        </w:rPr>
        <w:t xml:space="preserve">Can </w:t>
      </w:r>
      <w:r w:rsidRPr="00E1740D">
        <w:rPr>
          <w:rFonts w:ascii="Times New Roman" w:hAnsi="Times New Roman"/>
          <w:sz w:val="24"/>
          <w:lang w:eastAsia="ja-JP"/>
        </w:rPr>
        <w:t>you buy</w:t>
      </w:r>
      <w:r w:rsidRPr="00E1740D">
        <w:rPr>
          <w:rFonts w:ascii="Times New Roman" w:hAnsi="Times New Roman" w:hint="eastAsia"/>
          <w:sz w:val="24"/>
          <w:lang w:eastAsia="ja-JP"/>
        </w:rPr>
        <w:t xml:space="preserve"> </w:t>
      </w:r>
      <w:r w:rsidRPr="00E1740D">
        <w:rPr>
          <w:rFonts w:ascii="Times New Roman" w:hAnsi="Times New Roman"/>
          <w:sz w:val="24"/>
          <w:lang w:eastAsia="ja-JP"/>
        </w:rPr>
        <w:t>a</w:t>
      </w:r>
      <w:r w:rsidRPr="00E1740D">
        <w:rPr>
          <w:rFonts w:ascii="Times New Roman" w:hAnsi="Times New Roman" w:hint="eastAsia"/>
          <w:sz w:val="24"/>
          <w:lang w:eastAsia="ja-JP"/>
        </w:rPr>
        <w:t xml:space="preserve"> share when you do not have enough cash to pay for the purchase?</w:t>
      </w:r>
      <w:r w:rsidRPr="00E1740D">
        <w:rPr>
          <w:rFonts w:ascii="Times New Roman" w:hAnsi="Times New Roman"/>
          <w:sz w:val="24"/>
          <w:lang w:eastAsia="ja-JP"/>
        </w:rPr>
        <w:t xml:space="preserve"> </w:t>
      </w:r>
      <w:proofErr w:type="gramStart"/>
      <w:r w:rsidRPr="00E1740D">
        <w:rPr>
          <w:rFonts w:ascii="Times New Roman" w:hAnsi="Times New Roman"/>
          <w:sz w:val="24"/>
          <w:lang w:eastAsia="ja-JP"/>
        </w:rPr>
        <w:t>Yes/</w:t>
      </w:r>
      <w:r w:rsidRPr="00E1740D">
        <w:rPr>
          <w:rFonts w:ascii="Times New Roman" w:hAnsi="Times New Roman" w:hint="eastAsia"/>
          <w:i/>
          <w:sz w:val="24"/>
          <w:lang w:eastAsia="ja-JP"/>
        </w:rPr>
        <w:t>No</w:t>
      </w:r>
      <w:r w:rsidRPr="00E1740D">
        <w:rPr>
          <w:rFonts w:ascii="Times New Roman" w:hAnsi="Times New Roman" w:hint="eastAsia"/>
          <w:sz w:val="24"/>
          <w:lang w:eastAsia="ja-JP"/>
        </w:rPr>
        <w:t>.</w:t>
      </w:r>
      <w:proofErr w:type="gramEnd"/>
    </w:p>
    <w:p w14:paraId="5CEACA7B" w14:textId="73B2E1E7" w:rsidR="00CA4386" w:rsidRPr="00E1740D" w:rsidRDefault="00CA4386" w:rsidP="00436BDE">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6</w:t>
      </w:r>
      <w:r w:rsidRPr="00E1740D">
        <w:rPr>
          <w:rFonts w:ascii="Times New Roman" w:hAnsi="Times New Roman" w:hint="eastAsia"/>
          <w:sz w:val="24"/>
          <w:lang w:eastAsia="ja-JP"/>
        </w:rPr>
        <w:t xml:space="preserve">. Can you </w:t>
      </w:r>
      <w:r w:rsidRPr="00E1740D">
        <w:rPr>
          <w:rFonts w:ascii="Times New Roman" w:hAnsi="Times New Roman"/>
          <w:sz w:val="24"/>
          <w:lang w:eastAsia="ja-JP"/>
        </w:rPr>
        <w:t>sell</w:t>
      </w:r>
      <w:r w:rsidRPr="00E1740D">
        <w:rPr>
          <w:rFonts w:ascii="Times New Roman" w:hAnsi="Times New Roman" w:hint="eastAsia"/>
          <w:sz w:val="24"/>
          <w:lang w:eastAsia="ja-JP"/>
        </w:rPr>
        <w:t xml:space="preserve"> </w:t>
      </w:r>
      <w:r w:rsidRPr="00E1740D">
        <w:rPr>
          <w:rFonts w:ascii="Times New Roman" w:hAnsi="Times New Roman"/>
          <w:sz w:val="24"/>
          <w:lang w:eastAsia="ja-JP"/>
        </w:rPr>
        <w:t>a</w:t>
      </w:r>
      <w:r w:rsidRPr="00E1740D">
        <w:rPr>
          <w:rFonts w:ascii="Times New Roman" w:hAnsi="Times New Roman" w:hint="eastAsia"/>
          <w:sz w:val="24"/>
          <w:lang w:eastAsia="ja-JP"/>
        </w:rPr>
        <w:t xml:space="preserve"> share when you do not have </w:t>
      </w:r>
      <w:r w:rsidRPr="00E1740D">
        <w:rPr>
          <w:rFonts w:ascii="Times New Roman" w:hAnsi="Times New Roman"/>
          <w:sz w:val="24"/>
          <w:lang w:eastAsia="ja-JP"/>
        </w:rPr>
        <w:t>a</w:t>
      </w:r>
      <w:r w:rsidRPr="00E1740D">
        <w:rPr>
          <w:rFonts w:ascii="Times New Roman" w:hAnsi="Times New Roman" w:hint="eastAsia"/>
          <w:sz w:val="24"/>
          <w:lang w:eastAsia="ja-JP"/>
        </w:rPr>
        <w:t xml:space="preserve"> share?</w:t>
      </w:r>
      <w:r w:rsidRPr="00E1740D">
        <w:rPr>
          <w:rFonts w:ascii="Times New Roman" w:hAnsi="Times New Roman"/>
          <w:sz w:val="24"/>
          <w:lang w:eastAsia="ja-JP"/>
        </w:rPr>
        <w:t xml:space="preserve"> </w:t>
      </w:r>
      <w:proofErr w:type="gramStart"/>
      <w:r w:rsidRPr="00E1740D">
        <w:rPr>
          <w:rFonts w:ascii="Times New Roman" w:hAnsi="Times New Roman"/>
          <w:sz w:val="24"/>
          <w:lang w:eastAsia="ja-JP"/>
        </w:rPr>
        <w:t>Yes/</w:t>
      </w:r>
      <w:r w:rsidRPr="00E1740D">
        <w:rPr>
          <w:rFonts w:ascii="Times New Roman" w:hAnsi="Times New Roman" w:hint="eastAsia"/>
          <w:i/>
          <w:sz w:val="24"/>
          <w:lang w:eastAsia="ja-JP"/>
        </w:rPr>
        <w:t>No</w:t>
      </w:r>
      <w:r w:rsidRPr="00E1740D">
        <w:rPr>
          <w:rFonts w:ascii="Times New Roman" w:hAnsi="Times New Roman" w:hint="eastAsia"/>
          <w:sz w:val="24"/>
          <w:lang w:eastAsia="ja-JP"/>
        </w:rPr>
        <w:t>.</w:t>
      </w:r>
      <w:proofErr w:type="gramEnd"/>
    </w:p>
    <w:p w14:paraId="3666BC82" w14:textId="3A11C3F7" w:rsidR="00CA4386" w:rsidRPr="00E1740D" w:rsidRDefault="00CA4386" w:rsidP="00436BDE">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7</w:t>
      </w:r>
      <w:r w:rsidR="0016612E">
        <w:rPr>
          <w:rFonts w:ascii="Times New Roman" w:hAnsi="Times New Roman" w:hint="eastAsia"/>
          <w:sz w:val="24"/>
          <w:lang w:eastAsia="ja-JP"/>
        </w:rPr>
        <w:t xml:space="preserve">. </w:t>
      </w:r>
      <w:r w:rsidR="0016612E">
        <w:rPr>
          <w:rFonts w:ascii="Times New Roman" w:hAnsi="Times New Roman"/>
          <w:sz w:val="24"/>
          <w:lang w:eastAsia="ja-JP"/>
        </w:rPr>
        <w:t>W</w:t>
      </w:r>
      <w:r w:rsidRPr="00E1740D">
        <w:rPr>
          <w:rFonts w:ascii="Times New Roman" w:hAnsi="Times New Roman"/>
          <w:sz w:val="24"/>
          <w:lang w:eastAsia="ja-JP"/>
        </w:rPr>
        <w:t>hat are the two ways of buying a share</w:t>
      </w:r>
      <w:r w:rsidRPr="00E1740D">
        <w:rPr>
          <w:rFonts w:ascii="Times New Roman" w:hAnsi="Times New Roman" w:hint="eastAsia"/>
          <w:sz w:val="24"/>
          <w:lang w:eastAsia="ja-JP"/>
        </w:rPr>
        <w:t>?</w:t>
      </w:r>
      <w:r w:rsidRPr="00E1740D">
        <w:rPr>
          <w:rFonts w:ascii="Times New Roman" w:hAnsi="Times New Roman"/>
          <w:sz w:val="24"/>
          <w:lang w:eastAsia="ja-JP"/>
        </w:rPr>
        <w:t xml:space="preserve"> (</w:t>
      </w:r>
      <w:proofErr w:type="spellStart"/>
      <w:r w:rsidRPr="00E1740D">
        <w:rPr>
          <w:rFonts w:ascii="Times New Roman" w:hAnsi="Times New Roman"/>
          <w:sz w:val="24"/>
          <w:lang w:eastAsia="ja-JP"/>
        </w:rPr>
        <w:t>i</w:t>
      </w:r>
      <w:proofErr w:type="spellEnd"/>
      <w:r w:rsidRPr="00E1740D">
        <w:rPr>
          <w:rFonts w:ascii="Times New Roman" w:hAnsi="Times New Roman"/>
          <w:sz w:val="24"/>
          <w:lang w:eastAsia="ja-JP"/>
        </w:rPr>
        <w:t xml:space="preserve">) </w:t>
      </w:r>
      <w:r w:rsidRPr="00E1740D">
        <w:rPr>
          <w:rFonts w:ascii="Times New Roman" w:hAnsi="Times New Roman" w:hint="eastAsia"/>
          <w:i/>
          <w:sz w:val="24"/>
          <w:lang w:eastAsia="ja-JP"/>
        </w:rPr>
        <w:t>Submit a bid</w:t>
      </w:r>
      <w:r w:rsidRPr="00E1740D">
        <w:rPr>
          <w:rFonts w:ascii="Times New Roman" w:hAnsi="Times New Roman"/>
          <w:i/>
          <w:sz w:val="24"/>
          <w:lang w:eastAsia="ja-JP"/>
        </w:rPr>
        <w:t xml:space="preserve"> or accept an open offer to sell (ask)</w:t>
      </w:r>
      <w:r w:rsidRPr="00E1740D">
        <w:rPr>
          <w:rFonts w:ascii="Times New Roman" w:hAnsi="Times New Roman"/>
          <w:sz w:val="24"/>
          <w:lang w:eastAsia="ja-JP"/>
        </w:rPr>
        <w:t xml:space="preserve">. (ii) </w:t>
      </w:r>
      <w:r w:rsidRPr="00E1740D">
        <w:rPr>
          <w:rFonts w:ascii="Times New Roman" w:hAnsi="Times New Roman" w:hint="eastAsia"/>
          <w:sz w:val="24"/>
          <w:lang w:eastAsia="ja-JP"/>
        </w:rPr>
        <w:t xml:space="preserve">Submit an </w:t>
      </w:r>
      <w:r w:rsidRPr="00E1740D">
        <w:rPr>
          <w:rFonts w:ascii="Times New Roman" w:hAnsi="Times New Roman"/>
          <w:sz w:val="24"/>
          <w:lang w:eastAsia="ja-JP"/>
        </w:rPr>
        <w:t>offer (</w:t>
      </w:r>
      <w:r w:rsidRPr="00E1740D">
        <w:rPr>
          <w:rFonts w:ascii="Times New Roman" w:hAnsi="Times New Roman" w:hint="eastAsia"/>
          <w:sz w:val="24"/>
          <w:lang w:eastAsia="ja-JP"/>
        </w:rPr>
        <w:t>ask</w:t>
      </w:r>
      <w:r w:rsidRPr="00E1740D">
        <w:rPr>
          <w:rFonts w:ascii="Times New Roman" w:hAnsi="Times New Roman"/>
          <w:sz w:val="24"/>
          <w:lang w:eastAsia="ja-JP"/>
        </w:rPr>
        <w:t xml:space="preserve">) or accept an open offer to buy (bid). (iii) </w:t>
      </w:r>
      <w:r w:rsidRPr="00E1740D">
        <w:rPr>
          <w:rFonts w:ascii="Times New Roman" w:hAnsi="Times New Roman" w:hint="eastAsia"/>
          <w:sz w:val="24"/>
          <w:lang w:eastAsia="ja-JP"/>
        </w:rPr>
        <w:t>Submit a bid</w:t>
      </w:r>
      <w:r w:rsidRPr="00E1740D">
        <w:rPr>
          <w:rFonts w:ascii="Times New Roman" w:hAnsi="Times New Roman"/>
          <w:sz w:val="24"/>
          <w:lang w:eastAsia="ja-JP"/>
        </w:rPr>
        <w:t xml:space="preserve"> or accept an open offer to buy (bid). </w:t>
      </w:r>
      <w:proofErr w:type="gramStart"/>
      <w:r w:rsidRPr="00E1740D">
        <w:rPr>
          <w:rFonts w:ascii="Times New Roman" w:hAnsi="Times New Roman"/>
          <w:sz w:val="24"/>
          <w:lang w:eastAsia="ja-JP"/>
        </w:rPr>
        <w:t xml:space="preserve">(iv) </w:t>
      </w:r>
      <w:r w:rsidRPr="00E1740D">
        <w:rPr>
          <w:rFonts w:ascii="Times New Roman" w:hAnsi="Times New Roman" w:hint="eastAsia"/>
          <w:sz w:val="24"/>
          <w:lang w:eastAsia="ja-JP"/>
        </w:rPr>
        <w:t>Submit</w:t>
      </w:r>
      <w:proofErr w:type="gramEnd"/>
      <w:r w:rsidRPr="00E1740D">
        <w:rPr>
          <w:rFonts w:ascii="Times New Roman" w:hAnsi="Times New Roman" w:hint="eastAsia"/>
          <w:sz w:val="24"/>
          <w:lang w:eastAsia="ja-JP"/>
        </w:rPr>
        <w:t xml:space="preserve"> a</w:t>
      </w:r>
      <w:r w:rsidRPr="00E1740D">
        <w:rPr>
          <w:rFonts w:ascii="Times New Roman" w:hAnsi="Times New Roman"/>
          <w:sz w:val="24"/>
          <w:lang w:eastAsia="ja-JP"/>
        </w:rPr>
        <w:t xml:space="preserve">n offer (ask) or accept an open offer to sell (ask). </w:t>
      </w:r>
    </w:p>
    <w:p w14:paraId="1E5A8951" w14:textId="163BE81A" w:rsidR="00CA4386" w:rsidRPr="00E1740D" w:rsidRDefault="00CA4386" w:rsidP="00436BDE">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8</w:t>
      </w:r>
      <w:r w:rsidR="0016612E">
        <w:rPr>
          <w:rFonts w:ascii="Times New Roman" w:hAnsi="Times New Roman" w:hint="eastAsia"/>
          <w:sz w:val="24"/>
          <w:lang w:eastAsia="ja-JP"/>
        </w:rPr>
        <w:t xml:space="preserve">. </w:t>
      </w:r>
      <w:r w:rsidRPr="00E1740D">
        <w:rPr>
          <w:rFonts w:ascii="Times New Roman" w:hAnsi="Times New Roman"/>
          <w:sz w:val="24"/>
          <w:lang w:eastAsia="ja-JP"/>
        </w:rPr>
        <w:t>What are the two ways of selling a share</w:t>
      </w:r>
      <w:r w:rsidRPr="00E1740D">
        <w:rPr>
          <w:rFonts w:ascii="Times New Roman" w:hAnsi="Times New Roman" w:hint="eastAsia"/>
          <w:sz w:val="24"/>
          <w:lang w:eastAsia="ja-JP"/>
        </w:rPr>
        <w:t>?</w:t>
      </w:r>
      <w:r w:rsidRPr="00E1740D">
        <w:rPr>
          <w:rFonts w:ascii="Times New Roman" w:hAnsi="Times New Roman"/>
          <w:sz w:val="24"/>
          <w:lang w:eastAsia="ja-JP"/>
        </w:rPr>
        <w:t xml:space="preserve"> (</w:t>
      </w:r>
      <w:proofErr w:type="spellStart"/>
      <w:r w:rsidRPr="00E1740D">
        <w:rPr>
          <w:rFonts w:ascii="Times New Roman" w:hAnsi="Times New Roman"/>
          <w:sz w:val="24"/>
          <w:lang w:eastAsia="ja-JP"/>
        </w:rPr>
        <w:t>i</w:t>
      </w:r>
      <w:proofErr w:type="spellEnd"/>
      <w:r w:rsidRPr="00E1740D">
        <w:rPr>
          <w:rFonts w:ascii="Times New Roman" w:hAnsi="Times New Roman"/>
          <w:sz w:val="24"/>
          <w:lang w:eastAsia="ja-JP"/>
        </w:rPr>
        <w:t xml:space="preserve">) </w:t>
      </w:r>
      <w:r w:rsidRPr="00E1740D">
        <w:rPr>
          <w:rFonts w:ascii="Times New Roman" w:hAnsi="Times New Roman" w:hint="eastAsia"/>
          <w:sz w:val="24"/>
          <w:lang w:eastAsia="ja-JP"/>
        </w:rPr>
        <w:t>Submit a bid</w:t>
      </w:r>
      <w:r w:rsidRPr="00E1740D">
        <w:rPr>
          <w:rFonts w:ascii="Times New Roman" w:hAnsi="Times New Roman"/>
          <w:sz w:val="24"/>
          <w:lang w:eastAsia="ja-JP"/>
        </w:rPr>
        <w:t xml:space="preserve"> or accept an open offer to sell (ask). (ii) </w:t>
      </w:r>
      <w:r w:rsidRPr="00E1740D">
        <w:rPr>
          <w:rFonts w:ascii="Times New Roman" w:hAnsi="Times New Roman" w:hint="eastAsia"/>
          <w:i/>
          <w:sz w:val="24"/>
          <w:lang w:eastAsia="ja-JP"/>
        </w:rPr>
        <w:t xml:space="preserve">Submit an </w:t>
      </w:r>
      <w:r w:rsidRPr="00E1740D">
        <w:rPr>
          <w:rFonts w:ascii="Times New Roman" w:hAnsi="Times New Roman"/>
          <w:i/>
          <w:sz w:val="24"/>
          <w:lang w:eastAsia="ja-JP"/>
        </w:rPr>
        <w:t>offer (</w:t>
      </w:r>
      <w:r w:rsidRPr="00E1740D">
        <w:rPr>
          <w:rFonts w:ascii="Times New Roman" w:hAnsi="Times New Roman" w:hint="eastAsia"/>
          <w:i/>
          <w:sz w:val="24"/>
          <w:lang w:eastAsia="ja-JP"/>
        </w:rPr>
        <w:t>ask</w:t>
      </w:r>
      <w:r w:rsidRPr="00E1740D">
        <w:rPr>
          <w:rFonts w:ascii="Times New Roman" w:hAnsi="Times New Roman"/>
          <w:i/>
          <w:sz w:val="24"/>
          <w:lang w:eastAsia="ja-JP"/>
        </w:rPr>
        <w:t>) or accept an open offer to buy (bid)</w:t>
      </w:r>
      <w:r w:rsidRPr="00E1740D">
        <w:rPr>
          <w:rFonts w:ascii="Times New Roman" w:hAnsi="Times New Roman"/>
          <w:sz w:val="24"/>
          <w:lang w:eastAsia="ja-JP"/>
        </w:rPr>
        <w:t xml:space="preserve">. (iii) </w:t>
      </w:r>
      <w:r w:rsidRPr="00E1740D">
        <w:rPr>
          <w:rFonts w:ascii="Times New Roman" w:hAnsi="Times New Roman" w:hint="eastAsia"/>
          <w:sz w:val="24"/>
          <w:lang w:eastAsia="ja-JP"/>
        </w:rPr>
        <w:t>Submit a bid</w:t>
      </w:r>
      <w:r w:rsidRPr="00E1740D">
        <w:rPr>
          <w:rFonts w:ascii="Times New Roman" w:hAnsi="Times New Roman"/>
          <w:sz w:val="24"/>
          <w:lang w:eastAsia="ja-JP"/>
        </w:rPr>
        <w:t xml:space="preserve"> or accept an open offer to buy (bid). </w:t>
      </w:r>
      <w:proofErr w:type="gramStart"/>
      <w:r w:rsidRPr="00E1740D">
        <w:rPr>
          <w:rFonts w:ascii="Times New Roman" w:hAnsi="Times New Roman"/>
          <w:sz w:val="24"/>
          <w:lang w:eastAsia="ja-JP"/>
        </w:rPr>
        <w:t xml:space="preserve">(iv) </w:t>
      </w:r>
      <w:r w:rsidRPr="00E1740D">
        <w:rPr>
          <w:rFonts w:ascii="Times New Roman" w:hAnsi="Times New Roman" w:hint="eastAsia"/>
          <w:sz w:val="24"/>
          <w:lang w:eastAsia="ja-JP"/>
        </w:rPr>
        <w:t>Submit</w:t>
      </w:r>
      <w:proofErr w:type="gramEnd"/>
      <w:r w:rsidRPr="00E1740D">
        <w:rPr>
          <w:rFonts w:ascii="Times New Roman" w:hAnsi="Times New Roman" w:hint="eastAsia"/>
          <w:sz w:val="24"/>
          <w:lang w:eastAsia="ja-JP"/>
        </w:rPr>
        <w:t xml:space="preserve"> a</w:t>
      </w:r>
      <w:r w:rsidRPr="00E1740D">
        <w:rPr>
          <w:rFonts w:ascii="Times New Roman" w:hAnsi="Times New Roman"/>
          <w:sz w:val="24"/>
          <w:lang w:eastAsia="ja-JP"/>
        </w:rPr>
        <w:t xml:space="preserve">n offer (ask) or accept an open offer to sell (ask). </w:t>
      </w:r>
    </w:p>
    <w:p w14:paraId="1252A3D9" w14:textId="1343DB28" w:rsidR="00436BDE" w:rsidRPr="00E1740D" w:rsidRDefault="00436BDE" w:rsidP="00436BDE">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9</w:t>
      </w:r>
      <w:r w:rsidRPr="00E1740D">
        <w:rPr>
          <w:rFonts w:ascii="Times New Roman" w:hAnsi="Times New Roman" w:hint="eastAsia"/>
          <w:sz w:val="24"/>
          <w:lang w:eastAsia="ja-JP"/>
        </w:rPr>
        <w:t xml:space="preserve">. </w:t>
      </w:r>
      <w:r w:rsidRPr="00E1740D">
        <w:rPr>
          <w:rFonts w:ascii="Times New Roman" w:hAnsi="Times New Roman"/>
          <w:sz w:val="24"/>
          <w:lang w:eastAsia="ja-JP"/>
        </w:rPr>
        <w:t xml:space="preserve">You are a member of cohort 2. </w:t>
      </w:r>
      <w:r w:rsidRPr="00E1740D">
        <w:rPr>
          <w:rFonts w:ascii="Times New Roman" w:hAnsi="Times New Roman" w:hint="eastAsia"/>
          <w:sz w:val="24"/>
          <w:lang w:eastAsia="ja-JP"/>
        </w:rPr>
        <w:t xml:space="preserve">How are your </w:t>
      </w:r>
      <w:proofErr w:type="spellStart"/>
      <w:r w:rsidR="007A6BB6">
        <w:rPr>
          <w:rFonts w:ascii="Times New Roman" w:hAnsi="Times New Roman"/>
          <w:sz w:val="24"/>
          <w:lang w:eastAsia="ja-JP"/>
        </w:rPr>
        <w:t>taler</w:t>
      </w:r>
      <w:proofErr w:type="spellEnd"/>
      <w:r w:rsidRPr="00E1740D">
        <w:rPr>
          <w:rFonts w:ascii="Times New Roman" w:hAnsi="Times New Roman" w:hint="eastAsia"/>
          <w:sz w:val="24"/>
          <w:lang w:eastAsia="ja-JP"/>
        </w:rPr>
        <w:t xml:space="preserve"> converted into real </w:t>
      </w:r>
      <w:r w:rsidRPr="00E1740D">
        <w:rPr>
          <w:rFonts w:ascii="Times New Roman" w:hAnsi="Times New Roman"/>
          <w:sz w:val="24"/>
          <w:lang w:eastAsia="ja-JP"/>
        </w:rPr>
        <w:t>euros</w:t>
      </w:r>
      <w:r w:rsidRPr="00E1740D">
        <w:rPr>
          <w:rFonts w:ascii="Times New Roman" w:hAnsi="Times New Roman" w:hint="eastAsia"/>
          <w:sz w:val="24"/>
          <w:lang w:eastAsia="ja-JP"/>
        </w:rPr>
        <w:t>?</w:t>
      </w:r>
      <w:r w:rsidRPr="00E1740D">
        <w:rPr>
          <w:rFonts w:ascii="Times New Roman" w:hAnsi="Times New Roman"/>
          <w:sz w:val="24"/>
          <w:lang w:eastAsia="ja-JP"/>
        </w:rPr>
        <w:t xml:space="preserve"> (</w:t>
      </w:r>
      <w:proofErr w:type="spellStart"/>
      <w:r w:rsidRPr="00E1740D">
        <w:rPr>
          <w:rFonts w:ascii="Times New Roman" w:hAnsi="Times New Roman"/>
          <w:sz w:val="24"/>
          <w:lang w:eastAsia="ja-JP"/>
        </w:rPr>
        <w:t>i</w:t>
      </w:r>
      <w:proofErr w:type="spellEnd"/>
      <w:r w:rsidRPr="00E1740D">
        <w:rPr>
          <w:rFonts w:ascii="Times New Roman" w:hAnsi="Times New Roman"/>
          <w:sz w:val="24"/>
          <w:lang w:eastAsia="ja-JP"/>
        </w:rPr>
        <w:t xml:space="preserve">) Exchange rate of 50 (100) </w:t>
      </w:r>
      <w:proofErr w:type="spellStart"/>
      <w:r w:rsidR="007A6BB6">
        <w:rPr>
          <w:rFonts w:ascii="Times New Roman" w:hAnsi="Times New Roman"/>
          <w:sz w:val="24"/>
          <w:lang w:eastAsia="ja-JP"/>
        </w:rPr>
        <w:t>taler</w:t>
      </w:r>
      <w:proofErr w:type="spellEnd"/>
      <w:r w:rsidRPr="00E1740D">
        <w:rPr>
          <w:rFonts w:ascii="Times New Roman" w:hAnsi="Times New Roman"/>
          <w:sz w:val="24"/>
          <w:lang w:eastAsia="ja-JP"/>
        </w:rPr>
        <w:t xml:space="preserve"> to 1 Euro. (ii) Exchange rate of 100 (500) </w:t>
      </w:r>
      <w:proofErr w:type="spellStart"/>
      <w:r w:rsidR="007A6BB6">
        <w:rPr>
          <w:rFonts w:ascii="Times New Roman" w:hAnsi="Times New Roman"/>
          <w:sz w:val="24"/>
          <w:lang w:eastAsia="ja-JP"/>
        </w:rPr>
        <w:t>taler</w:t>
      </w:r>
      <w:proofErr w:type="spellEnd"/>
      <w:r w:rsidRPr="00E1740D">
        <w:rPr>
          <w:rFonts w:ascii="Times New Roman" w:hAnsi="Times New Roman"/>
          <w:sz w:val="24"/>
          <w:lang w:eastAsia="ja-JP"/>
        </w:rPr>
        <w:t xml:space="preserve"> to 1 Euro. (iii) E</w:t>
      </w:r>
      <w:r w:rsidRPr="00E1740D">
        <w:rPr>
          <w:rFonts w:ascii="Times New Roman" w:hAnsi="Times New Roman"/>
          <w:sz w:val="24"/>
          <w:lang w:eastAsia="ja-JP"/>
        </w:rPr>
        <w:t>x</w:t>
      </w:r>
      <w:r w:rsidRPr="00E1740D">
        <w:rPr>
          <w:rFonts w:ascii="Times New Roman" w:hAnsi="Times New Roman"/>
          <w:sz w:val="24"/>
          <w:lang w:eastAsia="ja-JP"/>
        </w:rPr>
        <w:t xml:space="preserve">change rate of 200 (1000) </w:t>
      </w:r>
      <w:proofErr w:type="spellStart"/>
      <w:r w:rsidR="007A6BB6">
        <w:rPr>
          <w:rFonts w:ascii="Times New Roman" w:hAnsi="Times New Roman"/>
          <w:sz w:val="24"/>
          <w:lang w:eastAsia="ja-JP"/>
        </w:rPr>
        <w:t>taler</w:t>
      </w:r>
      <w:proofErr w:type="spellEnd"/>
      <w:r w:rsidRPr="00E1740D">
        <w:rPr>
          <w:rFonts w:ascii="Times New Roman" w:hAnsi="Times New Roman"/>
          <w:sz w:val="24"/>
          <w:lang w:eastAsia="ja-JP"/>
        </w:rPr>
        <w:t xml:space="preserve"> to 1 Euro. </w:t>
      </w:r>
      <w:proofErr w:type="gramStart"/>
      <w:r w:rsidRPr="00E1740D">
        <w:rPr>
          <w:rFonts w:ascii="Times New Roman" w:hAnsi="Times New Roman"/>
          <w:i/>
          <w:sz w:val="24"/>
          <w:lang w:eastAsia="ja-JP"/>
        </w:rPr>
        <w:t>Values in parenthesis for high cash treatments.</w:t>
      </w:r>
      <w:proofErr w:type="gramEnd"/>
      <w:r w:rsidRPr="00E1740D">
        <w:rPr>
          <w:rFonts w:ascii="Times New Roman" w:hAnsi="Times New Roman"/>
          <w:i/>
          <w:sz w:val="24"/>
          <w:lang w:eastAsia="ja-JP"/>
        </w:rPr>
        <w:t xml:space="preserve"> Correct answers vary by treatment.</w:t>
      </w:r>
    </w:p>
    <w:p w14:paraId="076470E3" w14:textId="54148897" w:rsidR="00CA4386" w:rsidRPr="00E1740D" w:rsidRDefault="00CA4386" w:rsidP="00436BDE">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10</w:t>
      </w:r>
      <w:r w:rsidR="0016612E">
        <w:rPr>
          <w:rFonts w:ascii="Times New Roman" w:hAnsi="Times New Roman" w:hint="eastAsia"/>
          <w:sz w:val="24"/>
          <w:lang w:eastAsia="ja-JP"/>
        </w:rPr>
        <w:t xml:space="preserve">. </w:t>
      </w:r>
      <w:r w:rsidRPr="00E1740D">
        <w:rPr>
          <w:rFonts w:ascii="Times New Roman" w:hAnsi="Times New Roman" w:hint="eastAsia"/>
          <w:sz w:val="24"/>
          <w:lang w:eastAsia="ja-JP"/>
        </w:rPr>
        <w:t>Are you allowed to talk</w:t>
      </w:r>
      <w:r w:rsidRPr="00E1740D">
        <w:rPr>
          <w:rFonts w:ascii="Times New Roman" w:hAnsi="Times New Roman"/>
          <w:sz w:val="24"/>
          <w:lang w:eastAsia="ja-JP"/>
        </w:rPr>
        <w:t>, use email, or surf the web</w:t>
      </w:r>
      <w:r w:rsidRPr="00E1740D">
        <w:rPr>
          <w:rFonts w:ascii="Times New Roman" w:hAnsi="Times New Roman" w:hint="eastAsia"/>
          <w:sz w:val="24"/>
          <w:lang w:eastAsia="ja-JP"/>
        </w:rPr>
        <w:t xml:space="preserve"> during the session?</w:t>
      </w:r>
      <w:r w:rsidRPr="00E1740D">
        <w:rPr>
          <w:rFonts w:ascii="Times New Roman" w:hAnsi="Times New Roman"/>
          <w:sz w:val="24"/>
          <w:lang w:eastAsia="ja-JP"/>
        </w:rPr>
        <w:t xml:space="preserve"> </w:t>
      </w:r>
      <w:r w:rsidRPr="00E1740D">
        <w:rPr>
          <w:rFonts w:ascii="Times New Roman" w:hAnsi="Times New Roman" w:hint="eastAsia"/>
          <w:i/>
          <w:sz w:val="24"/>
          <w:lang w:eastAsia="ja-JP"/>
        </w:rPr>
        <w:t>No</w:t>
      </w:r>
      <w:r w:rsidRPr="00E1740D">
        <w:rPr>
          <w:rFonts w:ascii="Times New Roman" w:hAnsi="Times New Roman" w:hint="eastAsia"/>
          <w:sz w:val="24"/>
          <w:lang w:eastAsia="ja-JP"/>
        </w:rPr>
        <w:t>.</w:t>
      </w:r>
    </w:p>
    <w:p w14:paraId="334B58A8" w14:textId="5F5D1BF5" w:rsidR="00436BDE" w:rsidRPr="00E1740D" w:rsidRDefault="0016612E" w:rsidP="00436BDE">
      <w:pPr>
        <w:pStyle w:val="Numberedlistitemspaced"/>
        <w:numPr>
          <w:ilvl w:val="0"/>
          <w:numId w:val="0"/>
        </w:numPr>
        <w:spacing w:line="360" w:lineRule="auto"/>
        <w:ind w:left="284" w:hanging="284"/>
        <w:rPr>
          <w:rFonts w:ascii="Times New Roman" w:hAnsi="Times New Roman"/>
          <w:sz w:val="24"/>
          <w:lang w:eastAsia="ja-JP"/>
        </w:rPr>
      </w:pPr>
      <w:r>
        <w:rPr>
          <w:rFonts w:ascii="Times New Roman" w:hAnsi="Times New Roman"/>
          <w:sz w:val="24"/>
          <w:lang w:eastAsia="ja-JP"/>
        </w:rPr>
        <w:t xml:space="preserve">11. </w:t>
      </w:r>
      <w:r w:rsidR="00436BDE" w:rsidRPr="00E1740D">
        <w:rPr>
          <w:rFonts w:ascii="Times New Roman" w:hAnsi="Times New Roman"/>
          <w:sz w:val="24"/>
          <w:lang w:eastAsia="ja-JP"/>
        </w:rPr>
        <w:t xml:space="preserve">Your role is “predictor”: You predict a price which is 8 </w:t>
      </w:r>
      <w:proofErr w:type="spellStart"/>
      <w:r w:rsidR="007A6BB6">
        <w:rPr>
          <w:rFonts w:ascii="Times New Roman" w:hAnsi="Times New Roman"/>
          <w:sz w:val="24"/>
          <w:lang w:eastAsia="ja-JP"/>
        </w:rPr>
        <w:t>taler</w:t>
      </w:r>
      <w:proofErr w:type="spellEnd"/>
      <w:r w:rsidR="00436BDE" w:rsidRPr="00E1740D">
        <w:rPr>
          <w:rFonts w:ascii="Times New Roman" w:hAnsi="Times New Roman"/>
          <w:sz w:val="24"/>
          <w:lang w:eastAsia="ja-JP"/>
        </w:rPr>
        <w:t xml:space="preserve"> less than the actual average price of the period. </w:t>
      </w:r>
      <w:r w:rsidR="00436BDE" w:rsidRPr="00E1740D">
        <w:rPr>
          <w:rFonts w:ascii="Times New Roman" w:hAnsi="Times New Roman" w:hint="eastAsia"/>
          <w:sz w:val="24"/>
          <w:lang w:eastAsia="ja-JP"/>
        </w:rPr>
        <w:t xml:space="preserve">What is </w:t>
      </w:r>
      <w:r w:rsidR="00436BDE" w:rsidRPr="00E1740D">
        <w:rPr>
          <w:rFonts w:ascii="Times New Roman" w:hAnsi="Times New Roman"/>
          <w:sz w:val="24"/>
          <w:lang w:eastAsia="ja-JP"/>
        </w:rPr>
        <w:t xml:space="preserve">your </w:t>
      </w:r>
      <w:r w:rsidR="00436BDE" w:rsidRPr="00E1740D">
        <w:rPr>
          <w:rFonts w:ascii="Times New Roman" w:hAnsi="Times New Roman" w:hint="eastAsia"/>
          <w:sz w:val="24"/>
          <w:lang w:eastAsia="ja-JP"/>
        </w:rPr>
        <w:t>profit</w:t>
      </w:r>
      <w:r w:rsidR="00436BDE" w:rsidRPr="00E1740D">
        <w:rPr>
          <w:rFonts w:ascii="Times New Roman" w:hAnsi="Times New Roman"/>
          <w:sz w:val="24"/>
          <w:lang w:eastAsia="ja-JP"/>
        </w:rPr>
        <w:t xml:space="preserve"> (in </w:t>
      </w:r>
      <w:proofErr w:type="spellStart"/>
      <w:r w:rsidR="007A6BB6">
        <w:rPr>
          <w:rFonts w:ascii="Times New Roman" w:hAnsi="Times New Roman"/>
          <w:sz w:val="24"/>
          <w:lang w:eastAsia="ja-JP"/>
        </w:rPr>
        <w:t>taler</w:t>
      </w:r>
      <w:proofErr w:type="spellEnd"/>
      <w:r w:rsidR="00436BDE" w:rsidRPr="00E1740D">
        <w:rPr>
          <w:rFonts w:ascii="Times New Roman" w:hAnsi="Times New Roman"/>
          <w:sz w:val="24"/>
          <w:lang w:eastAsia="ja-JP"/>
        </w:rPr>
        <w:t xml:space="preserve">)? </w:t>
      </w:r>
      <w:r w:rsidR="00436BDE" w:rsidRPr="00E1740D">
        <w:rPr>
          <w:rFonts w:ascii="Times New Roman" w:hAnsi="Times New Roman"/>
          <w:i/>
          <w:sz w:val="24"/>
          <w:lang w:eastAsia="ja-JP"/>
        </w:rPr>
        <w:t>140</w:t>
      </w:r>
      <w:r w:rsidR="00436BDE" w:rsidRPr="00E1740D">
        <w:rPr>
          <w:rFonts w:ascii="Times New Roman" w:hAnsi="Times New Roman" w:hint="eastAsia"/>
          <w:i/>
          <w:sz w:val="24"/>
          <w:lang w:eastAsia="ja-JP"/>
        </w:rPr>
        <w:t>-8=</w:t>
      </w:r>
      <w:r w:rsidR="00436BDE" w:rsidRPr="00E1740D">
        <w:rPr>
          <w:rFonts w:ascii="Times New Roman" w:hAnsi="Times New Roman"/>
          <w:i/>
          <w:sz w:val="24"/>
          <w:lang w:eastAsia="ja-JP"/>
        </w:rPr>
        <w:t>132</w:t>
      </w:r>
    </w:p>
    <w:p w14:paraId="6C94F49A" w14:textId="1991F367" w:rsidR="00F27AC5" w:rsidRDefault="00436BDE" w:rsidP="00964A69">
      <w:pPr>
        <w:pStyle w:val="Numberedlistitemspaced"/>
        <w:numPr>
          <w:ilvl w:val="0"/>
          <w:numId w:val="0"/>
        </w:numPr>
        <w:spacing w:line="360" w:lineRule="auto"/>
        <w:ind w:left="284" w:hanging="284"/>
        <w:rPr>
          <w:rFonts w:ascii="Times New Roman" w:hAnsi="Times New Roman"/>
          <w:sz w:val="24"/>
          <w:lang w:eastAsia="ja-JP"/>
        </w:rPr>
      </w:pPr>
      <w:r w:rsidRPr="00E1740D">
        <w:rPr>
          <w:rFonts w:ascii="Times New Roman" w:hAnsi="Times New Roman"/>
          <w:sz w:val="24"/>
          <w:lang w:eastAsia="ja-JP"/>
        </w:rPr>
        <w:t>12</w:t>
      </w:r>
      <w:r w:rsidR="0016612E">
        <w:rPr>
          <w:rFonts w:ascii="Times New Roman" w:hAnsi="Times New Roman" w:hint="eastAsia"/>
          <w:sz w:val="24"/>
          <w:lang w:eastAsia="ja-JP"/>
        </w:rPr>
        <w:t xml:space="preserve">. </w:t>
      </w:r>
      <w:r w:rsidRPr="00E1740D">
        <w:rPr>
          <w:rFonts w:ascii="Times New Roman" w:hAnsi="Times New Roman"/>
          <w:sz w:val="24"/>
          <w:lang w:eastAsia="ja-JP"/>
        </w:rPr>
        <w:t>You are a member of cohort 1 and you will leave the market at the end of that period. What is the value of the shares you are holding at the end of the period? (</w:t>
      </w:r>
      <w:proofErr w:type="spellStart"/>
      <w:r w:rsidRPr="00E1740D">
        <w:rPr>
          <w:rFonts w:ascii="Times New Roman" w:hAnsi="Times New Roman"/>
          <w:sz w:val="24"/>
          <w:lang w:eastAsia="ja-JP"/>
        </w:rPr>
        <w:t>i</w:t>
      </w:r>
      <w:proofErr w:type="spellEnd"/>
      <w:r w:rsidRPr="00E1740D">
        <w:rPr>
          <w:rFonts w:ascii="Times New Roman" w:hAnsi="Times New Roman"/>
          <w:sz w:val="24"/>
          <w:lang w:eastAsia="ja-JP"/>
        </w:rPr>
        <w:t xml:space="preserve">) Shares have a value 50. (ii) </w:t>
      </w:r>
      <w:r w:rsidRPr="00E1740D">
        <w:rPr>
          <w:rFonts w:ascii="Times New Roman" w:hAnsi="Times New Roman"/>
          <w:i/>
          <w:sz w:val="24"/>
          <w:lang w:eastAsia="ja-JP"/>
        </w:rPr>
        <w:t>Shares have a value of 0</w:t>
      </w:r>
      <w:r w:rsidRPr="00E1740D">
        <w:rPr>
          <w:rFonts w:ascii="Times New Roman" w:hAnsi="Times New Roman"/>
          <w:sz w:val="24"/>
          <w:lang w:eastAsia="ja-JP"/>
        </w:rPr>
        <w:t xml:space="preserve">. (iii) Shares have a value of 200. </w:t>
      </w:r>
    </w:p>
    <w:p w14:paraId="2978B467" w14:textId="77777777" w:rsidR="00F27AC5" w:rsidRDefault="00F27AC5" w:rsidP="00F27AC5">
      <w:pPr>
        <w:pStyle w:val="Numberedlistitemspaced"/>
        <w:numPr>
          <w:ilvl w:val="0"/>
          <w:numId w:val="0"/>
        </w:numPr>
        <w:spacing w:line="360" w:lineRule="auto"/>
        <w:ind w:left="284" w:hanging="284"/>
        <w:rPr>
          <w:rFonts w:ascii="Times New Roman" w:hAnsi="Times New Roman"/>
          <w:sz w:val="24"/>
          <w:lang w:eastAsia="ja-JP"/>
        </w:rPr>
        <w:sectPr w:rsidR="00F27AC5" w:rsidSect="00A964ED">
          <w:endnotePr>
            <w:numFmt w:val="decimal"/>
          </w:endnotePr>
          <w:pgSz w:w="11907" w:h="16840" w:code="9"/>
          <w:pgMar w:top="1440" w:right="1440" w:bottom="1440" w:left="1440" w:header="850" w:footer="994" w:gutter="0"/>
          <w:cols w:space="425"/>
          <w:docGrid w:linePitch="552"/>
        </w:sectPr>
      </w:pPr>
      <w:r>
        <w:rPr>
          <w:rFonts w:ascii="Times New Roman" w:hAnsi="Times New Roman"/>
          <w:sz w:val="24"/>
          <w:lang w:eastAsia="ja-JP"/>
        </w:rPr>
        <w:br w:type="page"/>
      </w:r>
    </w:p>
    <w:p w14:paraId="1E2D620D" w14:textId="77777777" w:rsidR="00F27AC5" w:rsidRDefault="00F27AC5" w:rsidP="00436BDE">
      <w:pPr>
        <w:pStyle w:val="Numberedlistitemspaced"/>
        <w:numPr>
          <w:ilvl w:val="0"/>
          <w:numId w:val="0"/>
        </w:numPr>
        <w:spacing w:line="360" w:lineRule="auto"/>
        <w:ind w:left="284" w:hanging="284"/>
        <w:rPr>
          <w:rFonts w:ascii="Times New Roman" w:hAnsi="Times New Roman"/>
          <w:b/>
          <w:sz w:val="24"/>
          <w:szCs w:val="24"/>
          <w:lang w:eastAsia="ja-JP"/>
        </w:rPr>
      </w:pPr>
      <w:r w:rsidRPr="004250FA">
        <w:rPr>
          <w:rFonts w:ascii="Times New Roman" w:hAnsi="Times New Roman"/>
          <w:b/>
          <w:sz w:val="24"/>
          <w:szCs w:val="24"/>
          <w:lang w:eastAsia="ja-JP"/>
        </w:rPr>
        <w:lastRenderedPageBreak/>
        <w:t xml:space="preserve">Appendix C: </w:t>
      </w:r>
      <w:r>
        <w:rPr>
          <w:rFonts w:ascii="Times New Roman" w:hAnsi="Times New Roman"/>
          <w:b/>
          <w:sz w:val="24"/>
          <w:szCs w:val="24"/>
          <w:lang w:eastAsia="ja-JP"/>
        </w:rPr>
        <w:t xml:space="preserve">Subjects’ earnings </w:t>
      </w:r>
      <w:r w:rsidR="00A26C65">
        <w:rPr>
          <w:rFonts w:ascii="Times New Roman" w:hAnsi="Times New Roman"/>
          <w:b/>
          <w:sz w:val="24"/>
          <w:szCs w:val="24"/>
          <w:lang w:eastAsia="ja-JP"/>
        </w:rPr>
        <w:t>across</w:t>
      </w:r>
      <w:r>
        <w:rPr>
          <w:rFonts w:ascii="Times New Roman" w:hAnsi="Times New Roman"/>
          <w:b/>
          <w:sz w:val="24"/>
          <w:szCs w:val="24"/>
          <w:lang w:eastAsia="ja-JP"/>
        </w:rPr>
        <w:t xml:space="preserve"> treatment</w:t>
      </w:r>
      <w:r w:rsidR="00A26C65">
        <w:rPr>
          <w:rFonts w:ascii="Times New Roman" w:hAnsi="Times New Roman"/>
          <w:b/>
          <w:sz w:val="24"/>
          <w:szCs w:val="24"/>
          <w:lang w:eastAsia="ja-JP"/>
        </w:rPr>
        <w:t>s</w:t>
      </w:r>
    </w:p>
    <w:p w14:paraId="4E174418" w14:textId="77777777" w:rsidR="009C7325" w:rsidRDefault="009C7325" w:rsidP="002F42C4">
      <w:pPr>
        <w:pStyle w:val="Numberedlistitemspaced"/>
        <w:numPr>
          <w:ilvl w:val="0"/>
          <w:numId w:val="0"/>
        </w:numPr>
        <w:spacing w:line="360" w:lineRule="auto"/>
        <w:ind w:firstLine="567"/>
        <w:jc w:val="both"/>
        <w:rPr>
          <w:rFonts w:ascii="Times New Roman" w:hAnsi="Times New Roman"/>
          <w:sz w:val="24"/>
          <w:szCs w:val="24"/>
          <w:lang w:eastAsia="ja-JP"/>
        </w:rPr>
      </w:pPr>
      <w:r>
        <w:rPr>
          <w:rFonts w:ascii="Times New Roman" w:hAnsi="Times New Roman"/>
          <w:sz w:val="24"/>
          <w:szCs w:val="24"/>
          <w:lang w:eastAsia="ja-JP"/>
        </w:rPr>
        <w:t>In Table C1 we provide information on subjects’ average earnings in each treatment (column total earnings</w:t>
      </w:r>
      <w:r w:rsidR="002F42C4">
        <w:rPr>
          <w:rFonts w:ascii="Times New Roman" w:hAnsi="Times New Roman"/>
          <w:sz w:val="24"/>
          <w:szCs w:val="24"/>
          <w:lang w:eastAsia="ja-JP"/>
        </w:rPr>
        <w:t>). We furthermore split earnings into parts originating from the inve</w:t>
      </w:r>
      <w:r w:rsidR="002F42C4">
        <w:rPr>
          <w:rFonts w:ascii="Times New Roman" w:hAnsi="Times New Roman"/>
          <w:sz w:val="24"/>
          <w:szCs w:val="24"/>
          <w:lang w:eastAsia="ja-JP"/>
        </w:rPr>
        <w:t>s</w:t>
      </w:r>
      <w:r w:rsidR="002F42C4">
        <w:rPr>
          <w:rFonts w:ascii="Times New Roman" w:hAnsi="Times New Roman"/>
          <w:sz w:val="24"/>
          <w:szCs w:val="24"/>
          <w:lang w:eastAsia="ja-JP"/>
        </w:rPr>
        <w:t>tor task (column investor earnings) and parts originating from the predictor task (column pr</w:t>
      </w:r>
      <w:r w:rsidR="002F42C4">
        <w:rPr>
          <w:rFonts w:ascii="Times New Roman" w:hAnsi="Times New Roman"/>
          <w:sz w:val="24"/>
          <w:szCs w:val="24"/>
          <w:lang w:eastAsia="ja-JP"/>
        </w:rPr>
        <w:t>e</w:t>
      </w:r>
      <w:r w:rsidR="002F42C4">
        <w:rPr>
          <w:rFonts w:ascii="Times New Roman" w:hAnsi="Times New Roman"/>
          <w:sz w:val="24"/>
          <w:szCs w:val="24"/>
          <w:lang w:eastAsia="ja-JP"/>
        </w:rPr>
        <w:t xml:space="preserve">dictor earnings). To put these numbers into perspective, we report </w:t>
      </w:r>
      <w:r w:rsidR="002F42C4" w:rsidRPr="009C7325">
        <w:rPr>
          <w:rFonts w:ascii="Times New Roman" w:hAnsi="Times New Roman"/>
          <w:sz w:val="24"/>
          <w:szCs w:val="24"/>
          <w:lang w:eastAsia="ja-JP"/>
        </w:rPr>
        <w:t>the average number of p</w:t>
      </w:r>
      <w:r w:rsidR="002F42C4" w:rsidRPr="009C7325">
        <w:rPr>
          <w:rFonts w:ascii="Times New Roman" w:hAnsi="Times New Roman"/>
          <w:sz w:val="24"/>
          <w:szCs w:val="24"/>
          <w:lang w:eastAsia="ja-JP"/>
        </w:rPr>
        <w:t>e</w:t>
      </w:r>
      <w:r w:rsidR="002F42C4" w:rsidRPr="009C7325">
        <w:rPr>
          <w:rFonts w:ascii="Times New Roman" w:hAnsi="Times New Roman"/>
          <w:sz w:val="24"/>
          <w:szCs w:val="24"/>
          <w:lang w:eastAsia="ja-JP"/>
        </w:rPr>
        <w:t>riods subjects had that role</w:t>
      </w:r>
      <w:r w:rsidR="002F42C4">
        <w:rPr>
          <w:rFonts w:ascii="Times New Roman" w:hAnsi="Times New Roman"/>
          <w:sz w:val="24"/>
          <w:szCs w:val="24"/>
          <w:lang w:eastAsia="ja-JP"/>
        </w:rPr>
        <w:t xml:space="preserve"> in the corresponding treatment in parenthesis.</w:t>
      </w:r>
    </w:p>
    <w:p w14:paraId="6D9C2F79" w14:textId="77777777" w:rsidR="009C7325" w:rsidRDefault="009C7325" w:rsidP="009C7325">
      <w:pPr>
        <w:pStyle w:val="Numberedlistitemspaced"/>
        <w:numPr>
          <w:ilvl w:val="0"/>
          <w:numId w:val="0"/>
        </w:numPr>
        <w:spacing w:line="360" w:lineRule="auto"/>
        <w:ind w:left="360" w:hanging="360"/>
        <w:jc w:val="both"/>
        <w:rPr>
          <w:rFonts w:ascii="Times New Roman" w:hAnsi="Times New Roman"/>
          <w:sz w:val="24"/>
          <w:szCs w:val="24"/>
          <w:lang w:eastAsia="ja-JP"/>
        </w:rPr>
      </w:pPr>
    </w:p>
    <w:p w14:paraId="1BD61E3C" w14:textId="77777777" w:rsidR="00E97161" w:rsidRPr="00C411E2" w:rsidRDefault="00E97161" w:rsidP="009C7325">
      <w:pPr>
        <w:spacing w:line="360" w:lineRule="auto"/>
        <w:jc w:val="center"/>
        <w:rPr>
          <w:lang w:eastAsia="ja-JP"/>
        </w:rPr>
      </w:pPr>
      <w:r w:rsidRPr="00EB0245">
        <w:rPr>
          <w:b/>
          <w:sz w:val="24"/>
          <w:szCs w:val="24"/>
          <w:lang w:eastAsia="ja-JP"/>
        </w:rPr>
        <w:t>Table</w:t>
      </w:r>
      <w:r w:rsidRPr="00C411E2">
        <w:rPr>
          <w:b/>
          <w:lang w:eastAsia="ja-JP"/>
        </w:rPr>
        <w:t xml:space="preserve"> </w:t>
      </w:r>
      <w:r>
        <w:rPr>
          <w:b/>
          <w:sz w:val="24"/>
          <w:szCs w:val="24"/>
          <w:lang w:eastAsia="ja-JP"/>
        </w:rPr>
        <w:t>C1</w:t>
      </w:r>
      <w:r w:rsidRPr="00C411E2">
        <w:rPr>
          <w:b/>
          <w:lang w:eastAsia="ja-JP"/>
        </w:rPr>
        <w:t xml:space="preserve">: </w:t>
      </w:r>
      <w:r>
        <w:rPr>
          <w:b/>
          <w:sz w:val="24"/>
          <w:szCs w:val="24"/>
          <w:lang w:eastAsia="ja-JP"/>
        </w:rPr>
        <w:t>Subjects’ average earnings b</w:t>
      </w:r>
      <w:r w:rsidR="009C7325">
        <w:rPr>
          <w:b/>
          <w:sz w:val="24"/>
          <w:szCs w:val="24"/>
          <w:lang w:eastAsia="ja-JP"/>
        </w:rPr>
        <w:t>y</w:t>
      </w:r>
      <w:r>
        <w:rPr>
          <w:b/>
          <w:sz w:val="24"/>
          <w:szCs w:val="24"/>
          <w:lang w:eastAsia="ja-JP"/>
        </w:rPr>
        <w:t xml:space="preserve"> treatment</w:t>
      </w:r>
      <w:r w:rsidRPr="00C411E2">
        <w:rPr>
          <w:b/>
          <w:lang w:eastAsia="ja-JP"/>
        </w:rPr>
        <w:t xml:space="preserve"> </w:t>
      </w:r>
    </w:p>
    <w:tbl>
      <w:tblPr>
        <w:tblW w:w="8465" w:type="dxa"/>
        <w:jc w:val="center"/>
        <w:tblCellMar>
          <w:left w:w="70" w:type="dxa"/>
          <w:right w:w="70" w:type="dxa"/>
        </w:tblCellMar>
        <w:tblLook w:val="04A0" w:firstRow="1" w:lastRow="0" w:firstColumn="1" w:lastColumn="0" w:noHBand="0" w:noVBand="1"/>
      </w:tblPr>
      <w:tblGrid>
        <w:gridCol w:w="1200"/>
        <w:gridCol w:w="1530"/>
        <w:gridCol w:w="687"/>
        <w:gridCol w:w="1701"/>
        <w:gridCol w:w="851"/>
        <w:gridCol w:w="1417"/>
        <w:gridCol w:w="1079"/>
      </w:tblGrid>
      <w:tr w:rsidR="00E97161" w:rsidRPr="00E97161" w14:paraId="7B22ED12" w14:textId="77777777" w:rsidTr="009C7325">
        <w:trPr>
          <w:trHeight w:val="300"/>
          <w:jc w:val="center"/>
        </w:trPr>
        <w:tc>
          <w:tcPr>
            <w:tcW w:w="1200" w:type="dxa"/>
            <w:tcBorders>
              <w:top w:val="double" w:sz="4" w:space="0" w:color="auto"/>
              <w:left w:val="nil"/>
              <w:bottom w:val="nil"/>
              <w:right w:val="single" w:sz="4" w:space="0" w:color="auto"/>
            </w:tcBorders>
            <w:shd w:val="clear" w:color="auto" w:fill="auto"/>
            <w:noWrap/>
            <w:vAlign w:val="bottom"/>
            <w:hideMark/>
          </w:tcPr>
          <w:p w14:paraId="00529F38" w14:textId="77777777" w:rsidR="00E97161" w:rsidRPr="00E97161" w:rsidRDefault="00E97161" w:rsidP="00E97161">
            <w:pPr>
              <w:rPr>
                <w:rFonts w:ascii="Calibri" w:eastAsia="Times New Roman" w:hAnsi="Calibri"/>
                <w:color w:val="000000"/>
                <w:sz w:val="22"/>
                <w:szCs w:val="22"/>
                <w:lang w:eastAsia="de-DE"/>
              </w:rPr>
            </w:pPr>
          </w:p>
        </w:tc>
        <w:tc>
          <w:tcPr>
            <w:tcW w:w="2217" w:type="dxa"/>
            <w:gridSpan w:val="2"/>
            <w:tcBorders>
              <w:top w:val="double" w:sz="4" w:space="0" w:color="auto"/>
              <w:left w:val="single" w:sz="4" w:space="0" w:color="auto"/>
              <w:bottom w:val="nil"/>
              <w:right w:val="single" w:sz="4" w:space="0" w:color="auto"/>
            </w:tcBorders>
            <w:shd w:val="clear" w:color="auto" w:fill="auto"/>
            <w:noWrap/>
            <w:vAlign w:val="bottom"/>
            <w:hideMark/>
          </w:tcPr>
          <w:p w14:paraId="7CB2DC64" w14:textId="77777777" w:rsidR="00E97161" w:rsidRPr="00E97161" w:rsidRDefault="009C7325" w:rsidP="00E97161">
            <w:pPr>
              <w:jc w:val="center"/>
              <w:rPr>
                <w:rFonts w:ascii="Calibri" w:eastAsia="Times New Roman" w:hAnsi="Calibri"/>
                <w:b/>
                <w:bCs/>
                <w:color w:val="000000"/>
                <w:sz w:val="22"/>
                <w:szCs w:val="22"/>
                <w:lang w:val="de-DE" w:eastAsia="de-DE"/>
              </w:rPr>
            </w:pPr>
            <w:r>
              <w:rPr>
                <w:rFonts w:ascii="Calibri" w:eastAsia="Times New Roman" w:hAnsi="Calibri"/>
                <w:b/>
                <w:bCs/>
                <w:color w:val="000000"/>
                <w:sz w:val="22"/>
                <w:szCs w:val="22"/>
                <w:lang w:val="de-DE" w:eastAsia="de-DE"/>
              </w:rPr>
              <w:t>T</w:t>
            </w:r>
            <w:r w:rsidR="00E97161" w:rsidRPr="00E97161">
              <w:rPr>
                <w:rFonts w:ascii="Calibri" w:eastAsia="Times New Roman" w:hAnsi="Calibri"/>
                <w:b/>
                <w:bCs/>
                <w:color w:val="000000"/>
                <w:sz w:val="22"/>
                <w:szCs w:val="22"/>
                <w:lang w:val="de-DE" w:eastAsia="de-DE"/>
              </w:rPr>
              <w:t xml:space="preserve">otal </w:t>
            </w:r>
            <w:proofErr w:type="spellStart"/>
            <w:r w:rsidR="00E97161" w:rsidRPr="00E97161">
              <w:rPr>
                <w:rFonts w:ascii="Calibri" w:eastAsia="Times New Roman" w:hAnsi="Calibri"/>
                <w:b/>
                <w:bCs/>
                <w:color w:val="000000"/>
                <w:sz w:val="22"/>
                <w:szCs w:val="22"/>
                <w:lang w:val="de-DE" w:eastAsia="de-DE"/>
              </w:rPr>
              <w:t>earnings</w:t>
            </w:r>
            <w:proofErr w:type="spellEnd"/>
          </w:p>
        </w:tc>
        <w:tc>
          <w:tcPr>
            <w:tcW w:w="2552" w:type="dxa"/>
            <w:gridSpan w:val="2"/>
            <w:tcBorders>
              <w:top w:val="double" w:sz="4" w:space="0" w:color="auto"/>
              <w:left w:val="single" w:sz="4" w:space="0" w:color="auto"/>
              <w:bottom w:val="nil"/>
              <w:right w:val="single" w:sz="4" w:space="0" w:color="auto"/>
            </w:tcBorders>
            <w:shd w:val="clear" w:color="auto" w:fill="auto"/>
            <w:noWrap/>
            <w:vAlign w:val="bottom"/>
            <w:hideMark/>
          </w:tcPr>
          <w:p w14:paraId="74BDD93E" w14:textId="77777777" w:rsidR="00E97161" w:rsidRPr="00E97161" w:rsidRDefault="009C7325" w:rsidP="00E97161">
            <w:pPr>
              <w:jc w:val="center"/>
              <w:rPr>
                <w:rFonts w:ascii="Calibri" w:eastAsia="Times New Roman" w:hAnsi="Calibri"/>
                <w:b/>
                <w:bCs/>
                <w:color w:val="000000"/>
                <w:sz w:val="22"/>
                <w:szCs w:val="22"/>
                <w:lang w:val="de-DE" w:eastAsia="de-DE"/>
              </w:rPr>
            </w:pPr>
            <w:r>
              <w:rPr>
                <w:rFonts w:ascii="Calibri" w:eastAsia="Times New Roman" w:hAnsi="Calibri"/>
                <w:b/>
                <w:bCs/>
                <w:color w:val="000000"/>
                <w:sz w:val="22"/>
                <w:szCs w:val="22"/>
                <w:lang w:val="de-DE" w:eastAsia="de-DE"/>
              </w:rPr>
              <w:t>Investor</w:t>
            </w:r>
            <w:r w:rsidR="00E97161" w:rsidRPr="00E97161">
              <w:rPr>
                <w:rFonts w:ascii="Calibri" w:eastAsia="Times New Roman" w:hAnsi="Calibri"/>
                <w:b/>
                <w:bCs/>
                <w:color w:val="000000"/>
                <w:sz w:val="22"/>
                <w:szCs w:val="22"/>
                <w:lang w:val="de-DE" w:eastAsia="de-DE"/>
              </w:rPr>
              <w:t xml:space="preserve"> </w:t>
            </w:r>
            <w:proofErr w:type="spellStart"/>
            <w:r w:rsidR="00E97161" w:rsidRPr="00E97161">
              <w:rPr>
                <w:rFonts w:ascii="Calibri" w:eastAsia="Times New Roman" w:hAnsi="Calibri"/>
                <w:b/>
                <w:bCs/>
                <w:color w:val="000000"/>
                <w:sz w:val="22"/>
                <w:szCs w:val="22"/>
                <w:lang w:val="de-DE" w:eastAsia="de-DE"/>
              </w:rPr>
              <w:t>earnings</w:t>
            </w:r>
            <w:proofErr w:type="spellEnd"/>
          </w:p>
        </w:tc>
        <w:tc>
          <w:tcPr>
            <w:tcW w:w="2496" w:type="dxa"/>
            <w:gridSpan w:val="2"/>
            <w:tcBorders>
              <w:top w:val="double" w:sz="4" w:space="0" w:color="auto"/>
              <w:left w:val="single" w:sz="4" w:space="0" w:color="auto"/>
              <w:bottom w:val="nil"/>
            </w:tcBorders>
            <w:shd w:val="clear" w:color="auto" w:fill="auto"/>
            <w:noWrap/>
            <w:vAlign w:val="bottom"/>
            <w:hideMark/>
          </w:tcPr>
          <w:p w14:paraId="324423EC" w14:textId="77777777" w:rsidR="00E97161" w:rsidRPr="00E97161" w:rsidRDefault="009C7325" w:rsidP="00E97161">
            <w:pPr>
              <w:jc w:val="center"/>
              <w:rPr>
                <w:rFonts w:ascii="Calibri" w:eastAsia="Times New Roman" w:hAnsi="Calibri"/>
                <w:b/>
                <w:bCs/>
                <w:color w:val="000000"/>
                <w:sz w:val="22"/>
                <w:szCs w:val="22"/>
                <w:lang w:val="de-DE" w:eastAsia="de-DE"/>
              </w:rPr>
            </w:pPr>
            <w:proofErr w:type="spellStart"/>
            <w:r>
              <w:rPr>
                <w:rFonts w:ascii="Calibri" w:eastAsia="Times New Roman" w:hAnsi="Calibri"/>
                <w:b/>
                <w:bCs/>
                <w:color w:val="000000"/>
                <w:sz w:val="22"/>
                <w:szCs w:val="22"/>
                <w:lang w:val="de-DE" w:eastAsia="de-DE"/>
              </w:rPr>
              <w:t>Predictor</w:t>
            </w:r>
            <w:proofErr w:type="spellEnd"/>
            <w:r w:rsidR="00E97161" w:rsidRPr="00E97161">
              <w:rPr>
                <w:rFonts w:ascii="Calibri" w:eastAsia="Times New Roman" w:hAnsi="Calibri"/>
                <w:b/>
                <w:bCs/>
                <w:color w:val="000000"/>
                <w:sz w:val="22"/>
                <w:szCs w:val="22"/>
                <w:lang w:val="de-DE" w:eastAsia="de-DE"/>
              </w:rPr>
              <w:t xml:space="preserve"> </w:t>
            </w:r>
            <w:proofErr w:type="spellStart"/>
            <w:r w:rsidR="00E97161" w:rsidRPr="00E97161">
              <w:rPr>
                <w:rFonts w:ascii="Calibri" w:eastAsia="Times New Roman" w:hAnsi="Calibri"/>
                <w:b/>
                <w:bCs/>
                <w:color w:val="000000"/>
                <w:sz w:val="22"/>
                <w:szCs w:val="22"/>
                <w:lang w:val="de-DE" w:eastAsia="de-DE"/>
              </w:rPr>
              <w:t>earnings</w:t>
            </w:r>
            <w:proofErr w:type="spellEnd"/>
          </w:p>
        </w:tc>
      </w:tr>
      <w:tr w:rsidR="00E97161" w:rsidRPr="00E97161" w14:paraId="2551633A" w14:textId="77777777" w:rsidTr="009C7325">
        <w:trPr>
          <w:trHeight w:val="300"/>
          <w:jc w:val="center"/>
        </w:trPr>
        <w:tc>
          <w:tcPr>
            <w:tcW w:w="1200" w:type="dxa"/>
            <w:tcBorders>
              <w:top w:val="nil"/>
              <w:left w:val="nil"/>
              <w:bottom w:val="single" w:sz="4" w:space="0" w:color="auto"/>
              <w:right w:val="single" w:sz="4" w:space="0" w:color="auto"/>
            </w:tcBorders>
            <w:shd w:val="clear" w:color="auto" w:fill="auto"/>
            <w:noWrap/>
            <w:vAlign w:val="bottom"/>
            <w:hideMark/>
          </w:tcPr>
          <w:p w14:paraId="05EDD1AA" w14:textId="77777777" w:rsidR="00E97161" w:rsidRPr="00E97161" w:rsidRDefault="00E97161" w:rsidP="00E97161">
            <w:pP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Treatment</w:t>
            </w:r>
          </w:p>
        </w:tc>
        <w:tc>
          <w:tcPr>
            <w:tcW w:w="1530" w:type="dxa"/>
            <w:tcBorders>
              <w:top w:val="nil"/>
              <w:left w:val="nil"/>
              <w:bottom w:val="single" w:sz="4" w:space="0" w:color="auto"/>
              <w:right w:val="nil"/>
            </w:tcBorders>
            <w:shd w:val="clear" w:color="auto" w:fill="auto"/>
            <w:noWrap/>
            <w:vAlign w:val="bottom"/>
            <w:hideMark/>
          </w:tcPr>
          <w:p w14:paraId="0F911FA2" w14:textId="77777777" w:rsidR="00E97161" w:rsidRPr="00E97161" w:rsidRDefault="00E97161" w:rsidP="00E97161">
            <w:pPr>
              <w:jc w:val="center"/>
              <w:rPr>
                <w:rFonts w:ascii="Calibri" w:eastAsia="Times New Roman" w:hAnsi="Calibri"/>
                <w:color w:val="000000"/>
                <w:sz w:val="22"/>
                <w:szCs w:val="22"/>
                <w:lang w:val="de-DE" w:eastAsia="de-DE"/>
              </w:rPr>
            </w:pPr>
            <w:proofErr w:type="spellStart"/>
            <w:r w:rsidRPr="00E97161">
              <w:rPr>
                <w:rFonts w:ascii="Calibri" w:eastAsia="Times New Roman" w:hAnsi="Calibri"/>
                <w:color w:val="000000"/>
                <w:sz w:val="22"/>
                <w:szCs w:val="22"/>
                <w:lang w:val="de-DE" w:eastAsia="de-DE"/>
              </w:rPr>
              <w:t>average</w:t>
            </w:r>
            <w:proofErr w:type="spellEnd"/>
          </w:p>
        </w:tc>
        <w:tc>
          <w:tcPr>
            <w:tcW w:w="687" w:type="dxa"/>
            <w:tcBorders>
              <w:top w:val="nil"/>
              <w:left w:val="nil"/>
              <w:bottom w:val="single" w:sz="4" w:space="0" w:color="auto"/>
              <w:right w:val="single" w:sz="4" w:space="0" w:color="auto"/>
            </w:tcBorders>
            <w:shd w:val="clear" w:color="auto" w:fill="auto"/>
            <w:noWrap/>
            <w:vAlign w:val="bottom"/>
            <w:hideMark/>
          </w:tcPr>
          <w:p w14:paraId="4D773828" w14:textId="77777777" w:rsidR="00E97161" w:rsidRPr="00E97161" w:rsidRDefault="00E97161" w:rsidP="00E97161">
            <w:pPr>
              <w:jc w:val="center"/>
              <w:rPr>
                <w:rFonts w:ascii="Calibri" w:eastAsia="Times New Roman" w:hAnsi="Calibri"/>
                <w:color w:val="000000"/>
                <w:sz w:val="22"/>
                <w:szCs w:val="22"/>
                <w:lang w:val="de-DE" w:eastAsia="de-DE"/>
              </w:rPr>
            </w:pPr>
            <w:proofErr w:type="spellStart"/>
            <w:r w:rsidRPr="00E97161">
              <w:rPr>
                <w:rFonts w:ascii="Calibri" w:eastAsia="Times New Roman" w:hAnsi="Calibri"/>
                <w:color w:val="000000"/>
                <w:sz w:val="22"/>
                <w:szCs w:val="22"/>
                <w:lang w:val="de-DE" w:eastAsia="de-DE"/>
              </w:rPr>
              <w:t>s.d</w:t>
            </w:r>
            <w:proofErr w:type="spellEnd"/>
            <w:r w:rsidRPr="00E97161">
              <w:rPr>
                <w:rFonts w:ascii="Calibri" w:eastAsia="Times New Roman" w:hAnsi="Calibri"/>
                <w:color w:val="000000"/>
                <w:sz w:val="22"/>
                <w:szCs w:val="22"/>
                <w:lang w:val="de-DE" w:eastAsia="de-DE"/>
              </w:rPr>
              <w:t>.</w:t>
            </w:r>
          </w:p>
        </w:tc>
        <w:tc>
          <w:tcPr>
            <w:tcW w:w="1701" w:type="dxa"/>
            <w:tcBorders>
              <w:top w:val="nil"/>
              <w:left w:val="nil"/>
              <w:bottom w:val="single" w:sz="4" w:space="0" w:color="auto"/>
              <w:right w:val="nil"/>
            </w:tcBorders>
            <w:shd w:val="clear" w:color="auto" w:fill="auto"/>
            <w:noWrap/>
            <w:vAlign w:val="bottom"/>
            <w:hideMark/>
          </w:tcPr>
          <w:p w14:paraId="71B23A1C" w14:textId="77777777" w:rsidR="00E97161" w:rsidRPr="00E97161" w:rsidRDefault="00E97161" w:rsidP="00E97161">
            <w:pPr>
              <w:jc w:val="center"/>
              <w:rPr>
                <w:rFonts w:ascii="Calibri" w:eastAsia="Times New Roman" w:hAnsi="Calibri"/>
                <w:color w:val="000000"/>
                <w:sz w:val="22"/>
                <w:szCs w:val="22"/>
                <w:lang w:val="de-DE" w:eastAsia="de-DE"/>
              </w:rPr>
            </w:pPr>
            <w:proofErr w:type="spellStart"/>
            <w:r w:rsidRPr="00E97161">
              <w:rPr>
                <w:rFonts w:ascii="Calibri" w:eastAsia="Times New Roman" w:hAnsi="Calibri"/>
                <w:color w:val="000000"/>
                <w:sz w:val="22"/>
                <w:szCs w:val="22"/>
                <w:lang w:val="de-DE" w:eastAsia="de-DE"/>
              </w:rPr>
              <w:t>average</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D6C2D5F" w14:textId="77777777" w:rsidR="00E97161" w:rsidRPr="00E97161" w:rsidRDefault="00E97161" w:rsidP="00E97161">
            <w:pPr>
              <w:jc w:val="center"/>
              <w:rPr>
                <w:rFonts w:ascii="Calibri" w:eastAsia="Times New Roman" w:hAnsi="Calibri"/>
                <w:color w:val="000000"/>
                <w:sz w:val="22"/>
                <w:szCs w:val="22"/>
                <w:lang w:val="de-DE" w:eastAsia="de-DE"/>
              </w:rPr>
            </w:pPr>
            <w:proofErr w:type="spellStart"/>
            <w:r w:rsidRPr="00E97161">
              <w:rPr>
                <w:rFonts w:ascii="Calibri" w:eastAsia="Times New Roman" w:hAnsi="Calibri"/>
                <w:color w:val="000000"/>
                <w:sz w:val="22"/>
                <w:szCs w:val="22"/>
                <w:lang w:val="de-DE" w:eastAsia="de-DE"/>
              </w:rPr>
              <w:t>s.d</w:t>
            </w:r>
            <w:proofErr w:type="spellEnd"/>
            <w:r w:rsidRPr="00E97161">
              <w:rPr>
                <w:rFonts w:ascii="Calibri" w:eastAsia="Times New Roman" w:hAnsi="Calibri"/>
                <w:color w:val="000000"/>
                <w:sz w:val="22"/>
                <w:szCs w:val="22"/>
                <w:lang w:val="de-DE" w:eastAsia="de-DE"/>
              </w:rPr>
              <w:t>.</w:t>
            </w:r>
          </w:p>
        </w:tc>
        <w:tc>
          <w:tcPr>
            <w:tcW w:w="1417" w:type="dxa"/>
            <w:tcBorders>
              <w:top w:val="nil"/>
              <w:left w:val="nil"/>
              <w:bottom w:val="single" w:sz="4" w:space="0" w:color="auto"/>
              <w:right w:val="nil"/>
            </w:tcBorders>
            <w:shd w:val="clear" w:color="auto" w:fill="auto"/>
            <w:noWrap/>
            <w:vAlign w:val="bottom"/>
            <w:hideMark/>
          </w:tcPr>
          <w:p w14:paraId="1A157041" w14:textId="77777777" w:rsidR="00E97161" w:rsidRPr="00E97161" w:rsidRDefault="00E97161" w:rsidP="00E97161">
            <w:pPr>
              <w:jc w:val="center"/>
              <w:rPr>
                <w:rFonts w:ascii="Calibri" w:eastAsia="Times New Roman" w:hAnsi="Calibri"/>
                <w:color w:val="000000"/>
                <w:sz w:val="22"/>
                <w:szCs w:val="22"/>
                <w:lang w:val="de-DE" w:eastAsia="de-DE"/>
              </w:rPr>
            </w:pPr>
            <w:proofErr w:type="spellStart"/>
            <w:r w:rsidRPr="00E97161">
              <w:rPr>
                <w:rFonts w:ascii="Calibri" w:eastAsia="Times New Roman" w:hAnsi="Calibri"/>
                <w:color w:val="000000"/>
                <w:sz w:val="22"/>
                <w:szCs w:val="22"/>
                <w:lang w:val="de-DE" w:eastAsia="de-DE"/>
              </w:rPr>
              <w:t>average</w:t>
            </w:r>
            <w:proofErr w:type="spellEnd"/>
          </w:p>
        </w:tc>
        <w:tc>
          <w:tcPr>
            <w:tcW w:w="1079" w:type="dxa"/>
            <w:tcBorders>
              <w:top w:val="nil"/>
              <w:left w:val="nil"/>
              <w:bottom w:val="single" w:sz="4" w:space="0" w:color="auto"/>
            </w:tcBorders>
            <w:shd w:val="clear" w:color="auto" w:fill="auto"/>
            <w:noWrap/>
            <w:vAlign w:val="bottom"/>
            <w:hideMark/>
          </w:tcPr>
          <w:p w14:paraId="43801FD1" w14:textId="77777777" w:rsidR="00E97161" w:rsidRPr="00E97161" w:rsidRDefault="00E97161" w:rsidP="00E97161">
            <w:pPr>
              <w:jc w:val="center"/>
              <w:rPr>
                <w:rFonts w:ascii="Calibri" w:eastAsia="Times New Roman" w:hAnsi="Calibri"/>
                <w:color w:val="000000"/>
                <w:sz w:val="22"/>
                <w:szCs w:val="22"/>
                <w:lang w:val="de-DE" w:eastAsia="de-DE"/>
              </w:rPr>
            </w:pPr>
            <w:proofErr w:type="spellStart"/>
            <w:r w:rsidRPr="00E97161">
              <w:rPr>
                <w:rFonts w:ascii="Calibri" w:eastAsia="Times New Roman" w:hAnsi="Calibri"/>
                <w:color w:val="000000"/>
                <w:sz w:val="22"/>
                <w:szCs w:val="22"/>
                <w:lang w:val="de-DE" w:eastAsia="de-DE"/>
              </w:rPr>
              <w:t>s.d</w:t>
            </w:r>
            <w:proofErr w:type="spellEnd"/>
            <w:r w:rsidRPr="00E97161">
              <w:rPr>
                <w:rFonts w:ascii="Calibri" w:eastAsia="Times New Roman" w:hAnsi="Calibri"/>
                <w:color w:val="000000"/>
                <w:sz w:val="22"/>
                <w:szCs w:val="22"/>
                <w:lang w:val="de-DE" w:eastAsia="de-DE"/>
              </w:rPr>
              <w:t>.</w:t>
            </w:r>
          </w:p>
        </w:tc>
      </w:tr>
      <w:tr w:rsidR="00E97161" w:rsidRPr="00E97161" w14:paraId="31F890D3" w14:textId="77777777" w:rsidTr="009C7325">
        <w:trPr>
          <w:trHeight w:val="345"/>
          <w:jc w:val="center"/>
        </w:trPr>
        <w:tc>
          <w:tcPr>
            <w:tcW w:w="1200" w:type="dxa"/>
            <w:tcBorders>
              <w:top w:val="nil"/>
              <w:left w:val="nil"/>
              <w:bottom w:val="nil"/>
              <w:right w:val="single" w:sz="4" w:space="0" w:color="auto"/>
            </w:tcBorders>
            <w:shd w:val="clear" w:color="auto" w:fill="auto"/>
            <w:noWrap/>
            <w:vAlign w:val="bottom"/>
            <w:hideMark/>
          </w:tcPr>
          <w:p w14:paraId="3E587ACB"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T1L</w:t>
            </w:r>
          </w:p>
        </w:tc>
        <w:tc>
          <w:tcPr>
            <w:tcW w:w="1530" w:type="dxa"/>
            <w:tcBorders>
              <w:top w:val="nil"/>
              <w:left w:val="nil"/>
              <w:bottom w:val="nil"/>
              <w:right w:val="nil"/>
            </w:tcBorders>
            <w:shd w:val="clear" w:color="auto" w:fill="auto"/>
            <w:noWrap/>
            <w:vAlign w:val="bottom"/>
            <w:hideMark/>
          </w:tcPr>
          <w:p w14:paraId="636B859A"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16.04</w:t>
            </w:r>
          </w:p>
        </w:tc>
        <w:tc>
          <w:tcPr>
            <w:tcW w:w="687" w:type="dxa"/>
            <w:tcBorders>
              <w:top w:val="nil"/>
              <w:left w:val="nil"/>
              <w:bottom w:val="nil"/>
              <w:right w:val="single" w:sz="4" w:space="0" w:color="auto"/>
            </w:tcBorders>
            <w:shd w:val="clear" w:color="auto" w:fill="auto"/>
            <w:noWrap/>
            <w:vAlign w:val="bottom"/>
            <w:hideMark/>
          </w:tcPr>
          <w:p w14:paraId="2EF14634"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1.60</w:t>
            </w:r>
          </w:p>
        </w:tc>
        <w:tc>
          <w:tcPr>
            <w:tcW w:w="1701" w:type="dxa"/>
            <w:tcBorders>
              <w:top w:val="nil"/>
              <w:left w:val="nil"/>
              <w:bottom w:val="nil"/>
              <w:right w:val="nil"/>
            </w:tcBorders>
            <w:shd w:val="clear" w:color="auto" w:fill="auto"/>
            <w:noWrap/>
            <w:vAlign w:val="bottom"/>
            <w:hideMark/>
          </w:tcPr>
          <w:p w14:paraId="791F09E3"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15.85 (16.00)</w:t>
            </w:r>
          </w:p>
        </w:tc>
        <w:tc>
          <w:tcPr>
            <w:tcW w:w="851" w:type="dxa"/>
            <w:tcBorders>
              <w:top w:val="nil"/>
              <w:left w:val="nil"/>
              <w:bottom w:val="nil"/>
              <w:right w:val="single" w:sz="4" w:space="0" w:color="auto"/>
            </w:tcBorders>
            <w:shd w:val="clear" w:color="auto" w:fill="auto"/>
            <w:noWrap/>
            <w:vAlign w:val="bottom"/>
            <w:hideMark/>
          </w:tcPr>
          <w:p w14:paraId="36CB30DE"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1.93</w:t>
            </w:r>
          </w:p>
        </w:tc>
        <w:tc>
          <w:tcPr>
            <w:tcW w:w="1417" w:type="dxa"/>
            <w:tcBorders>
              <w:top w:val="nil"/>
              <w:left w:val="nil"/>
              <w:bottom w:val="nil"/>
              <w:right w:val="nil"/>
            </w:tcBorders>
            <w:shd w:val="clear" w:color="auto" w:fill="auto"/>
            <w:noWrap/>
            <w:vAlign w:val="bottom"/>
            <w:hideMark/>
          </w:tcPr>
          <w:p w14:paraId="2C1E819A"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16.42 (16.00)</w:t>
            </w:r>
          </w:p>
        </w:tc>
        <w:tc>
          <w:tcPr>
            <w:tcW w:w="1079" w:type="dxa"/>
            <w:tcBorders>
              <w:top w:val="nil"/>
              <w:left w:val="nil"/>
              <w:bottom w:val="nil"/>
            </w:tcBorders>
            <w:shd w:val="clear" w:color="auto" w:fill="auto"/>
            <w:noWrap/>
            <w:vAlign w:val="bottom"/>
            <w:hideMark/>
          </w:tcPr>
          <w:p w14:paraId="295EB954"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0.32</w:t>
            </w:r>
          </w:p>
        </w:tc>
      </w:tr>
      <w:tr w:rsidR="00E97161" w:rsidRPr="00E97161" w14:paraId="1524960D" w14:textId="77777777" w:rsidTr="009C7325">
        <w:trPr>
          <w:trHeight w:val="300"/>
          <w:jc w:val="center"/>
        </w:trPr>
        <w:tc>
          <w:tcPr>
            <w:tcW w:w="1200" w:type="dxa"/>
            <w:tcBorders>
              <w:top w:val="nil"/>
              <w:left w:val="nil"/>
              <w:bottom w:val="nil"/>
              <w:right w:val="single" w:sz="4" w:space="0" w:color="auto"/>
            </w:tcBorders>
            <w:shd w:val="clear" w:color="auto" w:fill="auto"/>
            <w:noWrap/>
            <w:vAlign w:val="bottom"/>
            <w:hideMark/>
          </w:tcPr>
          <w:p w14:paraId="27D8C92B"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T2L</w:t>
            </w:r>
          </w:p>
        </w:tc>
        <w:tc>
          <w:tcPr>
            <w:tcW w:w="1530" w:type="dxa"/>
            <w:tcBorders>
              <w:top w:val="nil"/>
              <w:left w:val="nil"/>
              <w:bottom w:val="nil"/>
              <w:right w:val="nil"/>
            </w:tcBorders>
            <w:shd w:val="clear" w:color="auto" w:fill="auto"/>
            <w:noWrap/>
            <w:vAlign w:val="bottom"/>
            <w:hideMark/>
          </w:tcPr>
          <w:p w14:paraId="42AA3A48"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15.40</w:t>
            </w:r>
          </w:p>
        </w:tc>
        <w:tc>
          <w:tcPr>
            <w:tcW w:w="687" w:type="dxa"/>
            <w:tcBorders>
              <w:top w:val="nil"/>
              <w:left w:val="nil"/>
              <w:bottom w:val="nil"/>
              <w:right w:val="single" w:sz="4" w:space="0" w:color="auto"/>
            </w:tcBorders>
            <w:shd w:val="clear" w:color="auto" w:fill="auto"/>
            <w:noWrap/>
            <w:vAlign w:val="bottom"/>
            <w:hideMark/>
          </w:tcPr>
          <w:p w14:paraId="178AB6D3"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3.38</w:t>
            </w:r>
          </w:p>
        </w:tc>
        <w:tc>
          <w:tcPr>
            <w:tcW w:w="1701" w:type="dxa"/>
            <w:tcBorders>
              <w:top w:val="nil"/>
              <w:left w:val="nil"/>
              <w:bottom w:val="nil"/>
              <w:right w:val="nil"/>
            </w:tcBorders>
            <w:shd w:val="clear" w:color="auto" w:fill="auto"/>
            <w:noWrap/>
            <w:vAlign w:val="bottom"/>
            <w:hideMark/>
          </w:tcPr>
          <w:p w14:paraId="3F9467E3"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10.17 (10.67)</w:t>
            </w:r>
          </w:p>
        </w:tc>
        <w:tc>
          <w:tcPr>
            <w:tcW w:w="851" w:type="dxa"/>
            <w:tcBorders>
              <w:top w:val="nil"/>
              <w:left w:val="nil"/>
              <w:bottom w:val="nil"/>
              <w:right w:val="single" w:sz="4" w:space="0" w:color="auto"/>
            </w:tcBorders>
            <w:shd w:val="clear" w:color="auto" w:fill="auto"/>
            <w:noWrap/>
            <w:vAlign w:val="bottom"/>
            <w:hideMark/>
          </w:tcPr>
          <w:p w14:paraId="3B6241E3"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5.29</w:t>
            </w:r>
          </w:p>
        </w:tc>
        <w:tc>
          <w:tcPr>
            <w:tcW w:w="1417" w:type="dxa"/>
            <w:tcBorders>
              <w:top w:val="nil"/>
              <w:left w:val="nil"/>
              <w:bottom w:val="nil"/>
              <w:right w:val="nil"/>
            </w:tcBorders>
            <w:shd w:val="clear" w:color="auto" w:fill="auto"/>
            <w:noWrap/>
            <w:vAlign w:val="bottom"/>
            <w:hideMark/>
          </w:tcPr>
          <w:p w14:paraId="438673D0"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9.58 (9.85)</w:t>
            </w:r>
          </w:p>
        </w:tc>
        <w:tc>
          <w:tcPr>
            <w:tcW w:w="1079" w:type="dxa"/>
            <w:tcBorders>
              <w:top w:val="nil"/>
              <w:left w:val="nil"/>
              <w:bottom w:val="nil"/>
            </w:tcBorders>
            <w:shd w:val="clear" w:color="auto" w:fill="auto"/>
            <w:noWrap/>
            <w:vAlign w:val="bottom"/>
            <w:hideMark/>
          </w:tcPr>
          <w:p w14:paraId="1815BDF1"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3.34</w:t>
            </w:r>
          </w:p>
        </w:tc>
      </w:tr>
      <w:tr w:rsidR="00E97161" w:rsidRPr="00E97161" w14:paraId="6164736A" w14:textId="77777777" w:rsidTr="009C7325">
        <w:trPr>
          <w:trHeight w:val="300"/>
          <w:jc w:val="center"/>
        </w:trPr>
        <w:tc>
          <w:tcPr>
            <w:tcW w:w="1200" w:type="dxa"/>
            <w:tcBorders>
              <w:top w:val="nil"/>
              <w:left w:val="nil"/>
              <w:bottom w:val="nil"/>
              <w:right w:val="single" w:sz="4" w:space="0" w:color="auto"/>
            </w:tcBorders>
            <w:shd w:val="clear" w:color="auto" w:fill="auto"/>
            <w:noWrap/>
            <w:vAlign w:val="bottom"/>
            <w:hideMark/>
          </w:tcPr>
          <w:p w14:paraId="379D3FD9"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T4L</w:t>
            </w:r>
          </w:p>
        </w:tc>
        <w:tc>
          <w:tcPr>
            <w:tcW w:w="1530" w:type="dxa"/>
            <w:tcBorders>
              <w:top w:val="nil"/>
              <w:left w:val="nil"/>
              <w:bottom w:val="nil"/>
              <w:right w:val="nil"/>
            </w:tcBorders>
            <w:shd w:val="clear" w:color="auto" w:fill="auto"/>
            <w:noWrap/>
            <w:vAlign w:val="bottom"/>
            <w:hideMark/>
          </w:tcPr>
          <w:p w14:paraId="26A73A7B"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15.39</w:t>
            </w:r>
          </w:p>
        </w:tc>
        <w:tc>
          <w:tcPr>
            <w:tcW w:w="687" w:type="dxa"/>
            <w:tcBorders>
              <w:top w:val="nil"/>
              <w:left w:val="nil"/>
              <w:bottom w:val="nil"/>
              <w:right w:val="single" w:sz="4" w:space="0" w:color="auto"/>
            </w:tcBorders>
            <w:shd w:val="clear" w:color="auto" w:fill="auto"/>
            <w:noWrap/>
            <w:vAlign w:val="bottom"/>
            <w:hideMark/>
          </w:tcPr>
          <w:p w14:paraId="787B4192"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2.64</w:t>
            </w:r>
          </w:p>
        </w:tc>
        <w:tc>
          <w:tcPr>
            <w:tcW w:w="1701" w:type="dxa"/>
            <w:tcBorders>
              <w:top w:val="nil"/>
              <w:left w:val="nil"/>
              <w:bottom w:val="nil"/>
              <w:right w:val="nil"/>
            </w:tcBorders>
            <w:shd w:val="clear" w:color="auto" w:fill="auto"/>
            <w:noWrap/>
            <w:vAlign w:val="bottom"/>
            <w:hideMark/>
          </w:tcPr>
          <w:p w14:paraId="2B8F636B"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8.49 (8.89)</w:t>
            </w:r>
          </w:p>
        </w:tc>
        <w:tc>
          <w:tcPr>
            <w:tcW w:w="851" w:type="dxa"/>
            <w:tcBorders>
              <w:top w:val="nil"/>
              <w:left w:val="nil"/>
              <w:bottom w:val="nil"/>
              <w:right w:val="single" w:sz="4" w:space="0" w:color="auto"/>
            </w:tcBorders>
            <w:shd w:val="clear" w:color="auto" w:fill="auto"/>
            <w:noWrap/>
            <w:vAlign w:val="bottom"/>
            <w:hideMark/>
          </w:tcPr>
          <w:p w14:paraId="36E5D092"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3.11</w:t>
            </w:r>
          </w:p>
        </w:tc>
        <w:tc>
          <w:tcPr>
            <w:tcW w:w="1417" w:type="dxa"/>
            <w:tcBorders>
              <w:top w:val="nil"/>
              <w:left w:val="nil"/>
              <w:bottom w:val="nil"/>
              <w:right w:val="nil"/>
            </w:tcBorders>
            <w:shd w:val="clear" w:color="auto" w:fill="auto"/>
            <w:noWrap/>
            <w:vAlign w:val="bottom"/>
            <w:hideMark/>
          </w:tcPr>
          <w:p w14:paraId="297F3C92"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6.90 (7.11)</w:t>
            </w:r>
          </w:p>
        </w:tc>
        <w:tc>
          <w:tcPr>
            <w:tcW w:w="1079" w:type="dxa"/>
            <w:tcBorders>
              <w:top w:val="nil"/>
              <w:left w:val="nil"/>
              <w:bottom w:val="nil"/>
            </w:tcBorders>
            <w:shd w:val="clear" w:color="auto" w:fill="auto"/>
            <w:noWrap/>
            <w:vAlign w:val="bottom"/>
            <w:hideMark/>
          </w:tcPr>
          <w:p w14:paraId="1143641D"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1.62</w:t>
            </w:r>
          </w:p>
        </w:tc>
      </w:tr>
      <w:tr w:rsidR="00E97161" w:rsidRPr="00E97161" w14:paraId="433542F1" w14:textId="77777777" w:rsidTr="009C7325">
        <w:trPr>
          <w:trHeight w:val="300"/>
          <w:jc w:val="center"/>
        </w:trPr>
        <w:tc>
          <w:tcPr>
            <w:tcW w:w="1200" w:type="dxa"/>
            <w:tcBorders>
              <w:top w:val="nil"/>
              <w:left w:val="nil"/>
              <w:bottom w:val="nil"/>
              <w:right w:val="single" w:sz="4" w:space="0" w:color="auto"/>
            </w:tcBorders>
            <w:shd w:val="clear" w:color="auto" w:fill="auto"/>
            <w:noWrap/>
            <w:vAlign w:val="bottom"/>
            <w:hideMark/>
          </w:tcPr>
          <w:p w14:paraId="65ACA344"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T8L</w:t>
            </w:r>
          </w:p>
        </w:tc>
        <w:tc>
          <w:tcPr>
            <w:tcW w:w="1530" w:type="dxa"/>
            <w:tcBorders>
              <w:top w:val="nil"/>
              <w:left w:val="nil"/>
              <w:bottom w:val="nil"/>
              <w:right w:val="nil"/>
            </w:tcBorders>
            <w:shd w:val="clear" w:color="auto" w:fill="auto"/>
            <w:noWrap/>
            <w:vAlign w:val="bottom"/>
            <w:hideMark/>
          </w:tcPr>
          <w:p w14:paraId="2B0047EA"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15.75</w:t>
            </w:r>
          </w:p>
        </w:tc>
        <w:tc>
          <w:tcPr>
            <w:tcW w:w="687" w:type="dxa"/>
            <w:tcBorders>
              <w:top w:val="nil"/>
              <w:left w:val="nil"/>
              <w:bottom w:val="nil"/>
              <w:right w:val="single" w:sz="4" w:space="0" w:color="auto"/>
            </w:tcBorders>
            <w:shd w:val="clear" w:color="auto" w:fill="auto"/>
            <w:noWrap/>
            <w:vAlign w:val="bottom"/>
            <w:hideMark/>
          </w:tcPr>
          <w:p w14:paraId="44D3982D"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1.72</w:t>
            </w:r>
          </w:p>
        </w:tc>
        <w:tc>
          <w:tcPr>
            <w:tcW w:w="1701" w:type="dxa"/>
            <w:tcBorders>
              <w:top w:val="nil"/>
              <w:left w:val="nil"/>
              <w:bottom w:val="nil"/>
              <w:right w:val="nil"/>
            </w:tcBorders>
            <w:shd w:val="clear" w:color="auto" w:fill="auto"/>
            <w:noWrap/>
            <w:vAlign w:val="bottom"/>
            <w:hideMark/>
          </w:tcPr>
          <w:p w14:paraId="0481CAB9"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8.79 (8.89)</w:t>
            </w:r>
          </w:p>
        </w:tc>
        <w:tc>
          <w:tcPr>
            <w:tcW w:w="851" w:type="dxa"/>
            <w:tcBorders>
              <w:top w:val="nil"/>
              <w:left w:val="nil"/>
              <w:bottom w:val="nil"/>
              <w:right w:val="single" w:sz="4" w:space="0" w:color="auto"/>
            </w:tcBorders>
            <w:shd w:val="clear" w:color="auto" w:fill="auto"/>
            <w:noWrap/>
            <w:vAlign w:val="bottom"/>
            <w:hideMark/>
          </w:tcPr>
          <w:p w14:paraId="024ABC8E"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1.90</w:t>
            </w:r>
          </w:p>
        </w:tc>
        <w:tc>
          <w:tcPr>
            <w:tcW w:w="1417" w:type="dxa"/>
            <w:tcBorders>
              <w:top w:val="nil"/>
              <w:left w:val="nil"/>
              <w:bottom w:val="nil"/>
              <w:right w:val="nil"/>
            </w:tcBorders>
            <w:shd w:val="clear" w:color="auto" w:fill="auto"/>
            <w:noWrap/>
            <w:vAlign w:val="bottom"/>
            <w:hideMark/>
          </w:tcPr>
          <w:p w14:paraId="0830408C"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6.95 (7.11)</w:t>
            </w:r>
          </w:p>
        </w:tc>
        <w:tc>
          <w:tcPr>
            <w:tcW w:w="1079" w:type="dxa"/>
            <w:tcBorders>
              <w:top w:val="nil"/>
              <w:left w:val="nil"/>
              <w:bottom w:val="nil"/>
            </w:tcBorders>
            <w:shd w:val="clear" w:color="auto" w:fill="auto"/>
            <w:noWrap/>
            <w:vAlign w:val="bottom"/>
            <w:hideMark/>
          </w:tcPr>
          <w:p w14:paraId="3E28EDBD"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0.96</w:t>
            </w:r>
          </w:p>
        </w:tc>
      </w:tr>
      <w:tr w:rsidR="00E97161" w:rsidRPr="00E97161" w14:paraId="4B8DBA22" w14:textId="77777777" w:rsidTr="009C7325">
        <w:trPr>
          <w:trHeight w:val="165"/>
          <w:jc w:val="center"/>
        </w:trPr>
        <w:tc>
          <w:tcPr>
            <w:tcW w:w="1200" w:type="dxa"/>
            <w:tcBorders>
              <w:top w:val="nil"/>
              <w:left w:val="nil"/>
              <w:bottom w:val="nil"/>
              <w:right w:val="single" w:sz="4" w:space="0" w:color="auto"/>
            </w:tcBorders>
            <w:shd w:val="clear" w:color="auto" w:fill="auto"/>
            <w:noWrap/>
            <w:vAlign w:val="bottom"/>
            <w:hideMark/>
          </w:tcPr>
          <w:p w14:paraId="6D55F98E"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 </w:t>
            </w:r>
          </w:p>
        </w:tc>
        <w:tc>
          <w:tcPr>
            <w:tcW w:w="1530" w:type="dxa"/>
            <w:tcBorders>
              <w:top w:val="nil"/>
              <w:left w:val="nil"/>
              <w:bottom w:val="nil"/>
              <w:right w:val="nil"/>
            </w:tcBorders>
            <w:shd w:val="clear" w:color="auto" w:fill="auto"/>
            <w:noWrap/>
            <w:vAlign w:val="bottom"/>
            <w:hideMark/>
          </w:tcPr>
          <w:p w14:paraId="1653ACE8" w14:textId="77777777" w:rsidR="00E97161" w:rsidRPr="00E97161" w:rsidRDefault="00E97161" w:rsidP="00E97161">
            <w:pPr>
              <w:jc w:val="center"/>
              <w:rPr>
                <w:rFonts w:ascii="Calibri" w:eastAsia="Times New Roman" w:hAnsi="Calibri"/>
                <w:color w:val="000000"/>
                <w:sz w:val="22"/>
                <w:szCs w:val="22"/>
                <w:lang w:val="de-DE" w:eastAsia="de-DE"/>
              </w:rPr>
            </w:pPr>
          </w:p>
        </w:tc>
        <w:tc>
          <w:tcPr>
            <w:tcW w:w="687" w:type="dxa"/>
            <w:tcBorders>
              <w:top w:val="nil"/>
              <w:left w:val="nil"/>
              <w:bottom w:val="nil"/>
              <w:right w:val="single" w:sz="4" w:space="0" w:color="auto"/>
            </w:tcBorders>
            <w:shd w:val="clear" w:color="auto" w:fill="auto"/>
            <w:noWrap/>
            <w:vAlign w:val="bottom"/>
            <w:hideMark/>
          </w:tcPr>
          <w:p w14:paraId="231CFE8C"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 </w:t>
            </w:r>
          </w:p>
        </w:tc>
        <w:tc>
          <w:tcPr>
            <w:tcW w:w="1701" w:type="dxa"/>
            <w:tcBorders>
              <w:top w:val="nil"/>
              <w:left w:val="nil"/>
              <w:bottom w:val="nil"/>
              <w:right w:val="nil"/>
            </w:tcBorders>
            <w:shd w:val="clear" w:color="auto" w:fill="auto"/>
            <w:noWrap/>
            <w:vAlign w:val="bottom"/>
            <w:hideMark/>
          </w:tcPr>
          <w:p w14:paraId="2A5E1887" w14:textId="77777777" w:rsidR="00E97161" w:rsidRPr="00E97161" w:rsidRDefault="00E97161" w:rsidP="00E97161">
            <w:pPr>
              <w:jc w:val="center"/>
              <w:rPr>
                <w:rFonts w:ascii="Calibri" w:eastAsia="Times New Roman" w:hAnsi="Calibri"/>
                <w:color w:val="000000"/>
                <w:sz w:val="22"/>
                <w:szCs w:val="22"/>
                <w:lang w:val="de-DE" w:eastAsia="de-DE"/>
              </w:rPr>
            </w:pPr>
          </w:p>
        </w:tc>
        <w:tc>
          <w:tcPr>
            <w:tcW w:w="851" w:type="dxa"/>
            <w:tcBorders>
              <w:top w:val="nil"/>
              <w:left w:val="nil"/>
              <w:bottom w:val="nil"/>
              <w:right w:val="single" w:sz="4" w:space="0" w:color="auto"/>
            </w:tcBorders>
            <w:shd w:val="clear" w:color="auto" w:fill="auto"/>
            <w:noWrap/>
            <w:vAlign w:val="bottom"/>
            <w:hideMark/>
          </w:tcPr>
          <w:p w14:paraId="76DFBA72"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 </w:t>
            </w:r>
          </w:p>
        </w:tc>
        <w:tc>
          <w:tcPr>
            <w:tcW w:w="1417" w:type="dxa"/>
            <w:tcBorders>
              <w:top w:val="nil"/>
              <w:left w:val="nil"/>
              <w:bottom w:val="nil"/>
              <w:right w:val="nil"/>
            </w:tcBorders>
            <w:shd w:val="clear" w:color="auto" w:fill="auto"/>
            <w:noWrap/>
            <w:vAlign w:val="bottom"/>
            <w:hideMark/>
          </w:tcPr>
          <w:p w14:paraId="0000AB97" w14:textId="77777777" w:rsidR="00E97161" w:rsidRPr="00E97161" w:rsidRDefault="00E97161" w:rsidP="00E97161">
            <w:pPr>
              <w:jc w:val="center"/>
              <w:rPr>
                <w:rFonts w:ascii="Calibri" w:eastAsia="Times New Roman" w:hAnsi="Calibri"/>
                <w:color w:val="000000"/>
                <w:sz w:val="22"/>
                <w:szCs w:val="22"/>
                <w:lang w:val="de-DE" w:eastAsia="de-DE"/>
              </w:rPr>
            </w:pPr>
          </w:p>
        </w:tc>
        <w:tc>
          <w:tcPr>
            <w:tcW w:w="1079" w:type="dxa"/>
            <w:tcBorders>
              <w:top w:val="nil"/>
              <w:left w:val="nil"/>
              <w:bottom w:val="nil"/>
            </w:tcBorders>
            <w:shd w:val="clear" w:color="auto" w:fill="auto"/>
            <w:noWrap/>
            <w:vAlign w:val="bottom"/>
            <w:hideMark/>
          </w:tcPr>
          <w:p w14:paraId="34C38338" w14:textId="77777777" w:rsidR="00E97161" w:rsidRPr="00E97161" w:rsidRDefault="00E97161" w:rsidP="00E97161">
            <w:pPr>
              <w:jc w:val="center"/>
              <w:rPr>
                <w:rFonts w:ascii="Calibri" w:eastAsia="Times New Roman" w:hAnsi="Calibri"/>
                <w:color w:val="000000"/>
                <w:sz w:val="22"/>
                <w:szCs w:val="22"/>
                <w:lang w:val="de-DE" w:eastAsia="de-DE"/>
              </w:rPr>
            </w:pPr>
          </w:p>
        </w:tc>
      </w:tr>
      <w:tr w:rsidR="00E97161" w:rsidRPr="00E97161" w14:paraId="04B8BBE6" w14:textId="77777777" w:rsidTr="009C7325">
        <w:trPr>
          <w:trHeight w:val="300"/>
          <w:jc w:val="center"/>
        </w:trPr>
        <w:tc>
          <w:tcPr>
            <w:tcW w:w="1200" w:type="dxa"/>
            <w:tcBorders>
              <w:top w:val="nil"/>
              <w:left w:val="nil"/>
              <w:bottom w:val="nil"/>
              <w:right w:val="single" w:sz="4" w:space="0" w:color="auto"/>
            </w:tcBorders>
            <w:shd w:val="clear" w:color="auto" w:fill="auto"/>
            <w:noWrap/>
            <w:vAlign w:val="bottom"/>
            <w:hideMark/>
          </w:tcPr>
          <w:p w14:paraId="172A9A39"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T1H</w:t>
            </w:r>
          </w:p>
        </w:tc>
        <w:tc>
          <w:tcPr>
            <w:tcW w:w="1530" w:type="dxa"/>
            <w:tcBorders>
              <w:top w:val="nil"/>
              <w:left w:val="nil"/>
              <w:bottom w:val="nil"/>
              <w:right w:val="nil"/>
            </w:tcBorders>
            <w:shd w:val="clear" w:color="auto" w:fill="auto"/>
            <w:noWrap/>
            <w:vAlign w:val="bottom"/>
            <w:hideMark/>
          </w:tcPr>
          <w:p w14:paraId="586B3773"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17.63</w:t>
            </w:r>
          </w:p>
        </w:tc>
        <w:tc>
          <w:tcPr>
            <w:tcW w:w="687" w:type="dxa"/>
            <w:tcBorders>
              <w:top w:val="nil"/>
              <w:left w:val="nil"/>
              <w:bottom w:val="nil"/>
              <w:right w:val="single" w:sz="4" w:space="0" w:color="auto"/>
            </w:tcBorders>
            <w:shd w:val="clear" w:color="auto" w:fill="auto"/>
            <w:noWrap/>
            <w:vAlign w:val="bottom"/>
            <w:hideMark/>
          </w:tcPr>
          <w:p w14:paraId="243B2034"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4.57</w:t>
            </w:r>
          </w:p>
        </w:tc>
        <w:tc>
          <w:tcPr>
            <w:tcW w:w="1701" w:type="dxa"/>
            <w:tcBorders>
              <w:top w:val="nil"/>
              <w:left w:val="nil"/>
              <w:bottom w:val="nil"/>
              <w:right w:val="nil"/>
            </w:tcBorders>
            <w:shd w:val="clear" w:color="auto" w:fill="auto"/>
            <w:noWrap/>
            <w:vAlign w:val="bottom"/>
            <w:hideMark/>
          </w:tcPr>
          <w:p w14:paraId="0B4F342D"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18.75 (16.00)</w:t>
            </w:r>
          </w:p>
        </w:tc>
        <w:tc>
          <w:tcPr>
            <w:tcW w:w="851" w:type="dxa"/>
            <w:tcBorders>
              <w:top w:val="nil"/>
              <w:left w:val="nil"/>
              <w:bottom w:val="nil"/>
              <w:right w:val="single" w:sz="4" w:space="0" w:color="auto"/>
            </w:tcBorders>
            <w:shd w:val="clear" w:color="auto" w:fill="auto"/>
            <w:noWrap/>
            <w:vAlign w:val="bottom"/>
            <w:hideMark/>
          </w:tcPr>
          <w:p w14:paraId="7891482F"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5.24</w:t>
            </w:r>
          </w:p>
        </w:tc>
        <w:tc>
          <w:tcPr>
            <w:tcW w:w="1417" w:type="dxa"/>
            <w:tcBorders>
              <w:top w:val="nil"/>
              <w:left w:val="nil"/>
              <w:bottom w:val="nil"/>
              <w:right w:val="nil"/>
            </w:tcBorders>
            <w:shd w:val="clear" w:color="auto" w:fill="auto"/>
            <w:noWrap/>
            <w:vAlign w:val="bottom"/>
            <w:hideMark/>
          </w:tcPr>
          <w:p w14:paraId="788B28DC"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15.39 (16.00)</w:t>
            </w:r>
          </w:p>
        </w:tc>
        <w:tc>
          <w:tcPr>
            <w:tcW w:w="1079" w:type="dxa"/>
            <w:tcBorders>
              <w:top w:val="nil"/>
              <w:left w:val="nil"/>
              <w:bottom w:val="nil"/>
            </w:tcBorders>
            <w:shd w:val="clear" w:color="auto" w:fill="auto"/>
            <w:noWrap/>
            <w:vAlign w:val="bottom"/>
            <w:hideMark/>
          </w:tcPr>
          <w:p w14:paraId="0DAB6E72"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0.57</w:t>
            </w:r>
          </w:p>
        </w:tc>
      </w:tr>
      <w:tr w:rsidR="00E97161" w:rsidRPr="00E97161" w14:paraId="4E981DAF" w14:textId="77777777" w:rsidTr="009C7325">
        <w:trPr>
          <w:trHeight w:val="300"/>
          <w:jc w:val="center"/>
        </w:trPr>
        <w:tc>
          <w:tcPr>
            <w:tcW w:w="1200" w:type="dxa"/>
            <w:tcBorders>
              <w:top w:val="nil"/>
              <w:left w:val="nil"/>
              <w:bottom w:val="nil"/>
              <w:right w:val="single" w:sz="4" w:space="0" w:color="auto"/>
            </w:tcBorders>
            <w:shd w:val="clear" w:color="auto" w:fill="auto"/>
            <w:noWrap/>
            <w:vAlign w:val="bottom"/>
            <w:hideMark/>
          </w:tcPr>
          <w:p w14:paraId="3E0D07AC"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T2H</w:t>
            </w:r>
          </w:p>
        </w:tc>
        <w:tc>
          <w:tcPr>
            <w:tcW w:w="1530" w:type="dxa"/>
            <w:tcBorders>
              <w:top w:val="nil"/>
              <w:left w:val="nil"/>
              <w:bottom w:val="nil"/>
              <w:right w:val="nil"/>
            </w:tcBorders>
            <w:shd w:val="clear" w:color="auto" w:fill="auto"/>
            <w:noWrap/>
            <w:vAlign w:val="bottom"/>
            <w:hideMark/>
          </w:tcPr>
          <w:p w14:paraId="14EC3644"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15.46</w:t>
            </w:r>
          </w:p>
        </w:tc>
        <w:tc>
          <w:tcPr>
            <w:tcW w:w="687" w:type="dxa"/>
            <w:tcBorders>
              <w:top w:val="nil"/>
              <w:left w:val="nil"/>
              <w:bottom w:val="nil"/>
              <w:right w:val="single" w:sz="4" w:space="0" w:color="auto"/>
            </w:tcBorders>
            <w:shd w:val="clear" w:color="auto" w:fill="auto"/>
            <w:noWrap/>
            <w:vAlign w:val="bottom"/>
            <w:hideMark/>
          </w:tcPr>
          <w:p w14:paraId="44EA8DF1"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3.38</w:t>
            </w:r>
          </w:p>
        </w:tc>
        <w:tc>
          <w:tcPr>
            <w:tcW w:w="1701" w:type="dxa"/>
            <w:tcBorders>
              <w:top w:val="nil"/>
              <w:left w:val="nil"/>
              <w:bottom w:val="nil"/>
              <w:right w:val="nil"/>
            </w:tcBorders>
            <w:shd w:val="clear" w:color="auto" w:fill="auto"/>
            <w:noWrap/>
            <w:vAlign w:val="bottom"/>
            <w:hideMark/>
          </w:tcPr>
          <w:p w14:paraId="75543C13"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10.96 (10.67)</w:t>
            </w:r>
          </w:p>
        </w:tc>
        <w:tc>
          <w:tcPr>
            <w:tcW w:w="851" w:type="dxa"/>
            <w:tcBorders>
              <w:top w:val="nil"/>
              <w:left w:val="nil"/>
              <w:bottom w:val="nil"/>
              <w:right w:val="single" w:sz="4" w:space="0" w:color="auto"/>
            </w:tcBorders>
            <w:shd w:val="clear" w:color="auto" w:fill="auto"/>
            <w:noWrap/>
            <w:vAlign w:val="bottom"/>
            <w:hideMark/>
          </w:tcPr>
          <w:p w14:paraId="3B91A9D3"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5.19</w:t>
            </w:r>
          </w:p>
        </w:tc>
        <w:tc>
          <w:tcPr>
            <w:tcW w:w="1417" w:type="dxa"/>
            <w:tcBorders>
              <w:top w:val="nil"/>
              <w:left w:val="nil"/>
              <w:bottom w:val="nil"/>
              <w:right w:val="nil"/>
            </w:tcBorders>
            <w:shd w:val="clear" w:color="auto" w:fill="auto"/>
            <w:noWrap/>
            <w:vAlign w:val="bottom"/>
            <w:hideMark/>
          </w:tcPr>
          <w:p w14:paraId="5E2CE67B"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8.76 (9.85)</w:t>
            </w:r>
          </w:p>
        </w:tc>
        <w:tc>
          <w:tcPr>
            <w:tcW w:w="1079" w:type="dxa"/>
            <w:tcBorders>
              <w:top w:val="nil"/>
              <w:left w:val="nil"/>
              <w:bottom w:val="nil"/>
            </w:tcBorders>
            <w:shd w:val="clear" w:color="auto" w:fill="auto"/>
            <w:noWrap/>
            <w:vAlign w:val="bottom"/>
            <w:hideMark/>
          </w:tcPr>
          <w:p w14:paraId="7B92ECEC"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3.16</w:t>
            </w:r>
          </w:p>
        </w:tc>
      </w:tr>
      <w:tr w:rsidR="00E97161" w:rsidRPr="00E97161" w14:paraId="54F35F70" w14:textId="77777777" w:rsidTr="009C7325">
        <w:trPr>
          <w:trHeight w:val="300"/>
          <w:jc w:val="center"/>
        </w:trPr>
        <w:tc>
          <w:tcPr>
            <w:tcW w:w="1200" w:type="dxa"/>
            <w:tcBorders>
              <w:top w:val="nil"/>
              <w:left w:val="nil"/>
              <w:right w:val="single" w:sz="4" w:space="0" w:color="auto"/>
            </w:tcBorders>
            <w:shd w:val="clear" w:color="auto" w:fill="auto"/>
            <w:noWrap/>
            <w:vAlign w:val="bottom"/>
            <w:hideMark/>
          </w:tcPr>
          <w:p w14:paraId="3CB79778"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T4H</w:t>
            </w:r>
          </w:p>
        </w:tc>
        <w:tc>
          <w:tcPr>
            <w:tcW w:w="1530" w:type="dxa"/>
            <w:tcBorders>
              <w:top w:val="nil"/>
              <w:left w:val="nil"/>
              <w:right w:val="nil"/>
            </w:tcBorders>
            <w:shd w:val="clear" w:color="auto" w:fill="auto"/>
            <w:noWrap/>
            <w:vAlign w:val="bottom"/>
            <w:hideMark/>
          </w:tcPr>
          <w:p w14:paraId="6A3AA8B7"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16.57</w:t>
            </w:r>
          </w:p>
        </w:tc>
        <w:tc>
          <w:tcPr>
            <w:tcW w:w="687" w:type="dxa"/>
            <w:tcBorders>
              <w:top w:val="nil"/>
              <w:left w:val="nil"/>
              <w:right w:val="single" w:sz="4" w:space="0" w:color="auto"/>
            </w:tcBorders>
            <w:shd w:val="clear" w:color="auto" w:fill="auto"/>
            <w:noWrap/>
            <w:vAlign w:val="bottom"/>
            <w:hideMark/>
          </w:tcPr>
          <w:p w14:paraId="67675151"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3.22</w:t>
            </w:r>
          </w:p>
        </w:tc>
        <w:tc>
          <w:tcPr>
            <w:tcW w:w="1701" w:type="dxa"/>
            <w:tcBorders>
              <w:top w:val="nil"/>
              <w:left w:val="nil"/>
              <w:right w:val="nil"/>
            </w:tcBorders>
            <w:shd w:val="clear" w:color="auto" w:fill="auto"/>
            <w:noWrap/>
            <w:vAlign w:val="bottom"/>
            <w:hideMark/>
          </w:tcPr>
          <w:p w14:paraId="01A76C4B"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9.87 (8.89)</w:t>
            </w:r>
          </w:p>
        </w:tc>
        <w:tc>
          <w:tcPr>
            <w:tcW w:w="851" w:type="dxa"/>
            <w:tcBorders>
              <w:top w:val="nil"/>
              <w:left w:val="nil"/>
              <w:right w:val="single" w:sz="4" w:space="0" w:color="auto"/>
            </w:tcBorders>
            <w:shd w:val="clear" w:color="auto" w:fill="auto"/>
            <w:noWrap/>
            <w:vAlign w:val="bottom"/>
            <w:hideMark/>
          </w:tcPr>
          <w:p w14:paraId="0EF220E3"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3.97</w:t>
            </w:r>
          </w:p>
        </w:tc>
        <w:tc>
          <w:tcPr>
            <w:tcW w:w="1417" w:type="dxa"/>
            <w:tcBorders>
              <w:top w:val="nil"/>
              <w:left w:val="nil"/>
              <w:right w:val="nil"/>
            </w:tcBorders>
            <w:shd w:val="clear" w:color="auto" w:fill="auto"/>
            <w:noWrap/>
            <w:vAlign w:val="bottom"/>
            <w:hideMark/>
          </w:tcPr>
          <w:p w14:paraId="79E45B4F"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6.70 (7.11)</w:t>
            </w:r>
          </w:p>
        </w:tc>
        <w:tc>
          <w:tcPr>
            <w:tcW w:w="1079" w:type="dxa"/>
            <w:tcBorders>
              <w:top w:val="nil"/>
              <w:left w:val="nil"/>
            </w:tcBorders>
            <w:shd w:val="clear" w:color="auto" w:fill="auto"/>
            <w:noWrap/>
            <w:vAlign w:val="bottom"/>
            <w:hideMark/>
          </w:tcPr>
          <w:p w14:paraId="488FEFE7"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1.71</w:t>
            </w:r>
          </w:p>
        </w:tc>
      </w:tr>
      <w:tr w:rsidR="00E97161" w:rsidRPr="00E97161" w14:paraId="3E470C6A" w14:textId="77777777" w:rsidTr="009C7325">
        <w:trPr>
          <w:trHeight w:val="300"/>
          <w:jc w:val="center"/>
        </w:trPr>
        <w:tc>
          <w:tcPr>
            <w:tcW w:w="1200" w:type="dxa"/>
            <w:tcBorders>
              <w:top w:val="nil"/>
              <w:left w:val="nil"/>
              <w:bottom w:val="double" w:sz="6" w:space="0" w:color="auto"/>
              <w:right w:val="single" w:sz="4" w:space="0" w:color="auto"/>
            </w:tcBorders>
            <w:shd w:val="clear" w:color="auto" w:fill="auto"/>
            <w:noWrap/>
            <w:vAlign w:val="bottom"/>
            <w:hideMark/>
          </w:tcPr>
          <w:p w14:paraId="17A12275"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T8H</w:t>
            </w:r>
          </w:p>
        </w:tc>
        <w:tc>
          <w:tcPr>
            <w:tcW w:w="1530" w:type="dxa"/>
            <w:tcBorders>
              <w:top w:val="nil"/>
              <w:left w:val="single" w:sz="4" w:space="0" w:color="auto"/>
              <w:bottom w:val="double" w:sz="6" w:space="0" w:color="auto"/>
            </w:tcBorders>
            <w:shd w:val="clear" w:color="auto" w:fill="auto"/>
            <w:noWrap/>
            <w:vAlign w:val="bottom"/>
            <w:hideMark/>
          </w:tcPr>
          <w:p w14:paraId="1BB3A305"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15.52</w:t>
            </w:r>
          </w:p>
        </w:tc>
        <w:tc>
          <w:tcPr>
            <w:tcW w:w="687" w:type="dxa"/>
            <w:tcBorders>
              <w:top w:val="nil"/>
              <w:bottom w:val="double" w:sz="6" w:space="0" w:color="auto"/>
              <w:right w:val="single" w:sz="4" w:space="0" w:color="auto"/>
            </w:tcBorders>
            <w:shd w:val="clear" w:color="auto" w:fill="auto"/>
            <w:noWrap/>
            <w:vAlign w:val="bottom"/>
            <w:hideMark/>
          </w:tcPr>
          <w:p w14:paraId="5581B95A"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2.33</w:t>
            </w:r>
          </w:p>
        </w:tc>
        <w:tc>
          <w:tcPr>
            <w:tcW w:w="1701" w:type="dxa"/>
            <w:tcBorders>
              <w:top w:val="nil"/>
              <w:left w:val="single" w:sz="4" w:space="0" w:color="auto"/>
              <w:bottom w:val="double" w:sz="6" w:space="0" w:color="auto"/>
            </w:tcBorders>
            <w:shd w:val="clear" w:color="auto" w:fill="auto"/>
            <w:noWrap/>
            <w:vAlign w:val="bottom"/>
            <w:hideMark/>
          </w:tcPr>
          <w:p w14:paraId="6CB096EC"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9.36 (8.89)</w:t>
            </w:r>
          </w:p>
        </w:tc>
        <w:tc>
          <w:tcPr>
            <w:tcW w:w="851" w:type="dxa"/>
            <w:tcBorders>
              <w:top w:val="nil"/>
              <w:bottom w:val="double" w:sz="6" w:space="0" w:color="auto"/>
              <w:right w:val="single" w:sz="4" w:space="0" w:color="auto"/>
            </w:tcBorders>
            <w:shd w:val="clear" w:color="auto" w:fill="auto"/>
            <w:noWrap/>
            <w:vAlign w:val="bottom"/>
            <w:hideMark/>
          </w:tcPr>
          <w:p w14:paraId="4D9AC4C9"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2.37</w:t>
            </w:r>
          </w:p>
        </w:tc>
        <w:tc>
          <w:tcPr>
            <w:tcW w:w="1417" w:type="dxa"/>
            <w:tcBorders>
              <w:top w:val="nil"/>
              <w:left w:val="single" w:sz="4" w:space="0" w:color="auto"/>
              <w:bottom w:val="double" w:sz="6" w:space="0" w:color="auto"/>
            </w:tcBorders>
            <w:shd w:val="clear" w:color="auto" w:fill="auto"/>
            <w:noWrap/>
            <w:vAlign w:val="bottom"/>
            <w:hideMark/>
          </w:tcPr>
          <w:p w14:paraId="457C1FF9"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6.16 (7.11)</w:t>
            </w:r>
          </w:p>
        </w:tc>
        <w:tc>
          <w:tcPr>
            <w:tcW w:w="1079" w:type="dxa"/>
            <w:tcBorders>
              <w:top w:val="nil"/>
              <w:bottom w:val="double" w:sz="6" w:space="0" w:color="auto"/>
            </w:tcBorders>
            <w:shd w:val="clear" w:color="auto" w:fill="auto"/>
            <w:noWrap/>
            <w:vAlign w:val="bottom"/>
            <w:hideMark/>
          </w:tcPr>
          <w:p w14:paraId="45E35BD6" w14:textId="77777777" w:rsidR="00E97161" w:rsidRPr="00E97161" w:rsidRDefault="00E97161" w:rsidP="00E97161">
            <w:pPr>
              <w:jc w:val="center"/>
              <w:rPr>
                <w:rFonts w:ascii="Calibri" w:eastAsia="Times New Roman" w:hAnsi="Calibri"/>
                <w:color w:val="000000"/>
                <w:sz w:val="22"/>
                <w:szCs w:val="22"/>
                <w:lang w:val="de-DE" w:eastAsia="de-DE"/>
              </w:rPr>
            </w:pPr>
            <w:r w:rsidRPr="00E97161">
              <w:rPr>
                <w:rFonts w:ascii="Calibri" w:eastAsia="Times New Roman" w:hAnsi="Calibri"/>
                <w:color w:val="000000"/>
                <w:sz w:val="22"/>
                <w:szCs w:val="22"/>
                <w:lang w:val="de-DE" w:eastAsia="de-DE"/>
              </w:rPr>
              <w:t>1.35</w:t>
            </w:r>
          </w:p>
        </w:tc>
      </w:tr>
    </w:tbl>
    <w:p w14:paraId="46B41905" w14:textId="77777777" w:rsidR="00E97161" w:rsidRPr="009C7325" w:rsidRDefault="00E97161" w:rsidP="009C7325">
      <w:pPr>
        <w:pStyle w:val="Numberedlistitemspaced"/>
        <w:numPr>
          <w:ilvl w:val="0"/>
          <w:numId w:val="0"/>
        </w:numPr>
        <w:ind w:left="284"/>
        <w:rPr>
          <w:rFonts w:ascii="Times New Roman" w:hAnsi="Times New Roman"/>
          <w:lang w:eastAsia="ja-JP"/>
        </w:rPr>
      </w:pPr>
      <w:r w:rsidRPr="009C7325">
        <w:rPr>
          <w:rFonts w:ascii="Times New Roman" w:hAnsi="Times New Roman"/>
          <w:lang w:eastAsia="ja-JP"/>
        </w:rPr>
        <w:t>Notes: The numbers in parenthesis indicate the average number of periods subjects had that role in the corr</w:t>
      </w:r>
      <w:r w:rsidRPr="009C7325">
        <w:rPr>
          <w:rFonts w:ascii="Times New Roman" w:hAnsi="Times New Roman"/>
          <w:lang w:eastAsia="ja-JP"/>
        </w:rPr>
        <w:t>e</w:t>
      </w:r>
      <w:r w:rsidRPr="009C7325">
        <w:rPr>
          <w:rFonts w:ascii="Times New Roman" w:hAnsi="Times New Roman"/>
          <w:lang w:eastAsia="ja-JP"/>
        </w:rPr>
        <w:t>sponding treatment.</w:t>
      </w:r>
    </w:p>
    <w:p w14:paraId="0630BED8" w14:textId="0B98D0FF" w:rsidR="00E97161" w:rsidRDefault="00E97161" w:rsidP="00E97161">
      <w:pPr>
        <w:pStyle w:val="Numberedlistitemspaced"/>
        <w:numPr>
          <w:ilvl w:val="0"/>
          <w:numId w:val="0"/>
        </w:numPr>
        <w:spacing w:line="360" w:lineRule="auto"/>
        <w:ind w:left="360" w:hanging="360"/>
        <w:rPr>
          <w:rFonts w:ascii="Times New Roman" w:hAnsi="Times New Roman"/>
          <w:sz w:val="24"/>
          <w:szCs w:val="24"/>
          <w:lang w:eastAsia="ja-JP"/>
        </w:rPr>
      </w:pPr>
    </w:p>
    <w:p w14:paraId="00967360" w14:textId="41DA57C4" w:rsidR="004B2991" w:rsidRDefault="004B2991">
      <w:pPr>
        <w:rPr>
          <w:sz w:val="24"/>
          <w:szCs w:val="24"/>
          <w:lang w:eastAsia="ja-JP"/>
        </w:rPr>
      </w:pPr>
      <w:r>
        <w:rPr>
          <w:sz w:val="24"/>
          <w:szCs w:val="24"/>
          <w:lang w:eastAsia="ja-JP"/>
        </w:rPr>
        <w:br w:type="page"/>
      </w:r>
    </w:p>
    <w:p w14:paraId="4CA8E098" w14:textId="2719260D" w:rsidR="004B2991" w:rsidRDefault="004B2991" w:rsidP="004B2991">
      <w:pPr>
        <w:pStyle w:val="Numberedlistitemspaced"/>
        <w:numPr>
          <w:ilvl w:val="0"/>
          <w:numId w:val="0"/>
        </w:numPr>
        <w:spacing w:line="360" w:lineRule="auto"/>
        <w:ind w:left="284" w:hanging="284"/>
        <w:rPr>
          <w:rFonts w:ascii="Times New Roman" w:hAnsi="Times New Roman"/>
          <w:b/>
          <w:sz w:val="24"/>
          <w:szCs w:val="24"/>
          <w:lang w:eastAsia="ja-JP"/>
        </w:rPr>
      </w:pPr>
      <w:r w:rsidRPr="004250FA">
        <w:rPr>
          <w:rFonts w:ascii="Times New Roman" w:hAnsi="Times New Roman"/>
          <w:b/>
          <w:sz w:val="24"/>
          <w:szCs w:val="24"/>
          <w:lang w:eastAsia="ja-JP"/>
        </w:rPr>
        <w:lastRenderedPageBreak/>
        <w:t xml:space="preserve">Appendix </w:t>
      </w:r>
      <w:r>
        <w:rPr>
          <w:rFonts w:ascii="Times New Roman" w:hAnsi="Times New Roman"/>
          <w:b/>
          <w:sz w:val="24"/>
          <w:szCs w:val="24"/>
          <w:lang w:eastAsia="ja-JP"/>
        </w:rPr>
        <w:t>D</w:t>
      </w:r>
      <w:r w:rsidRPr="004250FA">
        <w:rPr>
          <w:rFonts w:ascii="Times New Roman" w:hAnsi="Times New Roman"/>
          <w:b/>
          <w:sz w:val="24"/>
          <w:szCs w:val="24"/>
          <w:lang w:eastAsia="ja-JP"/>
        </w:rPr>
        <w:t xml:space="preserve">: </w:t>
      </w:r>
      <w:r>
        <w:rPr>
          <w:rFonts w:ascii="Times New Roman" w:hAnsi="Times New Roman"/>
          <w:b/>
          <w:sz w:val="24"/>
          <w:szCs w:val="24"/>
          <w:lang w:eastAsia="ja-JP"/>
        </w:rPr>
        <w:t>Additional Analyses</w:t>
      </w:r>
    </w:p>
    <w:p w14:paraId="1D035446" w14:textId="30784F05" w:rsidR="004B2991" w:rsidRPr="004B2991" w:rsidRDefault="004B2991" w:rsidP="004B2991">
      <w:pPr>
        <w:spacing w:line="480" w:lineRule="auto"/>
        <w:ind w:firstLine="720"/>
        <w:jc w:val="both"/>
        <w:rPr>
          <w:sz w:val="24"/>
          <w:lang w:eastAsia="ja-JP"/>
        </w:rPr>
      </w:pPr>
      <w:r w:rsidRPr="004B2991">
        <w:rPr>
          <w:sz w:val="24"/>
          <w:lang w:eastAsia="ja-JP"/>
        </w:rPr>
        <w:t>In Appendix</w:t>
      </w:r>
      <w:r w:rsidR="002F1937">
        <w:rPr>
          <w:sz w:val="24"/>
          <w:lang w:eastAsia="ja-JP"/>
        </w:rPr>
        <w:t xml:space="preserve"> D</w:t>
      </w:r>
      <w:r w:rsidRPr="004B2991">
        <w:rPr>
          <w:sz w:val="24"/>
          <w:lang w:eastAsia="ja-JP"/>
        </w:rPr>
        <w:t xml:space="preserve"> we present additional analyses on the </w:t>
      </w:r>
      <w:r>
        <w:rPr>
          <w:sz w:val="24"/>
          <w:lang w:eastAsia="ja-JP"/>
        </w:rPr>
        <w:t>forfeiture rates o</w:t>
      </w:r>
      <w:r w:rsidR="00F423B6">
        <w:rPr>
          <w:sz w:val="24"/>
          <w:lang w:eastAsia="ja-JP"/>
        </w:rPr>
        <w:t>f</w:t>
      </w:r>
      <w:r>
        <w:rPr>
          <w:sz w:val="24"/>
          <w:lang w:eastAsia="ja-JP"/>
        </w:rPr>
        <w:t xml:space="preserve"> assets across ge</w:t>
      </w:r>
      <w:r w:rsidR="00F423B6">
        <w:rPr>
          <w:sz w:val="24"/>
          <w:lang w:eastAsia="ja-JP"/>
        </w:rPr>
        <w:t>nerations (section D.1</w:t>
      </w:r>
      <w:r>
        <w:rPr>
          <w:sz w:val="24"/>
          <w:lang w:eastAsia="ja-JP"/>
        </w:rPr>
        <w:t>.),</w:t>
      </w:r>
      <w:r w:rsidR="00F423B6" w:rsidRPr="00F423B6">
        <w:rPr>
          <w:sz w:val="24"/>
          <w:lang w:eastAsia="ja-JP"/>
        </w:rPr>
        <w:t xml:space="preserve"> </w:t>
      </w:r>
      <w:r w:rsidR="002F1937">
        <w:rPr>
          <w:sz w:val="24"/>
          <w:lang w:eastAsia="ja-JP"/>
        </w:rPr>
        <w:t xml:space="preserve">the </w:t>
      </w:r>
      <w:r w:rsidR="00F423B6" w:rsidRPr="004B2991">
        <w:rPr>
          <w:sz w:val="24"/>
          <w:lang w:eastAsia="ja-JP"/>
        </w:rPr>
        <w:t>concentratio</w:t>
      </w:r>
      <w:r w:rsidR="00F423B6">
        <w:rPr>
          <w:sz w:val="24"/>
          <w:lang w:eastAsia="ja-JP"/>
        </w:rPr>
        <w:t xml:space="preserve">n of stock holdings </w:t>
      </w:r>
      <w:r w:rsidR="002F1937">
        <w:rPr>
          <w:sz w:val="24"/>
          <w:lang w:eastAsia="ja-JP"/>
        </w:rPr>
        <w:t xml:space="preserve">among traders </w:t>
      </w:r>
      <w:r w:rsidR="00F423B6">
        <w:rPr>
          <w:sz w:val="24"/>
          <w:lang w:eastAsia="ja-JP"/>
        </w:rPr>
        <w:t>(section D.2</w:t>
      </w:r>
      <w:r w:rsidR="00F423B6" w:rsidRPr="004B2991">
        <w:rPr>
          <w:sz w:val="24"/>
          <w:lang w:eastAsia="ja-JP"/>
        </w:rPr>
        <w:t>.)</w:t>
      </w:r>
      <w:r w:rsidR="00F423B6">
        <w:rPr>
          <w:sz w:val="24"/>
          <w:lang w:eastAsia="ja-JP"/>
        </w:rPr>
        <w:t xml:space="preserve">, </w:t>
      </w:r>
      <w:r w:rsidR="000A48C3">
        <w:rPr>
          <w:sz w:val="24"/>
          <w:lang w:eastAsia="ja-JP"/>
        </w:rPr>
        <w:t xml:space="preserve">and </w:t>
      </w:r>
      <w:r w:rsidR="002F1937">
        <w:rPr>
          <w:sz w:val="24"/>
          <w:lang w:eastAsia="ja-JP"/>
        </w:rPr>
        <w:t xml:space="preserve">the </w:t>
      </w:r>
      <w:r w:rsidR="00F423B6">
        <w:rPr>
          <w:sz w:val="24"/>
          <w:lang w:eastAsia="ja-JP"/>
        </w:rPr>
        <w:t xml:space="preserve">accuracy of </w:t>
      </w:r>
      <w:r w:rsidR="002F1937">
        <w:rPr>
          <w:sz w:val="24"/>
          <w:lang w:eastAsia="ja-JP"/>
        </w:rPr>
        <w:t>price predictions</w:t>
      </w:r>
      <w:r>
        <w:rPr>
          <w:sz w:val="24"/>
          <w:lang w:eastAsia="ja-JP"/>
        </w:rPr>
        <w:t xml:space="preserve"> (section D.3</w:t>
      </w:r>
      <w:r w:rsidR="00F423B6">
        <w:rPr>
          <w:sz w:val="24"/>
          <w:lang w:eastAsia="ja-JP"/>
        </w:rPr>
        <w:t>.</w:t>
      </w:r>
      <w:r>
        <w:rPr>
          <w:sz w:val="24"/>
          <w:lang w:eastAsia="ja-JP"/>
        </w:rPr>
        <w:t>)</w:t>
      </w:r>
      <w:r w:rsidR="000A48C3">
        <w:rPr>
          <w:sz w:val="24"/>
          <w:lang w:eastAsia="ja-JP"/>
        </w:rPr>
        <w:t>.</w:t>
      </w:r>
    </w:p>
    <w:p w14:paraId="52A02D69" w14:textId="1F9C79E3" w:rsidR="004B2991" w:rsidRPr="004B2991" w:rsidRDefault="004B2991" w:rsidP="004B2991">
      <w:pPr>
        <w:spacing w:line="480" w:lineRule="auto"/>
        <w:ind w:firstLine="720"/>
        <w:jc w:val="both"/>
        <w:rPr>
          <w:sz w:val="24"/>
          <w:lang w:eastAsia="ja-JP"/>
        </w:rPr>
      </w:pPr>
    </w:p>
    <w:p w14:paraId="3921C44F" w14:textId="32F9D156" w:rsidR="004B2991" w:rsidRPr="00F423B6" w:rsidRDefault="004B2991" w:rsidP="00F423B6">
      <w:pPr>
        <w:pStyle w:val="Numberedlistitemspaced"/>
        <w:numPr>
          <w:ilvl w:val="0"/>
          <w:numId w:val="0"/>
        </w:numPr>
        <w:spacing w:line="360" w:lineRule="auto"/>
        <w:ind w:left="360" w:hanging="360"/>
        <w:rPr>
          <w:rFonts w:ascii="Times New Roman" w:hAnsi="Times New Roman"/>
          <w:sz w:val="24"/>
          <w:szCs w:val="24"/>
          <w:lang w:eastAsia="ja-JP"/>
        </w:rPr>
      </w:pPr>
      <w:r>
        <w:rPr>
          <w:rFonts w:ascii="Times New Roman" w:hAnsi="Times New Roman"/>
          <w:sz w:val="24"/>
          <w:szCs w:val="24"/>
          <w:lang w:eastAsia="ja-JP"/>
        </w:rPr>
        <w:t>D.1</w:t>
      </w:r>
      <w:r w:rsidR="00F423B6">
        <w:rPr>
          <w:rFonts w:ascii="Times New Roman" w:hAnsi="Times New Roman"/>
          <w:sz w:val="24"/>
          <w:szCs w:val="24"/>
          <w:lang w:eastAsia="ja-JP"/>
        </w:rPr>
        <w:t>.</w:t>
      </w:r>
      <w:r>
        <w:rPr>
          <w:rFonts w:ascii="Times New Roman" w:hAnsi="Times New Roman"/>
          <w:sz w:val="24"/>
          <w:szCs w:val="24"/>
          <w:lang w:eastAsia="ja-JP"/>
        </w:rPr>
        <w:t xml:space="preserve"> </w:t>
      </w:r>
      <w:r w:rsidRPr="00F423B6">
        <w:rPr>
          <w:rFonts w:ascii="Times New Roman" w:hAnsi="Times New Roman"/>
          <w:sz w:val="24"/>
          <w:szCs w:val="24"/>
          <w:lang w:eastAsia="ja-JP"/>
        </w:rPr>
        <w:t>Forfeiture rates of securities</w:t>
      </w:r>
    </w:p>
    <w:p w14:paraId="0E7C9B98" w14:textId="77777777" w:rsidR="00E97BCB" w:rsidRDefault="00D72318" w:rsidP="00E97BCB">
      <w:pPr>
        <w:spacing w:line="480" w:lineRule="auto"/>
        <w:ind w:firstLine="720"/>
        <w:jc w:val="both"/>
        <w:rPr>
          <w:sz w:val="24"/>
          <w:lang w:eastAsia="ja-JP"/>
        </w:rPr>
      </w:pPr>
      <w:r>
        <w:rPr>
          <w:sz w:val="24"/>
          <w:lang w:eastAsia="ja-JP"/>
        </w:rPr>
        <w:t xml:space="preserve">In designing the experiment, we decided </w:t>
      </w:r>
      <w:r w:rsidR="004B2991">
        <w:rPr>
          <w:sz w:val="24"/>
          <w:lang w:eastAsia="ja-JP"/>
        </w:rPr>
        <w:t xml:space="preserve">that </w:t>
      </w:r>
      <w:r w:rsidR="00391C5E">
        <w:rPr>
          <w:sz w:val="24"/>
          <w:lang w:eastAsia="ja-JP"/>
        </w:rPr>
        <w:t xml:space="preserve">unsold </w:t>
      </w:r>
      <w:r w:rsidR="004B2991">
        <w:rPr>
          <w:sz w:val="24"/>
          <w:lang w:eastAsia="ja-JP"/>
        </w:rPr>
        <w:t xml:space="preserve">securities </w:t>
      </w:r>
      <w:r w:rsidR="00391C5E">
        <w:rPr>
          <w:sz w:val="24"/>
          <w:lang w:eastAsia="ja-JP"/>
        </w:rPr>
        <w:t>in the hands of the e</w:t>
      </w:r>
      <w:r w:rsidR="00391C5E">
        <w:rPr>
          <w:sz w:val="24"/>
          <w:lang w:eastAsia="ja-JP"/>
        </w:rPr>
        <w:t>x</w:t>
      </w:r>
      <w:r w:rsidR="00391C5E">
        <w:rPr>
          <w:sz w:val="24"/>
          <w:lang w:eastAsia="ja-JP"/>
        </w:rPr>
        <w:t xml:space="preserve">iting </w:t>
      </w:r>
      <w:r w:rsidR="004B2991">
        <w:rPr>
          <w:sz w:val="24"/>
          <w:lang w:eastAsia="ja-JP"/>
        </w:rPr>
        <w:t xml:space="preserve">generation were </w:t>
      </w:r>
      <w:r w:rsidR="00391C5E">
        <w:rPr>
          <w:sz w:val="24"/>
          <w:lang w:eastAsia="ja-JP"/>
        </w:rPr>
        <w:t xml:space="preserve">to be </w:t>
      </w:r>
      <w:r w:rsidR="004B2991">
        <w:rPr>
          <w:sz w:val="24"/>
          <w:lang w:eastAsia="ja-JP"/>
        </w:rPr>
        <w:t>forfeited</w:t>
      </w:r>
      <w:r w:rsidR="00391C5E">
        <w:rPr>
          <w:sz w:val="24"/>
          <w:lang w:eastAsia="ja-JP"/>
        </w:rPr>
        <w:t xml:space="preserve"> (become worthless)</w:t>
      </w:r>
      <w:r w:rsidR="004B2991">
        <w:rPr>
          <w:sz w:val="24"/>
          <w:lang w:eastAsia="ja-JP"/>
        </w:rPr>
        <w:t xml:space="preserve">, and allocated randomly at no cost to </w:t>
      </w:r>
      <w:r w:rsidR="00391C5E">
        <w:rPr>
          <w:sz w:val="24"/>
          <w:lang w:eastAsia="ja-JP"/>
        </w:rPr>
        <w:t xml:space="preserve">the </w:t>
      </w:r>
      <w:r w:rsidR="004B2991">
        <w:rPr>
          <w:sz w:val="24"/>
          <w:lang w:eastAsia="ja-JP"/>
        </w:rPr>
        <w:t xml:space="preserve">entering traders. To </w:t>
      </w:r>
      <w:r w:rsidR="004B2991" w:rsidRPr="008D077D">
        <w:rPr>
          <w:sz w:val="24"/>
          <w:lang w:eastAsia="ja-JP"/>
        </w:rPr>
        <w:t xml:space="preserve">measure </w:t>
      </w:r>
      <w:r w:rsidR="004B2991">
        <w:rPr>
          <w:sz w:val="24"/>
          <w:lang w:eastAsia="ja-JP"/>
        </w:rPr>
        <w:t>the share of the forfeited</w:t>
      </w:r>
      <w:r w:rsidR="004B2991" w:rsidRPr="008D077D">
        <w:rPr>
          <w:sz w:val="24"/>
          <w:lang w:eastAsia="ja-JP"/>
        </w:rPr>
        <w:t xml:space="preserve"> </w:t>
      </w:r>
      <w:r w:rsidR="004B2991">
        <w:rPr>
          <w:sz w:val="24"/>
          <w:lang w:eastAsia="ja-JP"/>
        </w:rPr>
        <w:t>securities</w:t>
      </w:r>
      <w:r w:rsidR="004B2991" w:rsidRPr="008D077D">
        <w:rPr>
          <w:sz w:val="24"/>
          <w:lang w:eastAsia="ja-JP"/>
        </w:rPr>
        <w:t xml:space="preserve"> for each ex</w:t>
      </w:r>
      <w:r w:rsidR="00391C5E">
        <w:rPr>
          <w:sz w:val="24"/>
          <w:lang w:eastAsia="ja-JP"/>
        </w:rPr>
        <w:t>iting</w:t>
      </w:r>
      <w:r w:rsidR="004B2991" w:rsidRPr="008D077D">
        <w:rPr>
          <w:sz w:val="24"/>
          <w:lang w:eastAsia="ja-JP"/>
        </w:rPr>
        <w:t xml:space="preserve"> gener</w:t>
      </w:r>
      <w:r w:rsidR="004B2991" w:rsidRPr="008D077D">
        <w:rPr>
          <w:sz w:val="24"/>
          <w:lang w:eastAsia="ja-JP"/>
        </w:rPr>
        <w:t>a</w:t>
      </w:r>
      <w:r w:rsidR="004B2991" w:rsidRPr="008D077D">
        <w:rPr>
          <w:sz w:val="24"/>
          <w:lang w:eastAsia="ja-JP"/>
        </w:rPr>
        <w:t>tion of each treatment</w:t>
      </w:r>
      <w:r w:rsidR="004B2991">
        <w:rPr>
          <w:sz w:val="24"/>
          <w:lang w:eastAsia="ja-JP"/>
        </w:rPr>
        <w:t xml:space="preserve"> w</w:t>
      </w:r>
      <w:r w:rsidR="004B2991" w:rsidRPr="00362A14">
        <w:rPr>
          <w:sz w:val="24"/>
          <w:lang w:eastAsia="ja-JP"/>
        </w:rPr>
        <w:t xml:space="preserve">e provide two calculations and sets of figures: first, we calculate the </w:t>
      </w:r>
      <w:r w:rsidR="00AA4CC1">
        <w:rPr>
          <w:sz w:val="24"/>
          <w:lang w:eastAsia="ja-JP"/>
        </w:rPr>
        <w:t>exit</w:t>
      </w:r>
      <w:r w:rsidR="00AA4CC1" w:rsidRPr="00362A14">
        <w:rPr>
          <w:sz w:val="24"/>
          <w:lang w:eastAsia="ja-JP"/>
        </w:rPr>
        <w:t xml:space="preserve">ing </w:t>
      </w:r>
      <w:r w:rsidR="004B2991" w:rsidRPr="00362A14">
        <w:rPr>
          <w:sz w:val="24"/>
          <w:lang w:eastAsia="ja-JP"/>
        </w:rPr>
        <w:t xml:space="preserve">generation’s share of initial security holdings </w:t>
      </w:r>
      <w:r w:rsidR="0034358F">
        <w:rPr>
          <w:sz w:val="24"/>
          <w:lang w:eastAsia="ja-JP"/>
        </w:rPr>
        <w:t xml:space="preserve">which is a measure </w:t>
      </w:r>
      <w:r w:rsidR="004B2991" w:rsidRPr="00362A14">
        <w:rPr>
          <w:sz w:val="24"/>
          <w:lang w:eastAsia="ja-JP"/>
        </w:rPr>
        <w:t xml:space="preserve">comparable across treatments with different parameters. If the </w:t>
      </w:r>
      <w:r w:rsidR="00AA4CC1">
        <w:rPr>
          <w:sz w:val="24"/>
          <w:lang w:eastAsia="ja-JP"/>
        </w:rPr>
        <w:t>exit</w:t>
      </w:r>
      <w:r w:rsidR="00AA4CC1" w:rsidRPr="00362A14">
        <w:rPr>
          <w:sz w:val="24"/>
          <w:lang w:eastAsia="ja-JP"/>
        </w:rPr>
        <w:t xml:space="preserve">ing </w:t>
      </w:r>
      <w:r w:rsidR="004B2991" w:rsidRPr="00362A14">
        <w:rPr>
          <w:sz w:val="24"/>
          <w:lang w:eastAsia="ja-JP"/>
        </w:rPr>
        <w:t>generation ends up with zero securities</w:t>
      </w:r>
      <w:r w:rsidR="004B2991">
        <w:rPr>
          <w:sz w:val="24"/>
          <w:lang w:eastAsia="ja-JP"/>
        </w:rPr>
        <w:t xml:space="preserve"> (as in REE)</w:t>
      </w:r>
      <w:r w:rsidR="004B2991" w:rsidRPr="00362A14">
        <w:rPr>
          <w:sz w:val="24"/>
          <w:lang w:eastAsia="ja-JP"/>
        </w:rPr>
        <w:t xml:space="preserve"> this measure would take a value of zero. </w:t>
      </w:r>
    </w:p>
    <w:p w14:paraId="1FE0F14B" w14:textId="5D69C44C" w:rsidR="004B2991" w:rsidRPr="00362A14" w:rsidRDefault="004B2991" w:rsidP="00E97BCB">
      <w:pPr>
        <w:spacing w:line="480" w:lineRule="auto"/>
        <w:ind w:firstLine="720"/>
        <w:jc w:val="both"/>
        <w:rPr>
          <w:b/>
          <w:sz w:val="24"/>
          <w:lang w:eastAsia="ja-JP"/>
        </w:rPr>
      </w:pPr>
      <w:r w:rsidRPr="00362A14">
        <w:rPr>
          <w:b/>
          <w:sz w:val="24"/>
          <w:lang w:eastAsia="ja-JP"/>
        </w:rPr>
        <w:t>Figure</w:t>
      </w:r>
      <w:r>
        <w:rPr>
          <w:b/>
          <w:sz w:val="24"/>
          <w:lang w:eastAsia="ja-JP"/>
        </w:rPr>
        <w:t xml:space="preserve"> </w:t>
      </w:r>
      <w:r w:rsidR="00F423B6">
        <w:rPr>
          <w:b/>
          <w:sz w:val="24"/>
          <w:lang w:eastAsia="ja-JP"/>
        </w:rPr>
        <w:t>D1</w:t>
      </w:r>
      <w:r>
        <w:rPr>
          <w:b/>
          <w:sz w:val="24"/>
          <w:lang w:eastAsia="ja-JP"/>
        </w:rPr>
        <w:t xml:space="preserve">: </w:t>
      </w:r>
      <w:r w:rsidR="0016221C" w:rsidRPr="0016221C">
        <w:rPr>
          <w:b/>
          <w:sz w:val="24"/>
          <w:lang w:eastAsia="ja-JP"/>
        </w:rPr>
        <w:t>Exiting</w:t>
      </w:r>
      <w:r w:rsidR="0016221C">
        <w:rPr>
          <w:b/>
          <w:sz w:val="24"/>
          <w:lang w:eastAsia="ja-JP"/>
        </w:rPr>
        <w:t xml:space="preserve"> </w:t>
      </w:r>
      <w:r>
        <w:rPr>
          <w:b/>
          <w:sz w:val="24"/>
          <w:lang w:eastAsia="ja-JP"/>
        </w:rPr>
        <w:t>generations’ share of initial security holdings by period</w:t>
      </w:r>
    </w:p>
    <w:p w14:paraId="13959028" w14:textId="50AB0684" w:rsidR="004B2991" w:rsidRDefault="00CB1F05" w:rsidP="004B2991">
      <w:pPr>
        <w:spacing w:after="120"/>
        <w:rPr>
          <w:rFonts w:ascii="Arial" w:hAnsi="Arial" w:cs="Arial"/>
          <w:i/>
        </w:rPr>
      </w:pPr>
      <w:r>
        <w:rPr>
          <w:rFonts w:ascii="Arial" w:hAnsi="Arial" w:cs="Arial"/>
          <w:i/>
          <w:noProof/>
          <w:lang w:val="de-DE" w:eastAsia="de-DE"/>
        </w:rPr>
        <w:drawing>
          <wp:inline distT="0" distB="0" distL="0" distR="0" wp14:anchorId="034CA391" wp14:editId="7710AD79">
            <wp:extent cx="5509184" cy="3905250"/>
            <wp:effectExtent l="0" t="0" r="0" b="0"/>
            <wp:docPr id="6" name="Grafik 6" descr="H:\2_Forschung\2014_Hirota Sunder\stata\subjects\graph\Share_leaving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_Forschung\2014_Hirota Sunder\stata\subjects\graph\Share_leaving_al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7354" cy="3903953"/>
                    </a:xfrm>
                    <a:prstGeom prst="rect">
                      <a:avLst/>
                    </a:prstGeom>
                    <a:noFill/>
                    <a:ln>
                      <a:noFill/>
                    </a:ln>
                  </pic:spPr>
                </pic:pic>
              </a:graphicData>
            </a:graphic>
          </wp:inline>
        </w:drawing>
      </w:r>
    </w:p>
    <w:p w14:paraId="74A3959A" w14:textId="77777777" w:rsidR="00E97BCB" w:rsidRDefault="00E97BCB" w:rsidP="00E97BCB">
      <w:pPr>
        <w:spacing w:line="480" w:lineRule="auto"/>
        <w:ind w:firstLine="720"/>
        <w:jc w:val="both"/>
        <w:rPr>
          <w:sz w:val="24"/>
          <w:lang w:eastAsia="ja-JP"/>
        </w:rPr>
      </w:pPr>
      <w:r w:rsidRPr="00362A14">
        <w:rPr>
          <w:sz w:val="24"/>
          <w:lang w:eastAsia="ja-JP"/>
        </w:rPr>
        <w:lastRenderedPageBreak/>
        <w:t xml:space="preserve">In Figure </w:t>
      </w:r>
      <w:r>
        <w:rPr>
          <w:sz w:val="24"/>
          <w:lang w:eastAsia="ja-JP"/>
        </w:rPr>
        <w:t>D1</w:t>
      </w:r>
      <w:r w:rsidRPr="00362A14">
        <w:rPr>
          <w:sz w:val="24"/>
          <w:lang w:eastAsia="ja-JP"/>
        </w:rPr>
        <w:t xml:space="preserve">, we plot our measure conditional on period for each treatment and split into </w:t>
      </w:r>
      <w:r>
        <w:rPr>
          <w:sz w:val="24"/>
          <w:lang w:eastAsia="ja-JP"/>
        </w:rPr>
        <w:t>high</w:t>
      </w:r>
      <w:r w:rsidRPr="00362A14">
        <w:rPr>
          <w:sz w:val="24"/>
          <w:lang w:eastAsia="ja-JP"/>
        </w:rPr>
        <w:t xml:space="preserve"> and </w:t>
      </w:r>
      <w:r>
        <w:rPr>
          <w:sz w:val="24"/>
          <w:lang w:eastAsia="ja-JP"/>
        </w:rPr>
        <w:t>low</w:t>
      </w:r>
      <w:r w:rsidRPr="00362A14">
        <w:rPr>
          <w:sz w:val="24"/>
          <w:lang w:eastAsia="ja-JP"/>
        </w:rPr>
        <w:t xml:space="preserve"> liquidity markets. With each newly entering generation the measure returns to </w:t>
      </w:r>
      <w:r>
        <w:rPr>
          <w:sz w:val="24"/>
          <w:lang w:eastAsia="ja-JP"/>
        </w:rPr>
        <w:t>a value close to one</w:t>
      </w:r>
      <w:r w:rsidRPr="00362A14">
        <w:rPr>
          <w:sz w:val="24"/>
          <w:lang w:eastAsia="ja-JP"/>
        </w:rPr>
        <w:t xml:space="preserve"> and then falls as generations trade </w:t>
      </w:r>
      <w:r>
        <w:rPr>
          <w:sz w:val="24"/>
          <w:lang w:eastAsia="ja-JP"/>
        </w:rPr>
        <w:t>securities</w:t>
      </w:r>
      <w:r w:rsidRPr="00362A14">
        <w:rPr>
          <w:sz w:val="24"/>
          <w:lang w:eastAsia="ja-JP"/>
        </w:rPr>
        <w:t>.</w:t>
      </w:r>
      <w:r>
        <w:rPr>
          <w:rStyle w:val="Funotenzeichen"/>
          <w:sz w:val="24"/>
          <w:lang w:eastAsia="ja-JP"/>
        </w:rPr>
        <w:footnoteReference w:id="53"/>
      </w:r>
      <w:r w:rsidRPr="00362A14">
        <w:rPr>
          <w:sz w:val="24"/>
          <w:lang w:eastAsia="ja-JP"/>
        </w:rPr>
        <w:t xml:space="preserve"> There is no marked difference between H and L treatments, and we also see, that usually final values are lower the longer generations have time to trade. </w:t>
      </w:r>
    </w:p>
    <w:p w14:paraId="0035DF47" w14:textId="770F6E4B" w:rsidR="004B2991" w:rsidRDefault="004B2991" w:rsidP="004B2991">
      <w:pPr>
        <w:spacing w:line="480" w:lineRule="auto"/>
        <w:ind w:firstLine="720"/>
        <w:jc w:val="both"/>
        <w:rPr>
          <w:sz w:val="24"/>
          <w:lang w:eastAsia="ja-JP"/>
        </w:rPr>
      </w:pPr>
      <w:r>
        <w:rPr>
          <w:sz w:val="24"/>
          <w:lang w:eastAsia="ja-JP"/>
        </w:rPr>
        <w:t>T</w:t>
      </w:r>
      <w:r w:rsidRPr="00362A14">
        <w:rPr>
          <w:sz w:val="24"/>
          <w:lang w:eastAsia="ja-JP"/>
        </w:rPr>
        <w:t xml:space="preserve">able </w:t>
      </w:r>
      <w:r w:rsidR="00F423B6">
        <w:rPr>
          <w:sz w:val="24"/>
          <w:lang w:eastAsia="ja-JP"/>
        </w:rPr>
        <w:t>D1</w:t>
      </w:r>
      <w:r>
        <w:rPr>
          <w:sz w:val="24"/>
          <w:lang w:eastAsia="ja-JP"/>
        </w:rPr>
        <w:t xml:space="preserve"> provides</w:t>
      </w:r>
      <w:r w:rsidRPr="00362A14">
        <w:rPr>
          <w:sz w:val="24"/>
          <w:lang w:eastAsia="ja-JP"/>
        </w:rPr>
        <w:t xml:space="preserve"> </w:t>
      </w:r>
      <w:r>
        <w:rPr>
          <w:sz w:val="24"/>
          <w:lang w:eastAsia="ja-JP"/>
        </w:rPr>
        <w:t xml:space="preserve">numbers and </w:t>
      </w:r>
      <w:r w:rsidRPr="00362A14">
        <w:rPr>
          <w:sz w:val="24"/>
          <w:lang w:eastAsia="ja-JP"/>
        </w:rPr>
        <w:t>significance tests whether the numbers are higher when speculating investors are leaving the market compared to dividend collecting investors. There is mixed evidence</w:t>
      </w:r>
      <w:r>
        <w:rPr>
          <w:sz w:val="24"/>
          <w:lang w:eastAsia="ja-JP"/>
        </w:rPr>
        <w:t>, as one test is significant on the 1% level, three are significant on the 10% level and two tests are not significant</w:t>
      </w:r>
      <w:r w:rsidRPr="00362A14">
        <w:rPr>
          <w:sz w:val="24"/>
          <w:lang w:eastAsia="ja-JP"/>
        </w:rPr>
        <w:t xml:space="preserve">. </w:t>
      </w:r>
    </w:p>
    <w:p w14:paraId="45D43BDF" w14:textId="77777777" w:rsidR="00E97BCB" w:rsidRDefault="00E97BCB" w:rsidP="004B2991">
      <w:pPr>
        <w:spacing w:line="480" w:lineRule="auto"/>
        <w:ind w:firstLine="720"/>
        <w:jc w:val="both"/>
        <w:rPr>
          <w:sz w:val="24"/>
          <w:lang w:eastAsia="ja-JP"/>
        </w:rPr>
      </w:pPr>
    </w:p>
    <w:p w14:paraId="390C2A85" w14:textId="71AA235A" w:rsidR="004B2991" w:rsidRPr="00362A14" w:rsidRDefault="004B2991" w:rsidP="00DA7109">
      <w:pPr>
        <w:jc w:val="center"/>
        <w:rPr>
          <w:b/>
          <w:sz w:val="24"/>
          <w:lang w:eastAsia="ja-JP"/>
        </w:rPr>
      </w:pPr>
      <w:r w:rsidRPr="00362A14">
        <w:rPr>
          <w:b/>
          <w:sz w:val="24"/>
          <w:lang w:eastAsia="ja-JP"/>
        </w:rPr>
        <w:t xml:space="preserve">Table </w:t>
      </w:r>
      <w:r w:rsidR="00F423B6">
        <w:rPr>
          <w:b/>
          <w:sz w:val="24"/>
          <w:lang w:eastAsia="ja-JP"/>
        </w:rPr>
        <w:t>D1</w:t>
      </w:r>
      <w:r w:rsidRPr="00362A14">
        <w:rPr>
          <w:b/>
          <w:sz w:val="24"/>
          <w:lang w:eastAsia="ja-JP"/>
        </w:rPr>
        <w:t>:</w:t>
      </w:r>
      <w:r>
        <w:rPr>
          <w:b/>
          <w:sz w:val="24"/>
          <w:lang w:eastAsia="ja-JP"/>
        </w:rPr>
        <w:t xml:space="preserve"> Forfeiture rates (</w:t>
      </w:r>
      <w:r w:rsidR="0016221C">
        <w:rPr>
          <w:b/>
          <w:sz w:val="24"/>
          <w:lang w:eastAsia="ja-JP"/>
        </w:rPr>
        <w:t>fractions</w:t>
      </w:r>
      <w:r>
        <w:rPr>
          <w:b/>
          <w:sz w:val="24"/>
          <w:lang w:eastAsia="ja-JP"/>
        </w:rPr>
        <w:t xml:space="preserve"> of all securities not sold by exiting generation to entering generation) across treatments</w:t>
      </w:r>
    </w:p>
    <w:tbl>
      <w:tblPr>
        <w:tblW w:w="8760" w:type="dxa"/>
        <w:tblInd w:w="55" w:type="dxa"/>
        <w:tblCellMar>
          <w:left w:w="70" w:type="dxa"/>
          <w:right w:w="70" w:type="dxa"/>
        </w:tblCellMar>
        <w:tblLook w:val="04A0" w:firstRow="1" w:lastRow="0" w:firstColumn="1" w:lastColumn="0" w:noHBand="0" w:noVBand="1"/>
      </w:tblPr>
      <w:tblGrid>
        <w:gridCol w:w="1560"/>
        <w:gridCol w:w="870"/>
        <w:gridCol w:w="870"/>
        <w:gridCol w:w="930"/>
        <w:gridCol w:w="930"/>
        <w:gridCol w:w="870"/>
        <w:gridCol w:w="870"/>
        <w:gridCol w:w="930"/>
        <w:gridCol w:w="930"/>
      </w:tblGrid>
      <w:tr w:rsidR="00DA7109" w:rsidRPr="00DA7109" w14:paraId="7496A0BC" w14:textId="77777777" w:rsidTr="00DA7109">
        <w:trPr>
          <w:trHeight w:val="360"/>
        </w:trPr>
        <w:tc>
          <w:tcPr>
            <w:tcW w:w="1560" w:type="dxa"/>
            <w:tcBorders>
              <w:top w:val="double" w:sz="6" w:space="0" w:color="auto"/>
              <w:left w:val="nil"/>
              <w:bottom w:val="single" w:sz="4" w:space="0" w:color="auto"/>
              <w:right w:val="single" w:sz="4" w:space="0" w:color="auto"/>
            </w:tcBorders>
            <w:shd w:val="clear" w:color="auto" w:fill="auto"/>
            <w:noWrap/>
            <w:vAlign w:val="center"/>
            <w:hideMark/>
          </w:tcPr>
          <w:p w14:paraId="33CB9008" w14:textId="77777777" w:rsidR="00DA7109" w:rsidRPr="00DA7109" w:rsidRDefault="00DA7109" w:rsidP="00DA7109">
            <w:pPr>
              <w:rPr>
                <w:rFonts w:ascii="Calibri" w:eastAsia="Times New Roman" w:hAnsi="Calibri"/>
                <w:color w:val="000000"/>
                <w:sz w:val="22"/>
                <w:szCs w:val="22"/>
                <w:lang w:eastAsia="de-DE"/>
              </w:rPr>
            </w:pPr>
            <w:r w:rsidRPr="00DA7109">
              <w:rPr>
                <w:rFonts w:ascii="Calibri" w:eastAsia="Times New Roman" w:hAnsi="Calibri"/>
                <w:color w:val="000000"/>
                <w:sz w:val="22"/>
                <w:szCs w:val="22"/>
                <w:lang w:eastAsia="de-DE"/>
              </w:rPr>
              <w:t> </w:t>
            </w:r>
          </w:p>
        </w:tc>
        <w:tc>
          <w:tcPr>
            <w:tcW w:w="3600" w:type="dxa"/>
            <w:gridSpan w:val="4"/>
            <w:tcBorders>
              <w:top w:val="double" w:sz="6" w:space="0" w:color="auto"/>
              <w:left w:val="nil"/>
              <w:bottom w:val="single" w:sz="4" w:space="0" w:color="auto"/>
              <w:right w:val="single" w:sz="4" w:space="0" w:color="000000"/>
            </w:tcBorders>
            <w:shd w:val="clear" w:color="auto" w:fill="auto"/>
            <w:noWrap/>
            <w:vAlign w:val="center"/>
            <w:hideMark/>
          </w:tcPr>
          <w:p w14:paraId="23614A51" w14:textId="77777777" w:rsidR="00DA7109" w:rsidRPr="00DA7109" w:rsidRDefault="00DA7109" w:rsidP="00DA7109">
            <w:pPr>
              <w:jc w:val="center"/>
              <w:rPr>
                <w:rFonts w:ascii="Calibri" w:eastAsia="Times New Roman" w:hAnsi="Calibri"/>
                <w:b/>
                <w:bCs/>
                <w:color w:val="000000"/>
                <w:sz w:val="22"/>
                <w:szCs w:val="22"/>
                <w:lang w:val="de-DE" w:eastAsia="de-DE"/>
              </w:rPr>
            </w:pPr>
            <w:r w:rsidRPr="00DA7109">
              <w:rPr>
                <w:rFonts w:ascii="Calibri" w:eastAsia="Times New Roman" w:hAnsi="Calibri"/>
                <w:b/>
                <w:bCs/>
                <w:color w:val="000000"/>
                <w:sz w:val="22"/>
                <w:szCs w:val="22"/>
                <w:lang w:val="de-DE" w:eastAsia="de-DE"/>
              </w:rPr>
              <w:t>LOW LIQUIDITY</w:t>
            </w:r>
          </w:p>
        </w:tc>
        <w:tc>
          <w:tcPr>
            <w:tcW w:w="3600" w:type="dxa"/>
            <w:gridSpan w:val="4"/>
            <w:tcBorders>
              <w:top w:val="double" w:sz="6" w:space="0" w:color="auto"/>
              <w:left w:val="nil"/>
              <w:bottom w:val="single" w:sz="4" w:space="0" w:color="auto"/>
              <w:right w:val="nil"/>
            </w:tcBorders>
            <w:shd w:val="clear" w:color="auto" w:fill="auto"/>
            <w:noWrap/>
            <w:vAlign w:val="center"/>
            <w:hideMark/>
          </w:tcPr>
          <w:p w14:paraId="666CBCDF" w14:textId="77777777" w:rsidR="00DA7109" w:rsidRPr="00DA7109" w:rsidRDefault="00DA7109" w:rsidP="00DA7109">
            <w:pPr>
              <w:jc w:val="center"/>
              <w:rPr>
                <w:rFonts w:ascii="Calibri" w:eastAsia="Times New Roman" w:hAnsi="Calibri"/>
                <w:b/>
                <w:bCs/>
                <w:color w:val="000000"/>
                <w:sz w:val="22"/>
                <w:szCs w:val="22"/>
                <w:lang w:val="de-DE" w:eastAsia="de-DE"/>
              </w:rPr>
            </w:pPr>
            <w:r w:rsidRPr="00DA7109">
              <w:rPr>
                <w:rFonts w:ascii="Calibri" w:eastAsia="Times New Roman" w:hAnsi="Calibri"/>
                <w:b/>
                <w:bCs/>
                <w:color w:val="000000"/>
                <w:sz w:val="22"/>
                <w:szCs w:val="22"/>
                <w:lang w:val="de-DE" w:eastAsia="de-DE"/>
              </w:rPr>
              <w:t>HIGH LIQUIDITY</w:t>
            </w:r>
          </w:p>
        </w:tc>
      </w:tr>
      <w:tr w:rsidR="00DA7109" w:rsidRPr="00DA7109" w14:paraId="18960306" w14:textId="77777777" w:rsidTr="00DA7109">
        <w:trPr>
          <w:trHeight w:val="300"/>
        </w:trPr>
        <w:tc>
          <w:tcPr>
            <w:tcW w:w="1560" w:type="dxa"/>
            <w:tcBorders>
              <w:top w:val="nil"/>
              <w:left w:val="nil"/>
              <w:bottom w:val="single" w:sz="4" w:space="0" w:color="auto"/>
              <w:right w:val="single" w:sz="4" w:space="0" w:color="auto"/>
            </w:tcBorders>
            <w:shd w:val="clear" w:color="auto" w:fill="auto"/>
            <w:noWrap/>
            <w:vAlign w:val="bottom"/>
            <w:hideMark/>
          </w:tcPr>
          <w:p w14:paraId="51A13173" w14:textId="77777777" w:rsidR="00DA7109" w:rsidRPr="00DA7109" w:rsidRDefault="00DA7109" w:rsidP="00DA7109">
            <w:pPr>
              <w:jc w:val="center"/>
              <w:rPr>
                <w:rFonts w:ascii="Calibri" w:eastAsia="Times New Roman" w:hAnsi="Calibri"/>
                <w:color w:val="000000"/>
                <w:sz w:val="22"/>
                <w:szCs w:val="22"/>
                <w:lang w:val="de-DE" w:eastAsia="de-DE"/>
              </w:rPr>
            </w:pPr>
            <w:proofErr w:type="spellStart"/>
            <w:r w:rsidRPr="00DA7109">
              <w:rPr>
                <w:rFonts w:ascii="Calibri" w:eastAsia="Times New Roman" w:hAnsi="Calibri"/>
                <w:color w:val="000000"/>
                <w:sz w:val="22"/>
                <w:szCs w:val="22"/>
                <w:lang w:val="de-DE" w:eastAsia="de-DE"/>
              </w:rPr>
              <w:t>Period</w:t>
            </w:r>
            <w:proofErr w:type="spellEnd"/>
          </w:p>
        </w:tc>
        <w:tc>
          <w:tcPr>
            <w:tcW w:w="870" w:type="dxa"/>
            <w:tcBorders>
              <w:top w:val="nil"/>
              <w:left w:val="nil"/>
              <w:bottom w:val="single" w:sz="4" w:space="0" w:color="auto"/>
              <w:right w:val="nil"/>
            </w:tcBorders>
            <w:shd w:val="clear" w:color="auto" w:fill="auto"/>
            <w:noWrap/>
            <w:vAlign w:val="bottom"/>
            <w:hideMark/>
          </w:tcPr>
          <w:p w14:paraId="2FF2EB02"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T1</w:t>
            </w:r>
          </w:p>
        </w:tc>
        <w:tc>
          <w:tcPr>
            <w:tcW w:w="870" w:type="dxa"/>
            <w:tcBorders>
              <w:top w:val="nil"/>
              <w:left w:val="nil"/>
              <w:bottom w:val="single" w:sz="4" w:space="0" w:color="auto"/>
              <w:right w:val="nil"/>
            </w:tcBorders>
            <w:shd w:val="clear" w:color="auto" w:fill="auto"/>
            <w:noWrap/>
            <w:vAlign w:val="bottom"/>
            <w:hideMark/>
          </w:tcPr>
          <w:p w14:paraId="152E8A97"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T2</w:t>
            </w:r>
          </w:p>
        </w:tc>
        <w:tc>
          <w:tcPr>
            <w:tcW w:w="930" w:type="dxa"/>
            <w:tcBorders>
              <w:top w:val="nil"/>
              <w:left w:val="nil"/>
              <w:bottom w:val="single" w:sz="4" w:space="0" w:color="auto"/>
              <w:right w:val="nil"/>
            </w:tcBorders>
            <w:shd w:val="clear" w:color="auto" w:fill="auto"/>
            <w:noWrap/>
            <w:vAlign w:val="bottom"/>
            <w:hideMark/>
          </w:tcPr>
          <w:p w14:paraId="358774AF"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T4</w:t>
            </w:r>
          </w:p>
        </w:tc>
        <w:tc>
          <w:tcPr>
            <w:tcW w:w="930" w:type="dxa"/>
            <w:tcBorders>
              <w:top w:val="nil"/>
              <w:left w:val="nil"/>
              <w:bottom w:val="single" w:sz="4" w:space="0" w:color="auto"/>
              <w:right w:val="single" w:sz="4" w:space="0" w:color="auto"/>
            </w:tcBorders>
            <w:shd w:val="clear" w:color="auto" w:fill="auto"/>
            <w:noWrap/>
            <w:vAlign w:val="bottom"/>
            <w:hideMark/>
          </w:tcPr>
          <w:p w14:paraId="28942F66"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T8</w:t>
            </w:r>
          </w:p>
        </w:tc>
        <w:tc>
          <w:tcPr>
            <w:tcW w:w="870" w:type="dxa"/>
            <w:tcBorders>
              <w:top w:val="nil"/>
              <w:left w:val="nil"/>
              <w:bottom w:val="single" w:sz="4" w:space="0" w:color="auto"/>
              <w:right w:val="nil"/>
            </w:tcBorders>
            <w:shd w:val="clear" w:color="auto" w:fill="auto"/>
            <w:noWrap/>
            <w:vAlign w:val="bottom"/>
            <w:hideMark/>
          </w:tcPr>
          <w:p w14:paraId="57EB1D04"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T1</w:t>
            </w:r>
          </w:p>
        </w:tc>
        <w:tc>
          <w:tcPr>
            <w:tcW w:w="870" w:type="dxa"/>
            <w:tcBorders>
              <w:top w:val="nil"/>
              <w:left w:val="nil"/>
              <w:bottom w:val="single" w:sz="4" w:space="0" w:color="auto"/>
              <w:right w:val="nil"/>
            </w:tcBorders>
            <w:shd w:val="clear" w:color="auto" w:fill="auto"/>
            <w:noWrap/>
            <w:vAlign w:val="bottom"/>
            <w:hideMark/>
          </w:tcPr>
          <w:p w14:paraId="71C50ECC"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T2</w:t>
            </w:r>
          </w:p>
        </w:tc>
        <w:tc>
          <w:tcPr>
            <w:tcW w:w="930" w:type="dxa"/>
            <w:tcBorders>
              <w:top w:val="nil"/>
              <w:left w:val="nil"/>
              <w:bottom w:val="single" w:sz="4" w:space="0" w:color="auto"/>
              <w:right w:val="nil"/>
            </w:tcBorders>
            <w:shd w:val="clear" w:color="auto" w:fill="auto"/>
            <w:noWrap/>
            <w:vAlign w:val="bottom"/>
            <w:hideMark/>
          </w:tcPr>
          <w:p w14:paraId="2FD59AFA"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T4</w:t>
            </w:r>
          </w:p>
        </w:tc>
        <w:tc>
          <w:tcPr>
            <w:tcW w:w="930" w:type="dxa"/>
            <w:tcBorders>
              <w:top w:val="nil"/>
              <w:left w:val="nil"/>
              <w:bottom w:val="single" w:sz="4" w:space="0" w:color="auto"/>
              <w:right w:val="nil"/>
            </w:tcBorders>
            <w:shd w:val="clear" w:color="auto" w:fill="auto"/>
            <w:noWrap/>
            <w:vAlign w:val="bottom"/>
            <w:hideMark/>
          </w:tcPr>
          <w:p w14:paraId="30A72DD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T8</w:t>
            </w:r>
          </w:p>
        </w:tc>
      </w:tr>
      <w:tr w:rsidR="00DA7109" w:rsidRPr="00DA7109" w14:paraId="5AEE42FB"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4DFEAAF6"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2</w:t>
            </w:r>
          </w:p>
        </w:tc>
        <w:tc>
          <w:tcPr>
            <w:tcW w:w="870" w:type="dxa"/>
            <w:tcBorders>
              <w:top w:val="nil"/>
              <w:left w:val="nil"/>
              <w:bottom w:val="nil"/>
              <w:right w:val="nil"/>
            </w:tcBorders>
            <w:shd w:val="clear" w:color="auto" w:fill="auto"/>
            <w:noWrap/>
            <w:vAlign w:val="bottom"/>
            <w:hideMark/>
          </w:tcPr>
          <w:p w14:paraId="3DF17888"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 </w:t>
            </w:r>
          </w:p>
        </w:tc>
        <w:tc>
          <w:tcPr>
            <w:tcW w:w="870" w:type="dxa"/>
            <w:tcBorders>
              <w:top w:val="nil"/>
              <w:left w:val="nil"/>
              <w:bottom w:val="nil"/>
              <w:right w:val="nil"/>
            </w:tcBorders>
            <w:shd w:val="clear" w:color="auto" w:fill="auto"/>
            <w:noWrap/>
            <w:vAlign w:val="bottom"/>
            <w:hideMark/>
          </w:tcPr>
          <w:p w14:paraId="73A9D916"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55FA1F78"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single" w:sz="4" w:space="0" w:color="auto"/>
            </w:tcBorders>
            <w:shd w:val="clear" w:color="auto" w:fill="auto"/>
            <w:noWrap/>
            <w:vAlign w:val="bottom"/>
            <w:hideMark/>
          </w:tcPr>
          <w:p w14:paraId="77962FCF"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0.27</w:t>
            </w:r>
          </w:p>
        </w:tc>
        <w:tc>
          <w:tcPr>
            <w:tcW w:w="870" w:type="dxa"/>
            <w:tcBorders>
              <w:top w:val="nil"/>
              <w:left w:val="nil"/>
              <w:bottom w:val="nil"/>
              <w:right w:val="nil"/>
            </w:tcBorders>
            <w:shd w:val="clear" w:color="auto" w:fill="auto"/>
            <w:noWrap/>
            <w:vAlign w:val="bottom"/>
            <w:hideMark/>
          </w:tcPr>
          <w:p w14:paraId="57B503A5" w14:textId="77777777" w:rsidR="00DA7109" w:rsidRPr="00DA7109" w:rsidRDefault="00DA7109" w:rsidP="00DA7109">
            <w:pPr>
              <w:jc w:val="center"/>
              <w:rPr>
                <w:rFonts w:ascii="Calibri" w:eastAsia="Times New Roman" w:hAnsi="Calibri"/>
                <w:color w:val="000000"/>
                <w:sz w:val="22"/>
                <w:szCs w:val="22"/>
                <w:lang w:val="de-DE" w:eastAsia="de-DE"/>
              </w:rPr>
            </w:pPr>
          </w:p>
        </w:tc>
        <w:tc>
          <w:tcPr>
            <w:tcW w:w="870" w:type="dxa"/>
            <w:tcBorders>
              <w:top w:val="nil"/>
              <w:left w:val="nil"/>
              <w:bottom w:val="nil"/>
              <w:right w:val="nil"/>
            </w:tcBorders>
            <w:shd w:val="clear" w:color="auto" w:fill="auto"/>
            <w:noWrap/>
            <w:vAlign w:val="bottom"/>
            <w:hideMark/>
          </w:tcPr>
          <w:p w14:paraId="5659BD10"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4BB6ECC6"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43A6393A"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0.18</w:t>
            </w:r>
          </w:p>
        </w:tc>
      </w:tr>
      <w:tr w:rsidR="00DA7109" w:rsidRPr="00DA7109" w14:paraId="6376CE43"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018C7A0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4</w:t>
            </w:r>
          </w:p>
        </w:tc>
        <w:tc>
          <w:tcPr>
            <w:tcW w:w="870" w:type="dxa"/>
            <w:tcBorders>
              <w:top w:val="nil"/>
              <w:left w:val="nil"/>
              <w:bottom w:val="nil"/>
              <w:right w:val="nil"/>
            </w:tcBorders>
            <w:shd w:val="clear" w:color="auto" w:fill="auto"/>
            <w:noWrap/>
            <w:vAlign w:val="bottom"/>
            <w:hideMark/>
          </w:tcPr>
          <w:p w14:paraId="0531B556"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 </w:t>
            </w:r>
          </w:p>
        </w:tc>
        <w:tc>
          <w:tcPr>
            <w:tcW w:w="870" w:type="dxa"/>
            <w:tcBorders>
              <w:top w:val="nil"/>
              <w:left w:val="nil"/>
              <w:bottom w:val="nil"/>
              <w:right w:val="nil"/>
            </w:tcBorders>
            <w:shd w:val="clear" w:color="auto" w:fill="auto"/>
            <w:noWrap/>
            <w:vAlign w:val="bottom"/>
            <w:hideMark/>
          </w:tcPr>
          <w:p w14:paraId="5F065B77"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11EFC48D"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0.40</w:t>
            </w:r>
          </w:p>
        </w:tc>
        <w:tc>
          <w:tcPr>
            <w:tcW w:w="930" w:type="dxa"/>
            <w:tcBorders>
              <w:top w:val="nil"/>
              <w:left w:val="nil"/>
              <w:bottom w:val="nil"/>
              <w:right w:val="single" w:sz="4" w:space="0" w:color="auto"/>
            </w:tcBorders>
            <w:shd w:val="clear" w:color="auto" w:fill="auto"/>
            <w:noWrap/>
            <w:vAlign w:val="bottom"/>
            <w:hideMark/>
          </w:tcPr>
          <w:p w14:paraId="3654010E"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0.37</w:t>
            </w:r>
          </w:p>
        </w:tc>
        <w:tc>
          <w:tcPr>
            <w:tcW w:w="870" w:type="dxa"/>
            <w:tcBorders>
              <w:top w:val="nil"/>
              <w:left w:val="nil"/>
              <w:bottom w:val="nil"/>
              <w:right w:val="nil"/>
            </w:tcBorders>
            <w:shd w:val="clear" w:color="auto" w:fill="auto"/>
            <w:noWrap/>
            <w:vAlign w:val="bottom"/>
            <w:hideMark/>
          </w:tcPr>
          <w:p w14:paraId="4FB959E4" w14:textId="77777777" w:rsidR="00DA7109" w:rsidRPr="00DA7109" w:rsidRDefault="00DA7109" w:rsidP="00DA7109">
            <w:pPr>
              <w:jc w:val="center"/>
              <w:rPr>
                <w:rFonts w:ascii="Calibri" w:eastAsia="Times New Roman" w:hAnsi="Calibri"/>
                <w:color w:val="000000"/>
                <w:sz w:val="22"/>
                <w:szCs w:val="22"/>
                <w:lang w:val="de-DE" w:eastAsia="de-DE"/>
              </w:rPr>
            </w:pPr>
          </w:p>
        </w:tc>
        <w:tc>
          <w:tcPr>
            <w:tcW w:w="870" w:type="dxa"/>
            <w:tcBorders>
              <w:top w:val="nil"/>
              <w:left w:val="nil"/>
              <w:bottom w:val="nil"/>
              <w:right w:val="nil"/>
            </w:tcBorders>
            <w:shd w:val="clear" w:color="auto" w:fill="auto"/>
            <w:noWrap/>
            <w:vAlign w:val="bottom"/>
            <w:hideMark/>
          </w:tcPr>
          <w:p w14:paraId="14BA5792"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4BBE4A6A"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0.06</w:t>
            </w:r>
          </w:p>
        </w:tc>
        <w:tc>
          <w:tcPr>
            <w:tcW w:w="930" w:type="dxa"/>
            <w:tcBorders>
              <w:top w:val="nil"/>
              <w:left w:val="nil"/>
              <w:bottom w:val="nil"/>
              <w:right w:val="nil"/>
            </w:tcBorders>
            <w:shd w:val="clear" w:color="auto" w:fill="auto"/>
            <w:noWrap/>
            <w:vAlign w:val="bottom"/>
            <w:hideMark/>
          </w:tcPr>
          <w:p w14:paraId="5E399E32"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0.24</w:t>
            </w:r>
          </w:p>
        </w:tc>
      </w:tr>
      <w:tr w:rsidR="00DA7109" w:rsidRPr="00DA7109" w14:paraId="20D09E95"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5FD3C1F8"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6</w:t>
            </w:r>
          </w:p>
        </w:tc>
        <w:tc>
          <w:tcPr>
            <w:tcW w:w="870" w:type="dxa"/>
            <w:tcBorders>
              <w:top w:val="nil"/>
              <w:left w:val="nil"/>
              <w:bottom w:val="nil"/>
              <w:right w:val="nil"/>
            </w:tcBorders>
            <w:shd w:val="clear" w:color="auto" w:fill="auto"/>
            <w:noWrap/>
            <w:vAlign w:val="bottom"/>
            <w:hideMark/>
          </w:tcPr>
          <w:p w14:paraId="59C53AEE"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 </w:t>
            </w:r>
          </w:p>
        </w:tc>
        <w:tc>
          <w:tcPr>
            <w:tcW w:w="870" w:type="dxa"/>
            <w:tcBorders>
              <w:top w:val="nil"/>
              <w:left w:val="nil"/>
              <w:bottom w:val="nil"/>
              <w:right w:val="nil"/>
            </w:tcBorders>
            <w:shd w:val="clear" w:color="auto" w:fill="auto"/>
            <w:noWrap/>
            <w:vAlign w:val="bottom"/>
            <w:hideMark/>
          </w:tcPr>
          <w:p w14:paraId="7E72B59E"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11AE6397"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single" w:sz="4" w:space="0" w:color="auto"/>
            </w:tcBorders>
            <w:shd w:val="clear" w:color="auto" w:fill="auto"/>
            <w:noWrap/>
            <w:vAlign w:val="bottom"/>
            <w:hideMark/>
          </w:tcPr>
          <w:p w14:paraId="6A2F4EA0"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0.27</w:t>
            </w:r>
          </w:p>
        </w:tc>
        <w:tc>
          <w:tcPr>
            <w:tcW w:w="870" w:type="dxa"/>
            <w:tcBorders>
              <w:top w:val="nil"/>
              <w:left w:val="nil"/>
              <w:bottom w:val="nil"/>
              <w:right w:val="nil"/>
            </w:tcBorders>
            <w:shd w:val="clear" w:color="auto" w:fill="auto"/>
            <w:noWrap/>
            <w:vAlign w:val="bottom"/>
            <w:hideMark/>
          </w:tcPr>
          <w:p w14:paraId="33E847DD" w14:textId="77777777" w:rsidR="00DA7109" w:rsidRPr="00DA7109" w:rsidRDefault="00DA7109" w:rsidP="00DA7109">
            <w:pPr>
              <w:jc w:val="center"/>
              <w:rPr>
                <w:rFonts w:ascii="Calibri" w:eastAsia="Times New Roman" w:hAnsi="Calibri"/>
                <w:color w:val="000000"/>
                <w:sz w:val="22"/>
                <w:szCs w:val="22"/>
                <w:lang w:val="de-DE" w:eastAsia="de-DE"/>
              </w:rPr>
            </w:pPr>
          </w:p>
        </w:tc>
        <w:tc>
          <w:tcPr>
            <w:tcW w:w="870" w:type="dxa"/>
            <w:tcBorders>
              <w:top w:val="nil"/>
              <w:left w:val="nil"/>
              <w:bottom w:val="nil"/>
              <w:right w:val="nil"/>
            </w:tcBorders>
            <w:shd w:val="clear" w:color="auto" w:fill="auto"/>
            <w:noWrap/>
            <w:vAlign w:val="bottom"/>
            <w:hideMark/>
          </w:tcPr>
          <w:p w14:paraId="7119A6CC"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0020E530"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0905065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0.45</w:t>
            </w:r>
          </w:p>
        </w:tc>
      </w:tr>
      <w:tr w:rsidR="00DA7109" w:rsidRPr="00DA7109" w14:paraId="35F431D2"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7E6088B7"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8</w:t>
            </w:r>
          </w:p>
        </w:tc>
        <w:tc>
          <w:tcPr>
            <w:tcW w:w="870" w:type="dxa"/>
            <w:tcBorders>
              <w:top w:val="nil"/>
              <w:left w:val="nil"/>
              <w:bottom w:val="nil"/>
              <w:right w:val="nil"/>
            </w:tcBorders>
            <w:shd w:val="clear" w:color="auto" w:fill="auto"/>
            <w:noWrap/>
            <w:vAlign w:val="bottom"/>
            <w:hideMark/>
          </w:tcPr>
          <w:p w14:paraId="5869DA30"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 </w:t>
            </w:r>
          </w:p>
        </w:tc>
        <w:tc>
          <w:tcPr>
            <w:tcW w:w="870" w:type="dxa"/>
            <w:tcBorders>
              <w:top w:val="nil"/>
              <w:left w:val="nil"/>
              <w:bottom w:val="nil"/>
              <w:right w:val="nil"/>
            </w:tcBorders>
            <w:shd w:val="clear" w:color="auto" w:fill="auto"/>
            <w:noWrap/>
            <w:vAlign w:val="bottom"/>
            <w:hideMark/>
          </w:tcPr>
          <w:p w14:paraId="6FE455DA"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0.15</w:t>
            </w:r>
          </w:p>
        </w:tc>
        <w:tc>
          <w:tcPr>
            <w:tcW w:w="930" w:type="dxa"/>
            <w:tcBorders>
              <w:top w:val="nil"/>
              <w:left w:val="nil"/>
              <w:bottom w:val="nil"/>
              <w:right w:val="nil"/>
            </w:tcBorders>
            <w:shd w:val="clear" w:color="auto" w:fill="auto"/>
            <w:noWrap/>
            <w:vAlign w:val="bottom"/>
            <w:hideMark/>
          </w:tcPr>
          <w:p w14:paraId="25BE740C"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0.23</w:t>
            </w:r>
          </w:p>
        </w:tc>
        <w:tc>
          <w:tcPr>
            <w:tcW w:w="930" w:type="dxa"/>
            <w:tcBorders>
              <w:top w:val="nil"/>
              <w:left w:val="nil"/>
              <w:bottom w:val="nil"/>
              <w:right w:val="single" w:sz="4" w:space="0" w:color="auto"/>
            </w:tcBorders>
            <w:shd w:val="clear" w:color="auto" w:fill="auto"/>
            <w:noWrap/>
            <w:vAlign w:val="bottom"/>
            <w:hideMark/>
          </w:tcPr>
          <w:p w14:paraId="1676C0E9"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0.33</w:t>
            </w:r>
          </w:p>
        </w:tc>
        <w:tc>
          <w:tcPr>
            <w:tcW w:w="870" w:type="dxa"/>
            <w:tcBorders>
              <w:top w:val="nil"/>
              <w:left w:val="nil"/>
              <w:bottom w:val="nil"/>
              <w:right w:val="nil"/>
            </w:tcBorders>
            <w:shd w:val="clear" w:color="auto" w:fill="auto"/>
            <w:noWrap/>
            <w:vAlign w:val="bottom"/>
            <w:hideMark/>
          </w:tcPr>
          <w:p w14:paraId="64D3683C" w14:textId="77777777" w:rsidR="00DA7109" w:rsidRPr="00DA7109" w:rsidRDefault="00DA7109" w:rsidP="00DA7109">
            <w:pPr>
              <w:jc w:val="center"/>
              <w:rPr>
                <w:rFonts w:ascii="Calibri" w:eastAsia="Times New Roman" w:hAnsi="Calibri"/>
                <w:color w:val="000000"/>
                <w:sz w:val="22"/>
                <w:szCs w:val="22"/>
                <w:lang w:val="de-DE" w:eastAsia="de-DE"/>
              </w:rPr>
            </w:pPr>
          </w:p>
        </w:tc>
        <w:tc>
          <w:tcPr>
            <w:tcW w:w="870" w:type="dxa"/>
            <w:tcBorders>
              <w:top w:val="nil"/>
              <w:left w:val="nil"/>
              <w:bottom w:val="nil"/>
              <w:right w:val="nil"/>
            </w:tcBorders>
            <w:shd w:val="clear" w:color="auto" w:fill="auto"/>
            <w:noWrap/>
            <w:vAlign w:val="bottom"/>
            <w:hideMark/>
          </w:tcPr>
          <w:p w14:paraId="1D52AB7A"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0.07</w:t>
            </w:r>
          </w:p>
        </w:tc>
        <w:tc>
          <w:tcPr>
            <w:tcW w:w="930" w:type="dxa"/>
            <w:tcBorders>
              <w:top w:val="nil"/>
              <w:left w:val="nil"/>
              <w:bottom w:val="nil"/>
              <w:right w:val="nil"/>
            </w:tcBorders>
            <w:shd w:val="clear" w:color="auto" w:fill="auto"/>
            <w:noWrap/>
            <w:vAlign w:val="bottom"/>
            <w:hideMark/>
          </w:tcPr>
          <w:p w14:paraId="07892D7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0.35</w:t>
            </w:r>
          </w:p>
        </w:tc>
        <w:tc>
          <w:tcPr>
            <w:tcW w:w="930" w:type="dxa"/>
            <w:tcBorders>
              <w:top w:val="nil"/>
              <w:left w:val="nil"/>
              <w:bottom w:val="nil"/>
              <w:right w:val="nil"/>
            </w:tcBorders>
            <w:shd w:val="clear" w:color="auto" w:fill="auto"/>
            <w:noWrap/>
            <w:vAlign w:val="bottom"/>
            <w:hideMark/>
          </w:tcPr>
          <w:p w14:paraId="34A1959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0.39</w:t>
            </w:r>
          </w:p>
        </w:tc>
      </w:tr>
      <w:tr w:rsidR="00DA7109" w:rsidRPr="00DA7109" w14:paraId="086F4C02"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74282412"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10</w:t>
            </w:r>
          </w:p>
        </w:tc>
        <w:tc>
          <w:tcPr>
            <w:tcW w:w="870" w:type="dxa"/>
            <w:tcBorders>
              <w:top w:val="nil"/>
              <w:left w:val="nil"/>
              <w:bottom w:val="nil"/>
              <w:right w:val="nil"/>
            </w:tcBorders>
            <w:shd w:val="clear" w:color="auto" w:fill="auto"/>
            <w:noWrap/>
            <w:vAlign w:val="bottom"/>
            <w:hideMark/>
          </w:tcPr>
          <w:p w14:paraId="42FCBE20"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 </w:t>
            </w:r>
          </w:p>
        </w:tc>
        <w:tc>
          <w:tcPr>
            <w:tcW w:w="870" w:type="dxa"/>
            <w:tcBorders>
              <w:top w:val="nil"/>
              <w:left w:val="nil"/>
              <w:bottom w:val="nil"/>
              <w:right w:val="nil"/>
            </w:tcBorders>
            <w:shd w:val="clear" w:color="auto" w:fill="auto"/>
            <w:noWrap/>
            <w:vAlign w:val="bottom"/>
            <w:hideMark/>
          </w:tcPr>
          <w:p w14:paraId="7516A791"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01274CA2"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single" w:sz="4" w:space="0" w:color="auto"/>
            </w:tcBorders>
            <w:shd w:val="clear" w:color="auto" w:fill="auto"/>
            <w:noWrap/>
            <w:vAlign w:val="bottom"/>
            <w:hideMark/>
          </w:tcPr>
          <w:p w14:paraId="5BB38624"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0.23</w:t>
            </w:r>
          </w:p>
        </w:tc>
        <w:tc>
          <w:tcPr>
            <w:tcW w:w="870" w:type="dxa"/>
            <w:tcBorders>
              <w:top w:val="nil"/>
              <w:left w:val="nil"/>
              <w:bottom w:val="nil"/>
              <w:right w:val="nil"/>
            </w:tcBorders>
            <w:shd w:val="clear" w:color="auto" w:fill="auto"/>
            <w:noWrap/>
            <w:vAlign w:val="bottom"/>
            <w:hideMark/>
          </w:tcPr>
          <w:p w14:paraId="112E0220" w14:textId="77777777" w:rsidR="00DA7109" w:rsidRPr="00DA7109" w:rsidRDefault="00DA7109" w:rsidP="00DA7109">
            <w:pPr>
              <w:jc w:val="center"/>
              <w:rPr>
                <w:rFonts w:ascii="Calibri" w:eastAsia="Times New Roman" w:hAnsi="Calibri"/>
                <w:color w:val="000000"/>
                <w:sz w:val="22"/>
                <w:szCs w:val="22"/>
                <w:lang w:val="de-DE" w:eastAsia="de-DE"/>
              </w:rPr>
            </w:pPr>
          </w:p>
        </w:tc>
        <w:tc>
          <w:tcPr>
            <w:tcW w:w="870" w:type="dxa"/>
            <w:tcBorders>
              <w:top w:val="nil"/>
              <w:left w:val="nil"/>
              <w:bottom w:val="nil"/>
              <w:right w:val="nil"/>
            </w:tcBorders>
            <w:shd w:val="clear" w:color="auto" w:fill="auto"/>
            <w:noWrap/>
            <w:vAlign w:val="bottom"/>
            <w:hideMark/>
          </w:tcPr>
          <w:p w14:paraId="2D144BE9"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7EB0EBA7"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644D66D8"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0.27</w:t>
            </w:r>
          </w:p>
        </w:tc>
      </w:tr>
      <w:tr w:rsidR="00DA7109" w:rsidRPr="00DA7109" w14:paraId="4D2D6A93"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30C38C8B"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12</w:t>
            </w:r>
          </w:p>
        </w:tc>
        <w:tc>
          <w:tcPr>
            <w:tcW w:w="870" w:type="dxa"/>
            <w:tcBorders>
              <w:top w:val="nil"/>
              <w:left w:val="nil"/>
              <w:bottom w:val="nil"/>
              <w:right w:val="nil"/>
            </w:tcBorders>
            <w:shd w:val="clear" w:color="auto" w:fill="auto"/>
            <w:noWrap/>
            <w:vAlign w:val="bottom"/>
            <w:hideMark/>
          </w:tcPr>
          <w:p w14:paraId="58F38397"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 </w:t>
            </w:r>
          </w:p>
        </w:tc>
        <w:tc>
          <w:tcPr>
            <w:tcW w:w="870" w:type="dxa"/>
            <w:tcBorders>
              <w:top w:val="nil"/>
              <w:left w:val="nil"/>
              <w:bottom w:val="nil"/>
              <w:right w:val="nil"/>
            </w:tcBorders>
            <w:shd w:val="clear" w:color="auto" w:fill="auto"/>
            <w:noWrap/>
            <w:vAlign w:val="bottom"/>
            <w:hideMark/>
          </w:tcPr>
          <w:p w14:paraId="110C228E"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19966E3E"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0.30</w:t>
            </w:r>
          </w:p>
        </w:tc>
        <w:tc>
          <w:tcPr>
            <w:tcW w:w="930" w:type="dxa"/>
            <w:tcBorders>
              <w:top w:val="nil"/>
              <w:left w:val="nil"/>
              <w:bottom w:val="nil"/>
              <w:right w:val="single" w:sz="4" w:space="0" w:color="auto"/>
            </w:tcBorders>
            <w:shd w:val="clear" w:color="auto" w:fill="auto"/>
            <w:noWrap/>
            <w:vAlign w:val="bottom"/>
            <w:hideMark/>
          </w:tcPr>
          <w:p w14:paraId="3B0FED08"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0.24</w:t>
            </w:r>
          </w:p>
        </w:tc>
        <w:tc>
          <w:tcPr>
            <w:tcW w:w="870" w:type="dxa"/>
            <w:tcBorders>
              <w:top w:val="nil"/>
              <w:left w:val="nil"/>
              <w:bottom w:val="nil"/>
              <w:right w:val="nil"/>
            </w:tcBorders>
            <w:shd w:val="clear" w:color="auto" w:fill="auto"/>
            <w:noWrap/>
            <w:vAlign w:val="bottom"/>
            <w:hideMark/>
          </w:tcPr>
          <w:p w14:paraId="6D0521B2" w14:textId="77777777" w:rsidR="00DA7109" w:rsidRPr="00DA7109" w:rsidRDefault="00DA7109" w:rsidP="00DA7109">
            <w:pPr>
              <w:jc w:val="center"/>
              <w:rPr>
                <w:rFonts w:ascii="Calibri" w:eastAsia="Times New Roman" w:hAnsi="Calibri"/>
                <w:color w:val="000000"/>
                <w:sz w:val="22"/>
                <w:szCs w:val="22"/>
                <w:lang w:val="de-DE" w:eastAsia="de-DE"/>
              </w:rPr>
            </w:pPr>
          </w:p>
        </w:tc>
        <w:tc>
          <w:tcPr>
            <w:tcW w:w="870" w:type="dxa"/>
            <w:tcBorders>
              <w:top w:val="nil"/>
              <w:left w:val="nil"/>
              <w:bottom w:val="nil"/>
              <w:right w:val="nil"/>
            </w:tcBorders>
            <w:shd w:val="clear" w:color="auto" w:fill="auto"/>
            <w:noWrap/>
            <w:vAlign w:val="bottom"/>
            <w:hideMark/>
          </w:tcPr>
          <w:p w14:paraId="78EAA90A"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5D63DCBE"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0.29</w:t>
            </w:r>
          </w:p>
        </w:tc>
        <w:tc>
          <w:tcPr>
            <w:tcW w:w="930" w:type="dxa"/>
            <w:tcBorders>
              <w:top w:val="nil"/>
              <w:left w:val="nil"/>
              <w:bottom w:val="nil"/>
              <w:right w:val="nil"/>
            </w:tcBorders>
            <w:shd w:val="clear" w:color="auto" w:fill="auto"/>
            <w:noWrap/>
            <w:vAlign w:val="bottom"/>
            <w:hideMark/>
          </w:tcPr>
          <w:p w14:paraId="5B184574"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0.41</w:t>
            </w:r>
          </w:p>
        </w:tc>
      </w:tr>
      <w:tr w:rsidR="00DA7109" w:rsidRPr="00DA7109" w14:paraId="10D2DE41"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625E77C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14</w:t>
            </w:r>
          </w:p>
        </w:tc>
        <w:tc>
          <w:tcPr>
            <w:tcW w:w="870" w:type="dxa"/>
            <w:tcBorders>
              <w:top w:val="nil"/>
              <w:left w:val="nil"/>
              <w:bottom w:val="nil"/>
              <w:right w:val="nil"/>
            </w:tcBorders>
            <w:shd w:val="clear" w:color="auto" w:fill="auto"/>
            <w:noWrap/>
            <w:vAlign w:val="bottom"/>
            <w:hideMark/>
          </w:tcPr>
          <w:p w14:paraId="5D25AFC2"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 </w:t>
            </w:r>
          </w:p>
        </w:tc>
        <w:tc>
          <w:tcPr>
            <w:tcW w:w="870" w:type="dxa"/>
            <w:tcBorders>
              <w:top w:val="nil"/>
              <w:left w:val="nil"/>
              <w:bottom w:val="nil"/>
              <w:right w:val="nil"/>
            </w:tcBorders>
            <w:shd w:val="clear" w:color="auto" w:fill="auto"/>
            <w:noWrap/>
            <w:vAlign w:val="bottom"/>
            <w:hideMark/>
          </w:tcPr>
          <w:p w14:paraId="09D49499"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3B55735F"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single" w:sz="4" w:space="0" w:color="auto"/>
            </w:tcBorders>
            <w:shd w:val="clear" w:color="auto" w:fill="auto"/>
            <w:noWrap/>
            <w:vAlign w:val="bottom"/>
            <w:hideMark/>
          </w:tcPr>
          <w:p w14:paraId="5837C96B"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0.16</w:t>
            </w:r>
          </w:p>
        </w:tc>
        <w:tc>
          <w:tcPr>
            <w:tcW w:w="870" w:type="dxa"/>
            <w:tcBorders>
              <w:top w:val="nil"/>
              <w:left w:val="nil"/>
              <w:bottom w:val="nil"/>
              <w:right w:val="nil"/>
            </w:tcBorders>
            <w:shd w:val="clear" w:color="auto" w:fill="auto"/>
            <w:noWrap/>
            <w:vAlign w:val="bottom"/>
            <w:hideMark/>
          </w:tcPr>
          <w:p w14:paraId="6F36F9C4" w14:textId="77777777" w:rsidR="00DA7109" w:rsidRPr="00DA7109" w:rsidRDefault="00DA7109" w:rsidP="00DA7109">
            <w:pPr>
              <w:jc w:val="center"/>
              <w:rPr>
                <w:rFonts w:ascii="Calibri" w:eastAsia="Times New Roman" w:hAnsi="Calibri"/>
                <w:color w:val="000000"/>
                <w:sz w:val="22"/>
                <w:szCs w:val="22"/>
                <w:lang w:val="de-DE" w:eastAsia="de-DE"/>
              </w:rPr>
            </w:pPr>
          </w:p>
        </w:tc>
        <w:tc>
          <w:tcPr>
            <w:tcW w:w="870" w:type="dxa"/>
            <w:tcBorders>
              <w:top w:val="nil"/>
              <w:left w:val="nil"/>
              <w:bottom w:val="nil"/>
              <w:right w:val="nil"/>
            </w:tcBorders>
            <w:shd w:val="clear" w:color="auto" w:fill="auto"/>
            <w:noWrap/>
            <w:vAlign w:val="bottom"/>
            <w:hideMark/>
          </w:tcPr>
          <w:p w14:paraId="2B18C3A0"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7015887F" w14:textId="77777777" w:rsidR="00DA7109" w:rsidRPr="00DA7109" w:rsidRDefault="00DA7109" w:rsidP="00DA7109">
            <w:pPr>
              <w:jc w:val="center"/>
              <w:rPr>
                <w:rFonts w:ascii="Calibri" w:eastAsia="Times New Roman" w:hAnsi="Calibri"/>
                <w:color w:val="000000"/>
                <w:sz w:val="22"/>
                <w:szCs w:val="22"/>
                <w:lang w:val="de-DE" w:eastAsia="de-DE"/>
              </w:rPr>
            </w:pPr>
          </w:p>
        </w:tc>
        <w:tc>
          <w:tcPr>
            <w:tcW w:w="930" w:type="dxa"/>
            <w:tcBorders>
              <w:top w:val="nil"/>
              <w:left w:val="nil"/>
              <w:bottom w:val="nil"/>
              <w:right w:val="nil"/>
            </w:tcBorders>
            <w:shd w:val="clear" w:color="auto" w:fill="auto"/>
            <w:noWrap/>
            <w:vAlign w:val="bottom"/>
            <w:hideMark/>
          </w:tcPr>
          <w:p w14:paraId="052252E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0.24</w:t>
            </w:r>
          </w:p>
        </w:tc>
      </w:tr>
      <w:tr w:rsidR="00DA7109" w:rsidRPr="00DA7109" w14:paraId="2CD30174" w14:textId="77777777" w:rsidTr="00DA7109">
        <w:trPr>
          <w:trHeight w:val="300"/>
        </w:trPr>
        <w:tc>
          <w:tcPr>
            <w:tcW w:w="1560" w:type="dxa"/>
            <w:tcBorders>
              <w:top w:val="nil"/>
              <w:left w:val="nil"/>
              <w:bottom w:val="single" w:sz="4" w:space="0" w:color="auto"/>
              <w:right w:val="single" w:sz="4" w:space="0" w:color="auto"/>
            </w:tcBorders>
            <w:shd w:val="clear" w:color="auto" w:fill="auto"/>
            <w:noWrap/>
            <w:vAlign w:val="bottom"/>
            <w:hideMark/>
          </w:tcPr>
          <w:p w14:paraId="04A52CE6"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16</w:t>
            </w:r>
          </w:p>
        </w:tc>
        <w:tc>
          <w:tcPr>
            <w:tcW w:w="870" w:type="dxa"/>
            <w:tcBorders>
              <w:top w:val="nil"/>
              <w:left w:val="nil"/>
              <w:bottom w:val="single" w:sz="4" w:space="0" w:color="auto"/>
              <w:right w:val="nil"/>
            </w:tcBorders>
            <w:shd w:val="clear" w:color="auto" w:fill="auto"/>
            <w:noWrap/>
            <w:vAlign w:val="bottom"/>
            <w:hideMark/>
          </w:tcPr>
          <w:p w14:paraId="4FB8196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0.01</w:t>
            </w:r>
          </w:p>
        </w:tc>
        <w:tc>
          <w:tcPr>
            <w:tcW w:w="870" w:type="dxa"/>
            <w:tcBorders>
              <w:top w:val="nil"/>
              <w:left w:val="nil"/>
              <w:bottom w:val="single" w:sz="4" w:space="0" w:color="auto"/>
              <w:right w:val="nil"/>
            </w:tcBorders>
            <w:shd w:val="clear" w:color="auto" w:fill="auto"/>
            <w:noWrap/>
            <w:vAlign w:val="bottom"/>
            <w:hideMark/>
          </w:tcPr>
          <w:p w14:paraId="64B3071D"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0.06</w:t>
            </w:r>
          </w:p>
        </w:tc>
        <w:tc>
          <w:tcPr>
            <w:tcW w:w="930" w:type="dxa"/>
            <w:tcBorders>
              <w:top w:val="nil"/>
              <w:left w:val="nil"/>
              <w:bottom w:val="single" w:sz="4" w:space="0" w:color="auto"/>
              <w:right w:val="nil"/>
            </w:tcBorders>
            <w:shd w:val="clear" w:color="auto" w:fill="auto"/>
            <w:noWrap/>
            <w:vAlign w:val="bottom"/>
            <w:hideMark/>
          </w:tcPr>
          <w:p w14:paraId="4324D20E"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0.18</w:t>
            </w:r>
          </w:p>
        </w:tc>
        <w:tc>
          <w:tcPr>
            <w:tcW w:w="930" w:type="dxa"/>
            <w:tcBorders>
              <w:top w:val="nil"/>
              <w:left w:val="nil"/>
              <w:bottom w:val="single" w:sz="4" w:space="0" w:color="auto"/>
              <w:right w:val="single" w:sz="4" w:space="0" w:color="auto"/>
            </w:tcBorders>
            <w:shd w:val="clear" w:color="auto" w:fill="auto"/>
            <w:noWrap/>
            <w:vAlign w:val="bottom"/>
            <w:hideMark/>
          </w:tcPr>
          <w:p w14:paraId="769B39DA"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0.02</w:t>
            </w:r>
          </w:p>
        </w:tc>
        <w:tc>
          <w:tcPr>
            <w:tcW w:w="870" w:type="dxa"/>
            <w:tcBorders>
              <w:top w:val="nil"/>
              <w:left w:val="nil"/>
              <w:bottom w:val="single" w:sz="4" w:space="0" w:color="auto"/>
              <w:right w:val="nil"/>
            </w:tcBorders>
            <w:shd w:val="clear" w:color="auto" w:fill="auto"/>
            <w:noWrap/>
            <w:vAlign w:val="bottom"/>
            <w:hideMark/>
          </w:tcPr>
          <w:p w14:paraId="3C074713"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0.02</w:t>
            </w:r>
          </w:p>
        </w:tc>
        <w:tc>
          <w:tcPr>
            <w:tcW w:w="870" w:type="dxa"/>
            <w:tcBorders>
              <w:top w:val="nil"/>
              <w:left w:val="nil"/>
              <w:bottom w:val="single" w:sz="4" w:space="0" w:color="auto"/>
              <w:right w:val="nil"/>
            </w:tcBorders>
            <w:shd w:val="clear" w:color="auto" w:fill="auto"/>
            <w:noWrap/>
            <w:vAlign w:val="bottom"/>
            <w:hideMark/>
          </w:tcPr>
          <w:p w14:paraId="7E3E6683"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0.01</w:t>
            </w:r>
          </w:p>
        </w:tc>
        <w:tc>
          <w:tcPr>
            <w:tcW w:w="930" w:type="dxa"/>
            <w:tcBorders>
              <w:top w:val="nil"/>
              <w:left w:val="nil"/>
              <w:bottom w:val="single" w:sz="4" w:space="0" w:color="auto"/>
              <w:right w:val="nil"/>
            </w:tcBorders>
            <w:shd w:val="clear" w:color="auto" w:fill="auto"/>
            <w:noWrap/>
            <w:vAlign w:val="bottom"/>
            <w:hideMark/>
          </w:tcPr>
          <w:p w14:paraId="3AEF9BC9"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0.18</w:t>
            </w:r>
          </w:p>
        </w:tc>
        <w:tc>
          <w:tcPr>
            <w:tcW w:w="930" w:type="dxa"/>
            <w:tcBorders>
              <w:top w:val="nil"/>
              <w:left w:val="nil"/>
              <w:bottom w:val="single" w:sz="4" w:space="0" w:color="auto"/>
              <w:right w:val="nil"/>
            </w:tcBorders>
            <w:shd w:val="clear" w:color="auto" w:fill="auto"/>
            <w:noWrap/>
            <w:vAlign w:val="bottom"/>
            <w:hideMark/>
          </w:tcPr>
          <w:p w14:paraId="153852F3"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0.23</w:t>
            </w:r>
          </w:p>
        </w:tc>
      </w:tr>
      <w:tr w:rsidR="00DA7109" w:rsidRPr="00DA7109" w14:paraId="195152EB"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35EB9C6D" w14:textId="77777777" w:rsidR="00DA7109" w:rsidRPr="00DA7109" w:rsidRDefault="00DA7109" w:rsidP="00DA7109">
            <w:pPr>
              <w:rPr>
                <w:rFonts w:ascii="Calibri" w:eastAsia="Times New Roman" w:hAnsi="Calibri"/>
                <w:color w:val="000000"/>
                <w:sz w:val="22"/>
                <w:szCs w:val="22"/>
                <w:lang w:val="de-DE" w:eastAsia="de-DE"/>
              </w:rPr>
            </w:pPr>
            <w:proofErr w:type="spellStart"/>
            <w:r w:rsidRPr="00DA7109">
              <w:rPr>
                <w:rFonts w:ascii="Calibri" w:eastAsia="Times New Roman" w:hAnsi="Calibri"/>
                <w:color w:val="000000"/>
                <w:sz w:val="22"/>
                <w:szCs w:val="22"/>
                <w:lang w:val="de-DE" w:eastAsia="de-DE"/>
              </w:rPr>
              <w:t>mean</w:t>
            </w:r>
            <w:proofErr w:type="spellEnd"/>
            <w:r w:rsidRPr="00DA7109">
              <w:rPr>
                <w:rFonts w:ascii="Calibri" w:eastAsia="Times New Roman" w:hAnsi="Calibri"/>
                <w:color w:val="000000"/>
                <w:sz w:val="22"/>
                <w:szCs w:val="22"/>
                <w:lang w:val="de-DE" w:eastAsia="de-DE"/>
              </w:rPr>
              <w:t xml:space="preserve"> all</w:t>
            </w:r>
          </w:p>
        </w:tc>
        <w:tc>
          <w:tcPr>
            <w:tcW w:w="870" w:type="dxa"/>
            <w:tcBorders>
              <w:top w:val="nil"/>
              <w:left w:val="nil"/>
              <w:bottom w:val="nil"/>
              <w:right w:val="nil"/>
            </w:tcBorders>
            <w:shd w:val="clear" w:color="auto" w:fill="auto"/>
            <w:noWrap/>
            <w:vAlign w:val="bottom"/>
            <w:hideMark/>
          </w:tcPr>
          <w:p w14:paraId="2ADCE0E8"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0.01</w:t>
            </w:r>
          </w:p>
        </w:tc>
        <w:tc>
          <w:tcPr>
            <w:tcW w:w="870" w:type="dxa"/>
            <w:tcBorders>
              <w:top w:val="nil"/>
              <w:left w:val="nil"/>
              <w:bottom w:val="nil"/>
              <w:right w:val="nil"/>
            </w:tcBorders>
            <w:shd w:val="clear" w:color="auto" w:fill="auto"/>
            <w:noWrap/>
            <w:vAlign w:val="bottom"/>
            <w:hideMark/>
          </w:tcPr>
          <w:p w14:paraId="76ACFFEA"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0.11</w:t>
            </w:r>
          </w:p>
        </w:tc>
        <w:tc>
          <w:tcPr>
            <w:tcW w:w="930" w:type="dxa"/>
            <w:tcBorders>
              <w:top w:val="nil"/>
              <w:left w:val="nil"/>
              <w:bottom w:val="nil"/>
              <w:right w:val="nil"/>
            </w:tcBorders>
            <w:shd w:val="clear" w:color="auto" w:fill="auto"/>
            <w:noWrap/>
            <w:vAlign w:val="bottom"/>
            <w:hideMark/>
          </w:tcPr>
          <w:p w14:paraId="65E2B9D4"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0.28</w:t>
            </w:r>
          </w:p>
        </w:tc>
        <w:tc>
          <w:tcPr>
            <w:tcW w:w="930" w:type="dxa"/>
            <w:tcBorders>
              <w:top w:val="nil"/>
              <w:left w:val="nil"/>
              <w:bottom w:val="nil"/>
              <w:right w:val="single" w:sz="4" w:space="0" w:color="auto"/>
            </w:tcBorders>
            <w:shd w:val="clear" w:color="auto" w:fill="auto"/>
            <w:noWrap/>
            <w:vAlign w:val="bottom"/>
            <w:hideMark/>
          </w:tcPr>
          <w:p w14:paraId="45FFE3BD"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0.24</w:t>
            </w:r>
          </w:p>
        </w:tc>
        <w:tc>
          <w:tcPr>
            <w:tcW w:w="870" w:type="dxa"/>
            <w:tcBorders>
              <w:top w:val="nil"/>
              <w:left w:val="nil"/>
              <w:bottom w:val="nil"/>
              <w:right w:val="nil"/>
            </w:tcBorders>
            <w:shd w:val="clear" w:color="auto" w:fill="auto"/>
            <w:noWrap/>
            <w:vAlign w:val="bottom"/>
            <w:hideMark/>
          </w:tcPr>
          <w:p w14:paraId="04D0AED1"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0.02</w:t>
            </w:r>
          </w:p>
        </w:tc>
        <w:tc>
          <w:tcPr>
            <w:tcW w:w="870" w:type="dxa"/>
            <w:tcBorders>
              <w:top w:val="nil"/>
              <w:left w:val="nil"/>
              <w:bottom w:val="nil"/>
              <w:right w:val="nil"/>
            </w:tcBorders>
            <w:shd w:val="clear" w:color="auto" w:fill="auto"/>
            <w:noWrap/>
            <w:vAlign w:val="bottom"/>
            <w:hideMark/>
          </w:tcPr>
          <w:p w14:paraId="54CF43A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0.04</w:t>
            </w:r>
          </w:p>
        </w:tc>
        <w:tc>
          <w:tcPr>
            <w:tcW w:w="930" w:type="dxa"/>
            <w:tcBorders>
              <w:top w:val="nil"/>
              <w:left w:val="nil"/>
              <w:bottom w:val="nil"/>
              <w:right w:val="nil"/>
            </w:tcBorders>
            <w:shd w:val="clear" w:color="auto" w:fill="auto"/>
            <w:noWrap/>
            <w:vAlign w:val="bottom"/>
            <w:hideMark/>
          </w:tcPr>
          <w:p w14:paraId="2E62E1DE"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0.22</w:t>
            </w:r>
          </w:p>
        </w:tc>
        <w:tc>
          <w:tcPr>
            <w:tcW w:w="930" w:type="dxa"/>
            <w:tcBorders>
              <w:top w:val="nil"/>
              <w:left w:val="nil"/>
              <w:bottom w:val="nil"/>
              <w:right w:val="nil"/>
            </w:tcBorders>
            <w:shd w:val="clear" w:color="auto" w:fill="auto"/>
            <w:noWrap/>
            <w:vAlign w:val="bottom"/>
            <w:hideMark/>
          </w:tcPr>
          <w:p w14:paraId="227FBBB8"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0.30</w:t>
            </w:r>
          </w:p>
        </w:tc>
      </w:tr>
      <w:tr w:rsidR="00DA7109" w:rsidRPr="00DA7109" w14:paraId="177954F9"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5FE6C960" w14:textId="77777777" w:rsidR="00DA7109" w:rsidRPr="00DA7109" w:rsidRDefault="00DA7109" w:rsidP="00DA7109">
            <w:pPr>
              <w:rPr>
                <w:rFonts w:ascii="Calibri" w:eastAsia="Times New Roman" w:hAnsi="Calibri"/>
                <w:color w:val="000000"/>
                <w:sz w:val="22"/>
                <w:szCs w:val="22"/>
                <w:lang w:val="de-DE" w:eastAsia="de-DE"/>
              </w:rPr>
            </w:pPr>
            <w:proofErr w:type="spellStart"/>
            <w:r w:rsidRPr="00DA7109">
              <w:rPr>
                <w:rFonts w:ascii="Calibri" w:eastAsia="Times New Roman" w:hAnsi="Calibri"/>
                <w:color w:val="000000"/>
                <w:sz w:val="22"/>
                <w:szCs w:val="22"/>
                <w:lang w:val="de-DE" w:eastAsia="de-DE"/>
              </w:rPr>
              <w:t>mean</w:t>
            </w:r>
            <w:proofErr w:type="spellEnd"/>
            <w:r w:rsidRPr="00DA7109">
              <w:rPr>
                <w:rFonts w:ascii="Calibri" w:eastAsia="Times New Roman" w:hAnsi="Calibri"/>
                <w:color w:val="000000"/>
                <w:sz w:val="22"/>
                <w:szCs w:val="22"/>
                <w:lang w:val="de-DE" w:eastAsia="de-DE"/>
              </w:rPr>
              <w:t xml:space="preserve"> </w:t>
            </w:r>
            <w:proofErr w:type="spellStart"/>
            <w:r w:rsidRPr="00DA7109">
              <w:rPr>
                <w:rFonts w:ascii="Calibri" w:eastAsia="Times New Roman" w:hAnsi="Calibri"/>
                <w:color w:val="000000"/>
                <w:sz w:val="22"/>
                <w:szCs w:val="22"/>
                <w:lang w:val="de-DE" w:eastAsia="de-DE"/>
              </w:rPr>
              <w:t>spec</w:t>
            </w:r>
            <w:proofErr w:type="spellEnd"/>
            <w:r w:rsidRPr="00DA7109">
              <w:rPr>
                <w:rFonts w:ascii="Calibri" w:eastAsia="Times New Roman" w:hAnsi="Calibri"/>
                <w:color w:val="000000"/>
                <w:sz w:val="22"/>
                <w:szCs w:val="22"/>
                <w:lang w:val="de-DE" w:eastAsia="de-DE"/>
              </w:rPr>
              <w:t>.</w:t>
            </w:r>
          </w:p>
        </w:tc>
        <w:tc>
          <w:tcPr>
            <w:tcW w:w="870" w:type="dxa"/>
            <w:tcBorders>
              <w:top w:val="nil"/>
              <w:left w:val="nil"/>
              <w:bottom w:val="nil"/>
              <w:right w:val="nil"/>
            </w:tcBorders>
            <w:shd w:val="clear" w:color="auto" w:fill="auto"/>
            <w:noWrap/>
            <w:vAlign w:val="bottom"/>
            <w:hideMark/>
          </w:tcPr>
          <w:p w14:paraId="33C85712"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w:t>
            </w:r>
          </w:p>
        </w:tc>
        <w:tc>
          <w:tcPr>
            <w:tcW w:w="870" w:type="dxa"/>
            <w:tcBorders>
              <w:top w:val="nil"/>
              <w:left w:val="nil"/>
              <w:bottom w:val="nil"/>
              <w:right w:val="nil"/>
            </w:tcBorders>
            <w:shd w:val="clear" w:color="auto" w:fill="auto"/>
            <w:noWrap/>
            <w:vAlign w:val="bottom"/>
            <w:hideMark/>
          </w:tcPr>
          <w:p w14:paraId="27C1164C"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0.15</w:t>
            </w:r>
          </w:p>
        </w:tc>
        <w:tc>
          <w:tcPr>
            <w:tcW w:w="930" w:type="dxa"/>
            <w:tcBorders>
              <w:top w:val="nil"/>
              <w:left w:val="nil"/>
              <w:bottom w:val="nil"/>
              <w:right w:val="nil"/>
            </w:tcBorders>
            <w:shd w:val="clear" w:color="auto" w:fill="auto"/>
            <w:noWrap/>
            <w:vAlign w:val="bottom"/>
            <w:hideMark/>
          </w:tcPr>
          <w:p w14:paraId="35812366"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0.31</w:t>
            </w:r>
          </w:p>
        </w:tc>
        <w:tc>
          <w:tcPr>
            <w:tcW w:w="930" w:type="dxa"/>
            <w:tcBorders>
              <w:top w:val="nil"/>
              <w:left w:val="nil"/>
              <w:bottom w:val="nil"/>
              <w:right w:val="single" w:sz="4" w:space="0" w:color="auto"/>
            </w:tcBorders>
            <w:shd w:val="clear" w:color="auto" w:fill="auto"/>
            <w:noWrap/>
            <w:vAlign w:val="bottom"/>
            <w:hideMark/>
          </w:tcPr>
          <w:p w14:paraId="3637C5F7"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0.27</w:t>
            </w:r>
          </w:p>
        </w:tc>
        <w:tc>
          <w:tcPr>
            <w:tcW w:w="870" w:type="dxa"/>
            <w:tcBorders>
              <w:top w:val="nil"/>
              <w:left w:val="nil"/>
              <w:bottom w:val="nil"/>
              <w:right w:val="nil"/>
            </w:tcBorders>
            <w:shd w:val="clear" w:color="auto" w:fill="auto"/>
            <w:noWrap/>
            <w:vAlign w:val="bottom"/>
            <w:hideMark/>
          </w:tcPr>
          <w:p w14:paraId="14B25A44"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w:t>
            </w:r>
          </w:p>
        </w:tc>
        <w:tc>
          <w:tcPr>
            <w:tcW w:w="870" w:type="dxa"/>
            <w:tcBorders>
              <w:top w:val="nil"/>
              <w:left w:val="nil"/>
              <w:bottom w:val="nil"/>
              <w:right w:val="nil"/>
            </w:tcBorders>
            <w:shd w:val="clear" w:color="auto" w:fill="auto"/>
            <w:noWrap/>
            <w:vAlign w:val="bottom"/>
            <w:hideMark/>
          </w:tcPr>
          <w:p w14:paraId="193DABC3"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0.07</w:t>
            </w:r>
          </w:p>
        </w:tc>
        <w:tc>
          <w:tcPr>
            <w:tcW w:w="930" w:type="dxa"/>
            <w:tcBorders>
              <w:top w:val="nil"/>
              <w:left w:val="nil"/>
              <w:bottom w:val="nil"/>
              <w:right w:val="nil"/>
            </w:tcBorders>
            <w:shd w:val="clear" w:color="auto" w:fill="auto"/>
            <w:noWrap/>
            <w:vAlign w:val="bottom"/>
            <w:hideMark/>
          </w:tcPr>
          <w:p w14:paraId="6DF30F22"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0.23</w:t>
            </w:r>
          </w:p>
        </w:tc>
        <w:tc>
          <w:tcPr>
            <w:tcW w:w="930" w:type="dxa"/>
            <w:tcBorders>
              <w:top w:val="nil"/>
              <w:left w:val="nil"/>
              <w:bottom w:val="nil"/>
              <w:right w:val="nil"/>
            </w:tcBorders>
            <w:shd w:val="clear" w:color="auto" w:fill="auto"/>
            <w:noWrap/>
            <w:vAlign w:val="bottom"/>
            <w:hideMark/>
          </w:tcPr>
          <w:p w14:paraId="20988D81"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0.31</w:t>
            </w:r>
          </w:p>
        </w:tc>
      </w:tr>
      <w:tr w:rsidR="00DA7109" w:rsidRPr="00DA7109" w14:paraId="3199C421"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24BD9665" w14:textId="77777777" w:rsidR="00DA7109" w:rsidRPr="00DA7109" w:rsidRDefault="00DA7109" w:rsidP="00DA7109">
            <w:pPr>
              <w:rPr>
                <w:rFonts w:ascii="Calibri" w:eastAsia="Times New Roman" w:hAnsi="Calibri"/>
                <w:color w:val="000000"/>
                <w:sz w:val="22"/>
                <w:szCs w:val="22"/>
                <w:lang w:val="de-DE" w:eastAsia="de-DE"/>
              </w:rPr>
            </w:pPr>
            <w:proofErr w:type="spellStart"/>
            <w:r w:rsidRPr="00DA7109">
              <w:rPr>
                <w:rFonts w:ascii="Calibri" w:eastAsia="Times New Roman" w:hAnsi="Calibri"/>
                <w:color w:val="000000"/>
                <w:sz w:val="22"/>
                <w:szCs w:val="22"/>
                <w:lang w:val="de-DE" w:eastAsia="de-DE"/>
              </w:rPr>
              <w:t>mean</w:t>
            </w:r>
            <w:proofErr w:type="spellEnd"/>
            <w:r w:rsidRPr="00DA7109">
              <w:rPr>
                <w:rFonts w:ascii="Calibri" w:eastAsia="Times New Roman" w:hAnsi="Calibri"/>
                <w:color w:val="000000"/>
                <w:sz w:val="22"/>
                <w:szCs w:val="22"/>
                <w:lang w:val="de-DE" w:eastAsia="de-DE"/>
              </w:rPr>
              <w:t xml:space="preserve"> non </w:t>
            </w:r>
            <w:proofErr w:type="spellStart"/>
            <w:r w:rsidRPr="00DA7109">
              <w:rPr>
                <w:rFonts w:ascii="Calibri" w:eastAsia="Times New Roman" w:hAnsi="Calibri"/>
                <w:color w:val="000000"/>
                <w:sz w:val="22"/>
                <w:szCs w:val="22"/>
                <w:lang w:val="de-DE" w:eastAsia="de-DE"/>
              </w:rPr>
              <w:t>spec</w:t>
            </w:r>
            <w:proofErr w:type="spellEnd"/>
            <w:r w:rsidRPr="00DA7109">
              <w:rPr>
                <w:rFonts w:ascii="Calibri" w:eastAsia="Times New Roman" w:hAnsi="Calibri"/>
                <w:color w:val="000000"/>
                <w:sz w:val="22"/>
                <w:szCs w:val="22"/>
                <w:lang w:val="de-DE" w:eastAsia="de-DE"/>
              </w:rPr>
              <w:t>.</w:t>
            </w:r>
          </w:p>
        </w:tc>
        <w:tc>
          <w:tcPr>
            <w:tcW w:w="870" w:type="dxa"/>
            <w:tcBorders>
              <w:top w:val="nil"/>
              <w:left w:val="nil"/>
              <w:bottom w:val="nil"/>
              <w:right w:val="nil"/>
            </w:tcBorders>
            <w:shd w:val="clear" w:color="auto" w:fill="auto"/>
            <w:noWrap/>
            <w:vAlign w:val="bottom"/>
            <w:hideMark/>
          </w:tcPr>
          <w:p w14:paraId="183F748A"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0.01</w:t>
            </w:r>
          </w:p>
        </w:tc>
        <w:tc>
          <w:tcPr>
            <w:tcW w:w="870" w:type="dxa"/>
            <w:tcBorders>
              <w:top w:val="nil"/>
              <w:left w:val="nil"/>
              <w:bottom w:val="nil"/>
              <w:right w:val="nil"/>
            </w:tcBorders>
            <w:shd w:val="clear" w:color="auto" w:fill="auto"/>
            <w:noWrap/>
            <w:vAlign w:val="bottom"/>
            <w:hideMark/>
          </w:tcPr>
          <w:p w14:paraId="55668F6C"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0.06</w:t>
            </w:r>
          </w:p>
        </w:tc>
        <w:tc>
          <w:tcPr>
            <w:tcW w:w="930" w:type="dxa"/>
            <w:tcBorders>
              <w:top w:val="nil"/>
              <w:left w:val="nil"/>
              <w:bottom w:val="nil"/>
              <w:right w:val="nil"/>
            </w:tcBorders>
            <w:shd w:val="clear" w:color="auto" w:fill="auto"/>
            <w:noWrap/>
            <w:vAlign w:val="bottom"/>
            <w:hideMark/>
          </w:tcPr>
          <w:p w14:paraId="5A991267"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0.18</w:t>
            </w:r>
          </w:p>
        </w:tc>
        <w:tc>
          <w:tcPr>
            <w:tcW w:w="930" w:type="dxa"/>
            <w:tcBorders>
              <w:top w:val="nil"/>
              <w:left w:val="nil"/>
              <w:bottom w:val="nil"/>
              <w:right w:val="single" w:sz="4" w:space="0" w:color="auto"/>
            </w:tcBorders>
            <w:shd w:val="clear" w:color="auto" w:fill="auto"/>
            <w:noWrap/>
            <w:vAlign w:val="bottom"/>
            <w:hideMark/>
          </w:tcPr>
          <w:p w14:paraId="3D63D009"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0.02</w:t>
            </w:r>
          </w:p>
        </w:tc>
        <w:tc>
          <w:tcPr>
            <w:tcW w:w="870" w:type="dxa"/>
            <w:tcBorders>
              <w:top w:val="nil"/>
              <w:left w:val="nil"/>
              <w:bottom w:val="nil"/>
              <w:right w:val="nil"/>
            </w:tcBorders>
            <w:shd w:val="clear" w:color="auto" w:fill="auto"/>
            <w:noWrap/>
            <w:vAlign w:val="bottom"/>
            <w:hideMark/>
          </w:tcPr>
          <w:p w14:paraId="3930C236"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0.02</w:t>
            </w:r>
          </w:p>
        </w:tc>
        <w:tc>
          <w:tcPr>
            <w:tcW w:w="870" w:type="dxa"/>
            <w:tcBorders>
              <w:top w:val="nil"/>
              <w:left w:val="nil"/>
              <w:bottom w:val="nil"/>
              <w:right w:val="nil"/>
            </w:tcBorders>
            <w:shd w:val="clear" w:color="auto" w:fill="auto"/>
            <w:noWrap/>
            <w:vAlign w:val="bottom"/>
            <w:hideMark/>
          </w:tcPr>
          <w:p w14:paraId="1E975C66"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0.01</w:t>
            </w:r>
          </w:p>
        </w:tc>
        <w:tc>
          <w:tcPr>
            <w:tcW w:w="930" w:type="dxa"/>
            <w:tcBorders>
              <w:top w:val="nil"/>
              <w:left w:val="nil"/>
              <w:bottom w:val="nil"/>
              <w:right w:val="nil"/>
            </w:tcBorders>
            <w:shd w:val="clear" w:color="auto" w:fill="auto"/>
            <w:noWrap/>
            <w:vAlign w:val="bottom"/>
            <w:hideMark/>
          </w:tcPr>
          <w:p w14:paraId="2FC0732C"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0.18</w:t>
            </w:r>
          </w:p>
        </w:tc>
        <w:tc>
          <w:tcPr>
            <w:tcW w:w="930" w:type="dxa"/>
            <w:tcBorders>
              <w:top w:val="nil"/>
              <w:left w:val="nil"/>
              <w:bottom w:val="nil"/>
              <w:right w:val="nil"/>
            </w:tcBorders>
            <w:shd w:val="clear" w:color="auto" w:fill="auto"/>
            <w:noWrap/>
            <w:vAlign w:val="bottom"/>
            <w:hideMark/>
          </w:tcPr>
          <w:p w14:paraId="050F28B8"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0.23</w:t>
            </w:r>
          </w:p>
        </w:tc>
      </w:tr>
      <w:tr w:rsidR="00DA7109" w:rsidRPr="00DA7109" w14:paraId="4A09248F" w14:textId="77777777" w:rsidTr="00DA7109">
        <w:trPr>
          <w:trHeight w:val="300"/>
        </w:trPr>
        <w:tc>
          <w:tcPr>
            <w:tcW w:w="1560" w:type="dxa"/>
            <w:tcBorders>
              <w:top w:val="nil"/>
              <w:left w:val="nil"/>
              <w:bottom w:val="nil"/>
              <w:right w:val="single" w:sz="4" w:space="0" w:color="auto"/>
            </w:tcBorders>
            <w:shd w:val="clear" w:color="auto" w:fill="auto"/>
            <w:noWrap/>
            <w:vAlign w:val="bottom"/>
            <w:hideMark/>
          </w:tcPr>
          <w:p w14:paraId="7306030C" w14:textId="77777777" w:rsidR="00DA7109" w:rsidRPr="00DA7109" w:rsidRDefault="00DA7109" w:rsidP="00DA7109">
            <w:pPr>
              <w:rPr>
                <w:rFonts w:ascii="Calibri" w:eastAsia="Times New Roman" w:hAnsi="Calibri"/>
                <w:color w:val="000000"/>
                <w:sz w:val="22"/>
                <w:szCs w:val="22"/>
                <w:lang w:val="de-DE" w:eastAsia="de-DE"/>
              </w:rPr>
            </w:pPr>
            <w:proofErr w:type="spellStart"/>
            <w:r w:rsidRPr="00DA7109">
              <w:rPr>
                <w:rFonts w:ascii="Calibri" w:eastAsia="Times New Roman" w:hAnsi="Calibri"/>
                <w:color w:val="000000"/>
                <w:sz w:val="22"/>
                <w:szCs w:val="22"/>
                <w:lang w:val="de-DE" w:eastAsia="de-DE"/>
              </w:rPr>
              <w:t>significance</w:t>
            </w:r>
            <w:proofErr w:type="spellEnd"/>
          </w:p>
        </w:tc>
        <w:tc>
          <w:tcPr>
            <w:tcW w:w="870" w:type="dxa"/>
            <w:tcBorders>
              <w:top w:val="nil"/>
              <w:left w:val="nil"/>
              <w:bottom w:val="nil"/>
              <w:right w:val="nil"/>
            </w:tcBorders>
            <w:shd w:val="clear" w:color="auto" w:fill="auto"/>
            <w:noWrap/>
            <w:vAlign w:val="bottom"/>
            <w:hideMark/>
          </w:tcPr>
          <w:p w14:paraId="48AFD420" w14:textId="77777777" w:rsidR="00DA7109" w:rsidRPr="00DA7109" w:rsidRDefault="00DA7109" w:rsidP="00DA7109">
            <w:pP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 </w:t>
            </w:r>
          </w:p>
        </w:tc>
        <w:tc>
          <w:tcPr>
            <w:tcW w:w="870" w:type="dxa"/>
            <w:tcBorders>
              <w:top w:val="nil"/>
              <w:left w:val="nil"/>
              <w:bottom w:val="nil"/>
              <w:right w:val="nil"/>
            </w:tcBorders>
            <w:shd w:val="clear" w:color="auto" w:fill="auto"/>
            <w:noWrap/>
            <w:vAlign w:val="bottom"/>
            <w:hideMark/>
          </w:tcPr>
          <w:p w14:paraId="1C69B7B4" w14:textId="77777777" w:rsidR="00DA7109" w:rsidRPr="00DA7109" w:rsidRDefault="00DA7109" w:rsidP="00DA7109">
            <w:pPr>
              <w:jc w:val="center"/>
              <w:rPr>
                <w:rFonts w:ascii="Calibri" w:eastAsia="Times New Roman" w:hAnsi="Calibri"/>
                <w:color w:val="000000"/>
                <w:sz w:val="22"/>
                <w:szCs w:val="22"/>
                <w:lang w:val="de-DE" w:eastAsia="de-DE"/>
              </w:rPr>
            </w:pPr>
            <w:proofErr w:type="spellStart"/>
            <w:r w:rsidRPr="00DA7109">
              <w:rPr>
                <w:rFonts w:ascii="Calibri" w:eastAsia="Times New Roman" w:hAnsi="Calibri"/>
                <w:color w:val="000000"/>
                <w:sz w:val="22"/>
                <w:szCs w:val="22"/>
                <w:lang w:val="de-DE" w:eastAsia="de-DE"/>
              </w:rPr>
              <w:t>n.s</w:t>
            </w:r>
            <w:proofErr w:type="spellEnd"/>
            <w:r w:rsidRPr="00DA7109">
              <w:rPr>
                <w:rFonts w:ascii="Calibri" w:eastAsia="Times New Roman" w:hAnsi="Calibri"/>
                <w:color w:val="000000"/>
                <w:sz w:val="22"/>
                <w:szCs w:val="22"/>
                <w:lang w:val="de-DE" w:eastAsia="de-DE"/>
              </w:rPr>
              <w:t>.</w:t>
            </w:r>
          </w:p>
        </w:tc>
        <w:tc>
          <w:tcPr>
            <w:tcW w:w="930" w:type="dxa"/>
            <w:tcBorders>
              <w:top w:val="nil"/>
              <w:left w:val="nil"/>
              <w:bottom w:val="nil"/>
              <w:right w:val="nil"/>
            </w:tcBorders>
            <w:shd w:val="clear" w:color="auto" w:fill="auto"/>
            <w:noWrap/>
            <w:vAlign w:val="bottom"/>
            <w:hideMark/>
          </w:tcPr>
          <w:p w14:paraId="1EB9335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10%</w:t>
            </w:r>
          </w:p>
        </w:tc>
        <w:tc>
          <w:tcPr>
            <w:tcW w:w="930" w:type="dxa"/>
            <w:tcBorders>
              <w:top w:val="nil"/>
              <w:left w:val="nil"/>
              <w:bottom w:val="nil"/>
              <w:right w:val="single" w:sz="4" w:space="0" w:color="auto"/>
            </w:tcBorders>
            <w:shd w:val="clear" w:color="auto" w:fill="auto"/>
            <w:noWrap/>
            <w:vAlign w:val="bottom"/>
            <w:hideMark/>
          </w:tcPr>
          <w:p w14:paraId="41F30D89"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1%</w:t>
            </w:r>
          </w:p>
        </w:tc>
        <w:tc>
          <w:tcPr>
            <w:tcW w:w="870" w:type="dxa"/>
            <w:tcBorders>
              <w:top w:val="nil"/>
              <w:left w:val="nil"/>
              <w:bottom w:val="nil"/>
              <w:right w:val="nil"/>
            </w:tcBorders>
            <w:shd w:val="clear" w:color="auto" w:fill="auto"/>
            <w:noWrap/>
            <w:vAlign w:val="bottom"/>
            <w:hideMark/>
          </w:tcPr>
          <w:p w14:paraId="245B0974" w14:textId="77777777" w:rsidR="00DA7109" w:rsidRPr="00DA7109" w:rsidRDefault="00DA7109" w:rsidP="00DA7109">
            <w:pPr>
              <w:jc w:val="center"/>
              <w:rPr>
                <w:rFonts w:ascii="Calibri" w:eastAsia="Times New Roman" w:hAnsi="Calibri"/>
                <w:color w:val="000000"/>
                <w:sz w:val="22"/>
                <w:szCs w:val="22"/>
                <w:lang w:val="de-DE" w:eastAsia="de-DE"/>
              </w:rPr>
            </w:pPr>
          </w:p>
        </w:tc>
        <w:tc>
          <w:tcPr>
            <w:tcW w:w="870" w:type="dxa"/>
            <w:tcBorders>
              <w:top w:val="nil"/>
              <w:left w:val="nil"/>
              <w:bottom w:val="nil"/>
              <w:right w:val="nil"/>
            </w:tcBorders>
            <w:shd w:val="clear" w:color="auto" w:fill="auto"/>
            <w:noWrap/>
            <w:vAlign w:val="bottom"/>
            <w:hideMark/>
          </w:tcPr>
          <w:p w14:paraId="538661F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10%</w:t>
            </w:r>
          </w:p>
        </w:tc>
        <w:tc>
          <w:tcPr>
            <w:tcW w:w="930" w:type="dxa"/>
            <w:tcBorders>
              <w:top w:val="nil"/>
              <w:left w:val="nil"/>
              <w:bottom w:val="nil"/>
              <w:right w:val="nil"/>
            </w:tcBorders>
            <w:shd w:val="clear" w:color="auto" w:fill="auto"/>
            <w:noWrap/>
            <w:vAlign w:val="bottom"/>
            <w:hideMark/>
          </w:tcPr>
          <w:p w14:paraId="6568E465"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10%</w:t>
            </w:r>
          </w:p>
        </w:tc>
        <w:tc>
          <w:tcPr>
            <w:tcW w:w="930" w:type="dxa"/>
            <w:tcBorders>
              <w:top w:val="nil"/>
              <w:left w:val="nil"/>
              <w:bottom w:val="nil"/>
              <w:right w:val="nil"/>
            </w:tcBorders>
            <w:shd w:val="clear" w:color="auto" w:fill="auto"/>
            <w:noWrap/>
            <w:vAlign w:val="bottom"/>
            <w:hideMark/>
          </w:tcPr>
          <w:p w14:paraId="040EE238" w14:textId="77777777" w:rsidR="00DA7109" w:rsidRPr="00DA7109" w:rsidRDefault="00DA7109" w:rsidP="00DA7109">
            <w:pPr>
              <w:jc w:val="center"/>
              <w:rPr>
                <w:rFonts w:ascii="Calibri" w:eastAsia="Times New Roman" w:hAnsi="Calibri"/>
                <w:color w:val="000000"/>
                <w:sz w:val="22"/>
                <w:szCs w:val="22"/>
                <w:lang w:val="de-DE" w:eastAsia="de-DE"/>
              </w:rPr>
            </w:pPr>
            <w:proofErr w:type="spellStart"/>
            <w:r w:rsidRPr="00DA7109">
              <w:rPr>
                <w:rFonts w:ascii="Calibri" w:eastAsia="Times New Roman" w:hAnsi="Calibri"/>
                <w:color w:val="000000"/>
                <w:sz w:val="22"/>
                <w:szCs w:val="22"/>
                <w:lang w:val="de-DE" w:eastAsia="de-DE"/>
              </w:rPr>
              <w:t>n.s</w:t>
            </w:r>
            <w:proofErr w:type="spellEnd"/>
            <w:r w:rsidRPr="00DA7109">
              <w:rPr>
                <w:rFonts w:ascii="Calibri" w:eastAsia="Times New Roman" w:hAnsi="Calibri"/>
                <w:color w:val="000000"/>
                <w:sz w:val="22"/>
                <w:szCs w:val="22"/>
                <w:lang w:val="de-DE" w:eastAsia="de-DE"/>
              </w:rPr>
              <w:t>.</w:t>
            </w:r>
          </w:p>
        </w:tc>
      </w:tr>
      <w:tr w:rsidR="00DA7109" w:rsidRPr="00DA7109" w14:paraId="5DF387E9" w14:textId="77777777" w:rsidTr="00DA7109">
        <w:trPr>
          <w:trHeight w:val="315"/>
        </w:trPr>
        <w:tc>
          <w:tcPr>
            <w:tcW w:w="1560" w:type="dxa"/>
            <w:tcBorders>
              <w:top w:val="nil"/>
              <w:left w:val="nil"/>
              <w:bottom w:val="double" w:sz="6" w:space="0" w:color="auto"/>
              <w:right w:val="single" w:sz="4" w:space="0" w:color="auto"/>
            </w:tcBorders>
            <w:shd w:val="clear" w:color="auto" w:fill="auto"/>
            <w:noWrap/>
            <w:vAlign w:val="bottom"/>
            <w:hideMark/>
          </w:tcPr>
          <w:p w14:paraId="5BCC4DDA" w14:textId="77777777" w:rsidR="00DA7109" w:rsidRPr="00DA7109" w:rsidRDefault="00DA7109" w:rsidP="00DA7109">
            <w:pPr>
              <w:rPr>
                <w:rFonts w:ascii="Calibri" w:eastAsia="Times New Roman" w:hAnsi="Calibri"/>
                <w:color w:val="000000"/>
                <w:sz w:val="22"/>
                <w:szCs w:val="22"/>
                <w:lang w:val="de-DE" w:eastAsia="de-DE"/>
              </w:rPr>
            </w:pPr>
            <w:proofErr w:type="spellStart"/>
            <w:r w:rsidRPr="00DA7109">
              <w:rPr>
                <w:rFonts w:ascii="Calibri" w:eastAsia="Times New Roman" w:hAnsi="Calibri"/>
                <w:color w:val="000000"/>
                <w:sz w:val="22"/>
                <w:szCs w:val="22"/>
                <w:lang w:val="de-DE" w:eastAsia="de-DE"/>
              </w:rPr>
              <w:t>obs</w:t>
            </w:r>
            <w:proofErr w:type="spellEnd"/>
            <w:r w:rsidRPr="00DA7109">
              <w:rPr>
                <w:rFonts w:ascii="Calibri" w:eastAsia="Times New Roman" w:hAnsi="Calibri"/>
                <w:color w:val="000000"/>
                <w:sz w:val="22"/>
                <w:szCs w:val="22"/>
                <w:lang w:val="de-DE" w:eastAsia="de-DE"/>
              </w:rPr>
              <w:t>.</w:t>
            </w:r>
          </w:p>
        </w:tc>
        <w:tc>
          <w:tcPr>
            <w:tcW w:w="870" w:type="dxa"/>
            <w:tcBorders>
              <w:top w:val="nil"/>
              <w:left w:val="nil"/>
              <w:bottom w:val="double" w:sz="6" w:space="0" w:color="auto"/>
              <w:right w:val="nil"/>
            </w:tcBorders>
            <w:shd w:val="clear" w:color="auto" w:fill="auto"/>
            <w:noWrap/>
            <w:vAlign w:val="bottom"/>
            <w:hideMark/>
          </w:tcPr>
          <w:p w14:paraId="47D37E1C" w14:textId="77777777" w:rsidR="00DA7109" w:rsidRPr="00DA7109" w:rsidRDefault="00DA7109" w:rsidP="00DA7109">
            <w:pP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 </w:t>
            </w:r>
          </w:p>
        </w:tc>
        <w:tc>
          <w:tcPr>
            <w:tcW w:w="870" w:type="dxa"/>
            <w:tcBorders>
              <w:top w:val="nil"/>
              <w:left w:val="nil"/>
              <w:bottom w:val="double" w:sz="6" w:space="0" w:color="auto"/>
              <w:right w:val="nil"/>
            </w:tcBorders>
            <w:shd w:val="clear" w:color="auto" w:fill="auto"/>
            <w:noWrap/>
            <w:vAlign w:val="bottom"/>
            <w:hideMark/>
          </w:tcPr>
          <w:p w14:paraId="1799D0D1"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6/6</w:t>
            </w:r>
          </w:p>
        </w:tc>
        <w:tc>
          <w:tcPr>
            <w:tcW w:w="930" w:type="dxa"/>
            <w:tcBorders>
              <w:top w:val="nil"/>
              <w:left w:val="nil"/>
              <w:bottom w:val="double" w:sz="6" w:space="0" w:color="auto"/>
              <w:right w:val="nil"/>
            </w:tcBorders>
            <w:shd w:val="clear" w:color="auto" w:fill="auto"/>
            <w:noWrap/>
            <w:vAlign w:val="bottom"/>
            <w:hideMark/>
          </w:tcPr>
          <w:p w14:paraId="02EC90D6"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18/6</w:t>
            </w:r>
          </w:p>
        </w:tc>
        <w:tc>
          <w:tcPr>
            <w:tcW w:w="930" w:type="dxa"/>
            <w:tcBorders>
              <w:top w:val="nil"/>
              <w:left w:val="nil"/>
              <w:bottom w:val="double" w:sz="6" w:space="0" w:color="auto"/>
              <w:right w:val="single" w:sz="4" w:space="0" w:color="auto"/>
            </w:tcBorders>
            <w:shd w:val="clear" w:color="auto" w:fill="auto"/>
            <w:noWrap/>
            <w:vAlign w:val="bottom"/>
            <w:hideMark/>
          </w:tcPr>
          <w:p w14:paraId="487D09FA"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42/6</w:t>
            </w:r>
          </w:p>
        </w:tc>
        <w:tc>
          <w:tcPr>
            <w:tcW w:w="870" w:type="dxa"/>
            <w:tcBorders>
              <w:top w:val="nil"/>
              <w:left w:val="nil"/>
              <w:bottom w:val="double" w:sz="6" w:space="0" w:color="auto"/>
              <w:right w:val="nil"/>
            </w:tcBorders>
            <w:shd w:val="clear" w:color="auto" w:fill="auto"/>
            <w:noWrap/>
            <w:vAlign w:val="bottom"/>
            <w:hideMark/>
          </w:tcPr>
          <w:p w14:paraId="7FF4AA6A" w14:textId="77777777" w:rsidR="00DA7109" w:rsidRPr="00DA7109" w:rsidRDefault="00DA7109" w:rsidP="00DA7109">
            <w:pP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 </w:t>
            </w:r>
          </w:p>
        </w:tc>
        <w:tc>
          <w:tcPr>
            <w:tcW w:w="870" w:type="dxa"/>
            <w:tcBorders>
              <w:top w:val="nil"/>
              <w:left w:val="nil"/>
              <w:bottom w:val="double" w:sz="6" w:space="0" w:color="auto"/>
              <w:right w:val="nil"/>
            </w:tcBorders>
            <w:shd w:val="clear" w:color="auto" w:fill="auto"/>
            <w:noWrap/>
            <w:vAlign w:val="bottom"/>
            <w:hideMark/>
          </w:tcPr>
          <w:p w14:paraId="683A993E"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6/6</w:t>
            </w:r>
          </w:p>
        </w:tc>
        <w:tc>
          <w:tcPr>
            <w:tcW w:w="930" w:type="dxa"/>
            <w:tcBorders>
              <w:top w:val="nil"/>
              <w:left w:val="nil"/>
              <w:bottom w:val="double" w:sz="6" w:space="0" w:color="auto"/>
              <w:right w:val="nil"/>
            </w:tcBorders>
            <w:shd w:val="clear" w:color="auto" w:fill="auto"/>
            <w:noWrap/>
            <w:vAlign w:val="bottom"/>
            <w:hideMark/>
          </w:tcPr>
          <w:p w14:paraId="2B15DFBA"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18/6</w:t>
            </w:r>
          </w:p>
        </w:tc>
        <w:tc>
          <w:tcPr>
            <w:tcW w:w="930" w:type="dxa"/>
            <w:tcBorders>
              <w:top w:val="nil"/>
              <w:left w:val="nil"/>
              <w:bottom w:val="double" w:sz="6" w:space="0" w:color="auto"/>
              <w:right w:val="nil"/>
            </w:tcBorders>
            <w:shd w:val="clear" w:color="auto" w:fill="auto"/>
            <w:noWrap/>
            <w:vAlign w:val="bottom"/>
            <w:hideMark/>
          </w:tcPr>
          <w:p w14:paraId="0134B43F" w14:textId="77777777" w:rsidR="00DA7109" w:rsidRPr="00DA7109" w:rsidRDefault="00DA7109" w:rsidP="00DA7109">
            <w:pPr>
              <w:jc w:val="center"/>
              <w:rPr>
                <w:rFonts w:ascii="Calibri" w:eastAsia="Times New Roman" w:hAnsi="Calibri"/>
                <w:color w:val="000000"/>
                <w:sz w:val="22"/>
                <w:szCs w:val="22"/>
                <w:lang w:val="de-DE" w:eastAsia="de-DE"/>
              </w:rPr>
            </w:pPr>
            <w:r w:rsidRPr="00DA7109">
              <w:rPr>
                <w:rFonts w:ascii="Calibri" w:eastAsia="Times New Roman" w:hAnsi="Calibri"/>
                <w:color w:val="000000"/>
                <w:sz w:val="22"/>
                <w:szCs w:val="22"/>
                <w:lang w:val="de-DE" w:eastAsia="de-DE"/>
              </w:rPr>
              <w:t>42/6</w:t>
            </w:r>
          </w:p>
        </w:tc>
      </w:tr>
      <w:tr w:rsidR="00AA3AAF" w:rsidRPr="00DA7109" w14:paraId="3F5C1FDC" w14:textId="77777777" w:rsidTr="00DD71AC">
        <w:trPr>
          <w:trHeight w:val="345"/>
        </w:trPr>
        <w:tc>
          <w:tcPr>
            <w:tcW w:w="8760" w:type="dxa"/>
            <w:gridSpan w:val="9"/>
            <w:tcBorders>
              <w:top w:val="nil"/>
              <w:left w:val="nil"/>
              <w:bottom w:val="nil"/>
              <w:right w:val="nil"/>
            </w:tcBorders>
            <w:shd w:val="clear" w:color="auto" w:fill="auto"/>
            <w:noWrap/>
            <w:vAlign w:val="bottom"/>
            <w:hideMark/>
          </w:tcPr>
          <w:p w14:paraId="4261DCB0" w14:textId="5A899B84" w:rsidR="00AA3AAF" w:rsidRPr="00DA7109" w:rsidRDefault="00AA3AAF" w:rsidP="00DA7109">
            <w:pPr>
              <w:rPr>
                <w:rFonts w:ascii="Calibri" w:eastAsia="Times New Roman" w:hAnsi="Calibri"/>
                <w:color w:val="000000"/>
                <w:sz w:val="22"/>
                <w:szCs w:val="22"/>
                <w:lang w:eastAsia="de-DE"/>
              </w:rPr>
            </w:pPr>
            <w:r w:rsidRPr="00DA7109">
              <w:rPr>
                <w:rFonts w:ascii="Calibri" w:eastAsia="Times New Roman" w:hAnsi="Calibri"/>
                <w:color w:val="000000"/>
                <w:sz w:val="22"/>
                <w:szCs w:val="22"/>
                <w:lang w:eastAsia="de-DE"/>
              </w:rPr>
              <w:t>Significance is determined by Mann-Whitney U-tests.</w:t>
            </w:r>
            <w:r>
              <w:rPr>
                <w:rFonts w:ascii="Calibri" w:eastAsia="Times New Roman" w:hAnsi="Calibri"/>
                <w:color w:val="000000"/>
                <w:sz w:val="22"/>
                <w:szCs w:val="22"/>
                <w:lang w:eastAsia="de-DE"/>
              </w:rPr>
              <w:t xml:space="preserve"> </w:t>
            </w:r>
            <w:proofErr w:type="spellStart"/>
            <w:r>
              <w:rPr>
                <w:rFonts w:ascii="Calibri" w:eastAsia="Times New Roman" w:hAnsi="Calibri"/>
                <w:color w:val="000000"/>
                <w:sz w:val="22"/>
                <w:szCs w:val="22"/>
                <w:lang w:eastAsia="de-DE"/>
              </w:rPr>
              <w:t>n.s</w:t>
            </w:r>
            <w:proofErr w:type="spellEnd"/>
            <w:r>
              <w:rPr>
                <w:rFonts w:ascii="Calibri" w:eastAsia="Times New Roman" w:hAnsi="Calibri"/>
                <w:color w:val="000000"/>
                <w:sz w:val="22"/>
                <w:szCs w:val="22"/>
                <w:lang w:eastAsia="de-DE"/>
              </w:rPr>
              <w:t>. = not significant.</w:t>
            </w:r>
          </w:p>
        </w:tc>
      </w:tr>
    </w:tbl>
    <w:p w14:paraId="6C2C9561" w14:textId="77777777" w:rsidR="004B2991" w:rsidRDefault="004B2991" w:rsidP="004B2991">
      <w:pPr>
        <w:spacing w:line="480" w:lineRule="auto"/>
        <w:ind w:firstLine="720"/>
        <w:jc w:val="both"/>
        <w:rPr>
          <w:sz w:val="24"/>
          <w:lang w:eastAsia="ja-JP"/>
        </w:rPr>
      </w:pPr>
    </w:p>
    <w:p w14:paraId="22447FA9" w14:textId="77777777" w:rsidR="00C927FA" w:rsidRDefault="00C927FA">
      <w:pPr>
        <w:rPr>
          <w:sz w:val="24"/>
          <w:lang w:eastAsia="ja-JP"/>
        </w:rPr>
      </w:pPr>
      <w:r>
        <w:rPr>
          <w:sz w:val="24"/>
          <w:lang w:eastAsia="ja-JP"/>
        </w:rPr>
        <w:br w:type="page"/>
      </w:r>
    </w:p>
    <w:p w14:paraId="056B8C06" w14:textId="669CA3CB" w:rsidR="004B2991" w:rsidRPr="00C33E8E" w:rsidRDefault="00F423B6" w:rsidP="004B2991">
      <w:pPr>
        <w:spacing w:line="480" w:lineRule="auto"/>
        <w:jc w:val="both"/>
        <w:rPr>
          <w:sz w:val="24"/>
          <w:lang w:eastAsia="ja-JP"/>
        </w:rPr>
      </w:pPr>
      <w:r>
        <w:rPr>
          <w:sz w:val="24"/>
          <w:lang w:eastAsia="ja-JP"/>
        </w:rPr>
        <w:lastRenderedPageBreak/>
        <w:t>D.2.</w:t>
      </w:r>
      <w:r w:rsidR="004B2991" w:rsidRPr="00C33E8E">
        <w:rPr>
          <w:rFonts w:hint="eastAsia"/>
          <w:sz w:val="24"/>
          <w:lang w:eastAsia="ja-JP"/>
        </w:rPr>
        <w:t xml:space="preserve"> </w:t>
      </w:r>
      <w:r>
        <w:rPr>
          <w:sz w:val="24"/>
          <w:lang w:eastAsia="ja-JP"/>
        </w:rPr>
        <w:t>Concentration of</w:t>
      </w:r>
      <w:r w:rsidR="004B2991">
        <w:rPr>
          <w:sz w:val="24"/>
          <w:lang w:eastAsia="ja-JP"/>
        </w:rPr>
        <w:t xml:space="preserve"> securit</w:t>
      </w:r>
      <w:r>
        <w:rPr>
          <w:sz w:val="24"/>
          <w:lang w:eastAsia="ja-JP"/>
        </w:rPr>
        <w:t>y holdings</w:t>
      </w:r>
      <w:r w:rsidR="004B2991">
        <w:rPr>
          <w:sz w:val="24"/>
          <w:lang w:eastAsia="ja-JP"/>
        </w:rPr>
        <w:t xml:space="preserve"> among traders</w:t>
      </w:r>
    </w:p>
    <w:p w14:paraId="0FD8BCDC" w14:textId="65272D6A" w:rsidR="004B2991" w:rsidRDefault="004B2991" w:rsidP="004B2991">
      <w:pPr>
        <w:spacing w:line="480" w:lineRule="auto"/>
        <w:ind w:firstLine="720"/>
        <w:jc w:val="both"/>
        <w:rPr>
          <w:sz w:val="24"/>
          <w:lang w:eastAsia="ja-JP"/>
        </w:rPr>
      </w:pPr>
      <w:r w:rsidRPr="0027787E">
        <w:rPr>
          <w:sz w:val="24"/>
          <w:lang w:eastAsia="ja-JP"/>
        </w:rPr>
        <w:t xml:space="preserve">We explore the </w:t>
      </w:r>
      <w:r w:rsidR="000242FB">
        <w:rPr>
          <w:sz w:val="24"/>
          <w:lang w:eastAsia="ja-JP"/>
        </w:rPr>
        <w:t>concentration</w:t>
      </w:r>
      <w:r w:rsidRPr="0027787E">
        <w:rPr>
          <w:sz w:val="24"/>
          <w:lang w:eastAsia="ja-JP"/>
        </w:rPr>
        <w:t xml:space="preserve"> of </w:t>
      </w:r>
      <w:r>
        <w:rPr>
          <w:sz w:val="24"/>
          <w:lang w:eastAsia="ja-JP"/>
        </w:rPr>
        <w:t>security</w:t>
      </w:r>
      <w:r w:rsidRPr="0027787E">
        <w:rPr>
          <w:sz w:val="24"/>
          <w:lang w:eastAsia="ja-JP"/>
        </w:rPr>
        <w:t xml:space="preserve"> holdings </w:t>
      </w:r>
      <w:r w:rsidR="000242FB">
        <w:rPr>
          <w:sz w:val="24"/>
          <w:lang w:eastAsia="ja-JP"/>
        </w:rPr>
        <w:t xml:space="preserve">among traders </w:t>
      </w:r>
      <w:r w:rsidRPr="0027787E">
        <w:rPr>
          <w:sz w:val="24"/>
          <w:lang w:eastAsia="ja-JP"/>
        </w:rPr>
        <w:t xml:space="preserve">by period in each treatment (comparable to a Gini coefficient for shares across sessions) to see whether it is typically one or two subjects purchasing the </w:t>
      </w:r>
      <w:r>
        <w:rPr>
          <w:sz w:val="24"/>
          <w:lang w:eastAsia="ja-JP"/>
        </w:rPr>
        <w:t>security</w:t>
      </w:r>
      <w:r w:rsidRPr="0027787E">
        <w:rPr>
          <w:sz w:val="24"/>
          <w:lang w:eastAsia="ja-JP"/>
        </w:rPr>
        <w:t xml:space="preserve">, or whether holdings are more evenly spread. </w:t>
      </w:r>
      <w:r>
        <w:rPr>
          <w:sz w:val="24"/>
          <w:lang w:eastAsia="ja-JP"/>
        </w:rPr>
        <w:t xml:space="preserve">To answer </w:t>
      </w:r>
      <w:r w:rsidR="000242FB">
        <w:rPr>
          <w:sz w:val="24"/>
          <w:lang w:eastAsia="ja-JP"/>
        </w:rPr>
        <w:t>this</w:t>
      </w:r>
      <w:r>
        <w:rPr>
          <w:sz w:val="24"/>
          <w:lang w:eastAsia="ja-JP"/>
        </w:rPr>
        <w:t xml:space="preserve"> question w</w:t>
      </w:r>
      <w:r w:rsidRPr="003B2415">
        <w:rPr>
          <w:sz w:val="24"/>
          <w:lang w:eastAsia="ja-JP"/>
        </w:rPr>
        <w:t xml:space="preserve">e calculate a measure of </w:t>
      </w:r>
      <w:r>
        <w:rPr>
          <w:sz w:val="24"/>
          <w:lang w:eastAsia="ja-JP"/>
        </w:rPr>
        <w:t>security</w:t>
      </w:r>
      <w:r w:rsidRPr="003B2415">
        <w:rPr>
          <w:sz w:val="24"/>
          <w:lang w:eastAsia="ja-JP"/>
        </w:rPr>
        <w:t xml:space="preserve"> allocation across subjects for each period. The calculation procedure follows the central idea of a Gini coefficient but we decided to use a different term – security concentration (SC). Figure </w:t>
      </w:r>
      <w:r w:rsidR="00F423B6">
        <w:rPr>
          <w:sz w:val="24"/>
          <w:lang w:eastAsia="ja-JP"/>
        </w:rPr>
        <w:t>D2</w:t>
      </w:r>
      <w:r w:rsidRPr="003B2415">
        <w:rPr>
          <w:sz w:val="24"/>
          <w:lang w:eastAsia="ja-JP"/>
        </w:rPr>
        <w:t>, serves as an i</w:t>
      </w:r>
      <w:r w:rsidRPr="003B2415">
        <w:rPr>
          <w:sz w:val="24"/>
          <w:lang w:eastAsia="ja-JP"/>
        </w:rPr>
        <w:t>l</w:t>
      </w:r>
      <w:r w:rsidRPr="003B2415">
        <w:rPr>
          <w:sz w:val="24"/>
          <w:lang w:eastAsia="ja-JP"/>
        </w:rPr>
        <w:t>lustrati</w:t>
      </w:r>
      <w:r w:rsidR="00BB0FE1">
        <w:rPr>
          <w:sz w:val="24"/>
          <w:lang w:eastAsia="ja-JP"/>
        </w:rPr>
        <w:t>ve</w:t>
      </w:r>
      <w:r w:rsidRPr="003B2415">
        <w:rPr>
          <w:sz w:val="24"/>
          <w:lang w:eastAsia="ja-JP"/>
        </w:rPr>
        <w:t xml:space="preserve"> example for calculating SC. </w:t>
      </w:r>
    </w:p>
    <w:p w14:paraId="4A2F2FF2" w14:textId="77777777" w:rsidR="00043562" w:rsidRDefault="00043562" w:rsidP="004B2991">
      <w:pPr>
        <w:spacing w:line="480" w:lineRule="auto"/>
        <w:ind w:firstLine="720"/>
        <w:jc w:val="both"/>
        <w:rPr>
          <w:sz w:val="24"/>
          <w:lang w:eastAsia="ja-JP"/>
        </w:rPr>
      </w:pPr>
    </w:p>
    <w:p w14:paraId="7DA4AC57" w14:textId="0F928C9D" w:rsidR="004B2991" w:rsidRPr="003B2415" w:rsidRDefault="004B2991" w:rsidP="004B2991">
      <w:pPr>
        <w:spacing w:line="480" w:lineRule="auto"/>
        <w:jc w:val="center"/>
        <w:rPr>
          <w:b/>
          <w:sz w:val="24"/>
          <w:lang w:eastAsia="ja-JP"/>
        </w:rPr>
      </w:pPr>
      <w:r w:rsidRPr="003B2415">
        <w:rPr>
          <w:b/>
          <w:sz w:val="24"/>
          <w:lang w:eastAsia="ja-JP"/>
        </w:rPr>
        <w:t xml:space="preserve">Figure </w:t>
      </w:r>
      <w:r w:rsidR="00F423B6">
        <w:rPr>
          <w:b/>
          <w:sz w:val="24"/>
          <w:lang w:eastAsia="ja-JP"/>
        </w:rPr>
        <w:t>D2</w:t>
      </w:r>
      <w:r w:rsidRPr="003B2415">
        <w:rPr>
          <w:b/>
          <w:sz w:val="24"/>
          <w:lang w:eastAsia="ja-JP"/>
        </w:rPr>
        <w:t xml:space="preserve">: Security </w:t>
      </w:r>
      <w:r>
        <w:rPr>
          <w:b/>
          <w:sz w:val="24"/>
          <w:lang w:eastAsia="ja-JP"/>
        </w:rPr>
        <w:t>concentration</w:t>
      </w:r>
      <w:r w:rsidRPr="003B2415">
        <w:rPr>
          <w:b/>
          <w:sz w:val="24"/>
          <w:lang w:eastAsia="ja-JP"/>
        </w:rPr>
        <w:t xml:space="preserve"> (SC), calculation example.</w:t>
      </w:r>
    </w:p>
    <w:p w14:paraId="317476F9" w14:textId="0F7E7C07" w:rsidR="004B2991" w:rsidRPr="00E606E1" w:rsidRDefault="00CB1F05" w:rsidP="004B2991">
      <w:pPr>
        <w:jc w:val="center"/>
        <w:rPr>
          <w:rFonts w:ascii="Arial" w:hAnsi="Arial" w:cs="Arial"/>
          <w:color w:val="00B050"/>
        </w:rPr>
      </w:pPr>
      <w:r>
        <w:rPr>
          <w:rFonts w:ascii="Arial" w:hAnsi="Arial" w:cs="Arial"/>
          <w:noProof/>
          <w:color w:val="00B050"/>
          <w:lang w:val="de-DE" w:eastAsia="de-DE"/>
        </w:rPr>
        <w:drawing>
          <wp:inline distT="0" distB="0" distL="0" distR="0" wp14:anchorId="0DBB9968" wp14:editId="3AB994AE">
            <wp:extent cx="4743489" cy="3444949"/>
            <wp:effectExtent l="0" t="0" r="0" b="3175"/>
            <wp:docPr id="8" name="Grafik 8" descr="H:\2_Forschung\2014_Hirota Sunder\stata\subjects\graph\Gini_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_Forschung\2014_Hirota Sunder\stata\subjects\graph\Gini_exampl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9910" cy="3449612"/>
                    </a:xfrm>
                    <a:prstGeom prst="rect">
                      <a:avLst/>
                    </a:prstGeom>
                    <a:noFill/>
                    <a:ln>
                      <a:noFill/>
                    </a:ln>
                  </pic:spPr>
                </pic:pic>
              </a:graphicData>
            </a:graphic>
          </wp:inline>
        </w:drawing>
      </w:r>
    </w:p>
    <w:p w14:paraId="5C05018D" w14:textId="0246CA39" w:rsidR="004B2991" w:rsidRPr="003B2415" w:rsidRDefault="004B2991" w:rsidP="004B2991">
      <w:pPr>
        <w:spacing w:after="120" w:line="276" w:lineRule="auto"/>
        <w:ind w:left="1418" w:right="1417"/>
        <w:jc w:val="both"/>
        <w:rPr>
          <w:szCs w:val="16"/>
        </w:rPr>
      </w:pPr>
      <w:r w:rsidRPr="003B2415">
        <w:rPr>
          <w:b/>
          <w:szCs w:val="16"/>
        </w:rPr>
        <w:t>Notes</w:t>
      </w:r>
      <w:r w:rsidRPr="003B2415">
        <w:rPr>
          <w:szCs w:val="16"/>
        </w:rPr>
        <w:t>: Data for the example is taken from market 6 (period 4) of a four ge</w:t>
      </w:r>
      <w:r w:rsidRPr="003B2415">
        <w:rPr>
          <w:szCs w:val="16"/>
        </w:rPr>
        <w:t>n</w:t>
      </w:r>
      <w:r w:rsidRPr="003B2415">
        <w:rPr>
          <w:szCs w:val="16"/>
        </w:rPr>
        <w:t xml:space="preserve">eration session with low liquidity. Grey bars show the </w:t>
      </w:r>
      <w:r w:rsidR="0016221C">
        <w:rPr>
          <w:szCs w:val="16"/>
        </w:rPr>
        <w:t>c</w:t>
      </w:r>
      <w:r w:rsidR="0016221C" w:rsidRPr="0016221C">
        <w:rPr>
          <w:szCs w:val="16"/>
        </w:rPr>
        <w:t>umulative</w:t>
      </w:r>
      <w:r w:rsidR="0016221C">
        <w:rPr>
          <w:szCs w:val="16"/>
        </w:rPr>
        <w:t xml:space="preserve"> </w:t>
      </w:r>
      <w:r w:rsidRPr="003B2415">
        <w:rPr>
          <w:szCs w:val="16"/>
        </w:rPr>
        <w:t>distrib</w:t>
      </w:r>
      <w:r w:rsidRPr="003B2415">
        <w:rPr>
          <w:szCs w:val="16"/>
        </w:rPr>
        <w:t>u</w:t>
      </w:r>
      <w:r w:rsidRPr="003B2415">
        <w:rPr>
          <w:szCs w:val="16"/>
        </w:rPr>
        <w:t xml:space="preserve">tion of security holdings assuming that shares are equally spread among the 10 subjects in the market. Black bars show the actual </w:t>
      </w:r>
      <w:r w:rsidR="0016221C">
        <w:rPr>
          <w:szCs w:val="16"/>
        </w:rPr>
        <w:t>c</w:t>
      </w:r>
      <w:r w:rsidR="0016221C" w:rsidRPr="0016221C">
        <w:rPr>
          <w:szCs w:val="16"/>
        </w:rPr>
        <w:t>umulative</w:t>
      </w:r>
      <w:r w:rsidR="0016221C">
        <w:rPr>
          <w:szCs w:val="16"/>
        </w:rPr>
        <w:t xml:space="preserve"> </w:t>
      </w:r>
      <w:r w:rsidRPr="003B2415">
        <w:rPr>
          <w:szCs w:val="16"/>
        </w:rPr>
        <w:t xml:space="preserve">distribution of security holdings among the 10 subjects in that period. The sum of </w:t>
      </w:r>
      <w:r w:rsidR="0016221C">
        <w:rPr>
          <w:szCs w:val="16"/>
        </w:rPr>
        <w:t>c</w:t>
      </w:r>
      <w:r w:rsidR="0016221C" w:rsidRPr="0016221C">
        <w:rPr>
          <w:szCs w:val="16"/>
        </w:rPr>
        <w:t>um</w:t>
      </w:r>
      <w:r w:rsidR="0016221C" w:rsidRPr="0016221C">
        <w:rPr>
          <w:szCs w:val="16"/>
        </w:rPr>
        <w:t>u</w:t>
      </w:r>
      <w:r w:rsidR="0016221C" w:rsidRPr="0016221C">
        <w:rPr>
          <w:szCs w:val="16"/>
        </w:rPr>
        <w:t>lative</w:t>
      </w:r>
      <w:r w:rsidR="0016221C">
        <w:rPr>
          <w:szCs w:val="16"/>
        </w:rPr>
        <w:t xml:space="preserve"> </w:t>
      </w:r>
      <w:r w:rsidRPr="003B2415">
        <w:rPr>
          <w:szCs w:val="16"/>
        </w:rPr>
        <w:t>security holding for equal (actual) distribution equals 220 (127) and SC equals (220-127)/220 = 0.42.</w:t>
      </w:r>
    </w:p>
    <w:p w14:paraId="471968EC" w14:textId="77777777" w:rsidR="004B2991" w:rsidRDefault="004B2991" w:rsidP="004B2991">
      <w:pPr>
        <w:spacing w:line="480" w:lineRule="auto"/>
        <w:ind w:firstLine="720"/>
        <w:jc w:val="both"/>
        <w:rPr>
          <w:sz w:val="24"/>
          <w:lang w:eastAsia="ja-JP"/>
        </w:rPr>
      </w:pPr>
    </w:p>
    <w:p w14:paraId="34DAF263" w14:textId="2B06333F" w:rsidR="004B2991" w:rsidRDefault="004B2991" w:rsidP="004B2991">
      <w:pPr>
        <w:spacing w:line="480" w:lineRule="auto"/>
        <w:ind w:firstLine="720"/>
        <w:jc w:val="both"/>
        <w:rPr>
          <w:sz w:val="24"/>
          <w:lang w:eastAsia="ja-JP"/>
        </w:rPr>
      </w:pPr>
      <w:r>
        <w:rPr>
          <w:sz w:val="24"/>
          <w:lang w:eastAsia="ja-JP"/>
        </w:rPr>
        <w:lastRenderedPageBreak/>
        <w:t>T</w:t>
      </w:r>
      <w:r w:rsidRPr="003B2415">
        <w:rPr>
          <w:sz w:val="24"/>
          <w:lang w:eastAsia="ja-JP"/>
        </w:rPr>
        <w:t xml:space="preserve">he benchmark level of SC constitutes the case when all shares are equally distributed among subjects. In Figure </w:t>
      </w:r>
      <w:r w:rsidR="00F423B6">
        <w:rPr>
          <w:sz w:val="24"/>
          <w:lang w:eastAsia="ja-JP"/>
        </w:rPr>
        <w:t>D2</w:t>
      </w:r>
      <w:r w:rsidRPr="003B2415">
        <w:rPr>
          <w:sz w:val="24"/>
          <w:lang w:eastAsia="ja-JP"/>
        </w:rPr>
        <w:t xml:space="preserve"> this situation is illustrated by the grey bars which show the accumulated distribution of security holdings assuming that shares are equally spread among the </w:t>
      </w:r>
      <w:r w:rsidR="00E86012">
        <w:rPr>
          <w:sz w:val="24"/>
          <w:lang w:eastAsia="ja-JP"/>
        </w:rPr>
        <w:t>ten</w:t>
      </w:r>
      <w:r w:rsidRPr="003B2415">
        <w:rPr>
          <w:sz w:val="24"/>
          <w:lang w:eastAsia="ja-JP"/>
        </w:rPr>
        <w:t xml:space="preserve"> subjects in the market. Summing up all individual bars yields our benchmark level for SC (in the example this values equals 220). In a second step this benchmark level is co</w:t>
      </w:r>
      <w:r w:rsidRPr="003B2415">
        <w:rPr>
          <w:sz w:val="24"/>
          <w:lang w:eastAsia="ja-JP"/>
        </w:rPr>
        <w:t>m</w:t>
      </w:r>
      <w:r w:rsidRPr="003B2415">
        <w:rPr>
          <w:sz w:val="24"/>
          <w:lang w:eastAsia="ja-JP"/>
        </w:rPr>
        <w:t>pared to the sum of accumulated security holding</w:t>
      </w:r>
      <w:r w:rsidR="00E86012">
        <w:rPr>
          <w:sz w:val="24"/>
          <w:lang w:eastAsia="ja-JP"/>
        </w:rPr>
        <w:t>s</w:t>
      </w:r>
      <w:r w:rsidRPr="003B2415">
        <w:rPr>
          <w:sz w:val="24"/>
          <w:lang w:eastAsia="ja-JP"/>
        </w:rPr>
        <w:t xml:space="preserve"> actually realized at the end of the respe</w:t>
      </w:r>
      <w:r w:rsidRPr="003B2415">
        <w:rPr>
          <w:sz w:val="24"/>
          <w:lang w:eastAsia="ja-JP"/>
        </w:rPr>
        <w:t>c</w:t>
      </w:r>
      <w:r w:rsidRPr="003B2415">
        <w:rPr>
          <w:sz w:val="24"/>
          <w:lang w:eastAsia="ja-JP"/>
        </w:rPr>
        <w:t xml:space="preserve">tive period (shown as black bars in Figure </w:t>
      </w:r>
      <w:r w:rsidR="00E86012">
        <w:rPr>
          <w:sz w:val="24"/>
          <w:lang w:eastAsia="ja-JP"/>
        </w:rPr>
        <w:t>D2</w:t>
      </w:r>
      <w:r w:rsidRPr="003B2415">
        <w:rPr>
          <w:sz w:val="24"/>
          <w:lang w:eastAsia="ja-JP"/>
        </w:rPr>
        <w:t>). For the example this value equals 127. SC is now calculated as the difference between the benchmark level and the actual realization, rel</w:t>
      </w:r>
      <w:r w:rsidRPr="003B2415">
        <w:rPr>
          <w:sz w:val="24"/>
          <w:lang w:eastAsia="ja-JP"/>
        </w:rPr>
        <w:t>a</w:t>
      </w:r>
      <w:r w:rsidRPr="003B2415">
        <w:rPr>
          <w:sz w:val="24"/>
          <w:lang w:eastAsia="ja-JP"/>
        </w:rPr>
        <w:t>tive to the benchmark level. Note that SC is comparable across treatments despite the diffe</w:t>
      </w:r>
      <w:r w:rsidRPr="003B2415">
        <w:rPr>
          <w:sz w:val="24"/>
          <w:lang w:eastAsia="ja-JP"/>
        </w:rPr>
        <w:t>r</w:t>
      </w:r>
      <w:r w:rsidRPr="003B2415">
        <w:rPr>
          <w:sz w:val="24"/>
          <w:lang w:eastAsia="ja-JP"/>
        </w:rPr>
        <w:t xml:space="preserve">ent parameter sets used. </w:t>
      </w:r>
      <w:r>
        <w:rPr>
          <w:sz w:val="24"/>
          <w:lang w:eastAsia="ja-JP"/>
        </w:rPr>
        <w:t>There are</w:t>
      </w:r>
      <w:r w:rsidRPr="003B2415">
        <w:rPr>
          <w:sz w:val="24"/>
          <w:lang w:eastAsia="ja-JP"/>
        </w:rPr>
        <w:t xml:space="preserve"> three extreme point realizations of SC. In the case of a perfectly </w:t>
      </w:r>
      <w:r w:rsidR="00BB0FE1">
        <w:rPr>
          <w:sz w:val="24"/>
          <w:lang w:eastAsia="ja-JP"/>
        </w:rPr>
        <w:t>uniform</w:t>
      </w:r>
      <w:r w:rsidR="00BB0FE1" w:rsidRPr="003B2415">
        <w:rPr>
          <w:sz w:val="24"/>
          <w:lang w:eastAsia="ja-JP"/>
        </w:rPr>
        <w:t xml:space="preserve"> </w:t>
      </w:r>
      <w:r w:rsidRPr="003B2415">
        <w:rPr>
          <w:sz w:val="24"/>
          <w:lang w:eastAsia="ja-JP"/>
        </w:rPr>
        <w:t>distribution of securities among subjects, SC takes a value of 0. At the in</w:t>
      </w:r>
      <w:r w:rsidRPr="003B2415">
        <w:rPr>
          <w:sz w:val="24"/>
          <w:lang w:eastAsia="ja-JP"/>
        </w:rPr>
        <w:t>i</w:t>
      </w:r>
      <w:r w:rsidRPr="003B2415">
        <w:rPr>
          <w:sz w:val="24"/>
          <w:lang w:eastAsia="ja-JP"/>
        </w:rPr>
        <w:t>tial securities distribution (G0) SC takes a value of 0.</w:t>
      </w:r>
      <w:r w:rsidR="00D0521C">
        <w:rPr>
          <w:sz w:val="24"/>
          <w:lang w:eastAsia="ja-JP"/>
        </w:rPr>
        <w:t>5</w:t>
      </w:r>
      <w:r w:rsidRPr="003B2415">
        <w:rPr>
          <w:sz w:val="24"/>
          <w:lang w:eastAsia="ja-JP"/>
        </w:rPr>
        <w:t xml:space="preserve">5. This value serves as a benchmark to evaluate subjects’ purchasing behavior when entering the market. If all subjects </w:t>
      </w:r>
      <w:r w:rsidR="00AA2326">
        <w:rPr>
          <w:sz w:val="24"/>
          <w:lang w:eastAsia="ja-JP"/>
        </w:rPr>
        <w:t xml:space="preserve">of a given generation trade </w:t>
      </w:r>
      <w:r w:rsidRPr="003B2415">
        <w:rPr>
          <w:sz w:val="24"/>
          <w:lang w:eastAsia="ja-JP"/>
        </w:rPr>
        <w:t>equally, we should expect a value close to 0.</w:t>
      </w:r>
      <w:r w:rsidR="00D0521C">
        <w:rPr>
          <w:sz w:val="24"/>
          <w:lang w:eastAsia="ja-JP"/>
        </w:rPr>
        <w:t>55</w:t>
      </w:r>
      <w:r w:rsidRPr="003B2415">
        <w:rPr>
          <w:sz w:val="24"/>
          <w:lang w:eastAsia="ja-JP"/>
        </w:rPr>
        <w:t xml:space="preserve">. Higher values indicate </w:t>
      </w:r>
      <w:r w:rsidR="00AA2326">
        <w:rPr>
          <w:sz w:val="24"/>
          <w:lang w:eastAsia="ja-JP"/>
        </w:rPr>
        <w:t>un</w:t>
      </w:r>
      <w:r w:rsidR="00AA2326">
        <w:rPr>
          <w:sz w:val="24"/>
          <w:lang w:eastAsia="ja-JP"/>
        </w:rPr>
        <w:t>e</w:t>
      </w:r>
      <w:r w:rsidR="00AA2326">
        <w:rPr>
          <w:sz w:val="24"/>
          <w:lang w:eastAsia="ja-JP"/>
        </w:rPr>
        <w:t>ven distribution of trading by individual members of a generation.</w:t>
      </w:r>
      <w:r w:rsidRPr="003B2415">
        <w:rPr>
          <w:sz w:val="24"/>
          <w:lang w:eastAsia="ja-JP"/>
        </w:rPr>
        <w:t xml:space="preserve"> For the case that one su</w:t>
      </w:r>
      <w:r w:rsidRPr="003B2415">
        <w:rPr>
          <w:sz w:val="24"/>
          <w:lang w:eastAsia="ja-JP"/>
        </w:rPr>
        <w:t>b</w:t>
      </w:r>
      <w:r w:rsidRPr="003B2415">
        <w:rPr>
          <w:sz w:val="24"/>
          <w:lang w:eastAsia="ja-JP"/>
        </w:rPr>
        <w:t>ject holds all available securities in the market, SC reaches its upper bound taking a value of 0.8</w:t>
      </w:r>
      <w:r w:rsidR="00E86012">
        <w:rPr>
          <w:sz w:val="24"/>
          <w:lang w:eastAsia="ja-JP"/>
        </w:rPr>
        <w:t>2</w:t>
      </w:r>
      <w:r w:rsidRPr="003B2415">
        <w:rPr>
          <w:sz w:val="24"/>
          <w:lang w:eastAsia="ja-JP"/>
        </w:rPr>
        <w:t xml:space="preserve">. </w:t>
      </w:r>
      <w:r w:rsidR="00E86012">
        <w:rPr>
          <w:sz w:val="24"/>
          <w:lang w:eastAsia="ja-JP"/>
        </w:rPr>
        <w:t xml:space="preserve">In a final step, we normalize values by this upper bound so that </w:t>
      </w:r>
      <w:r w:rsidR="00E86012" w:rsidRPr="00E86012">
        <w:rPr>
          <w:sz w:val="24"/>
          <w:lang w:eastAsia="ja-JP"/>
        </w:rPr>
        <w:t>a</w:t>
      </w:r>
      <w:r w:rsidR="00E86012">
        <w:rPr>
          <w:sz w:val="24"/>
          <w:lang w:eastAsia="ja-JP"/>
        </w:rPr>
        <w:t>ll values range b</w:t>
      </w:r>
      <w:r w:rsidR="00E86012">
        <w:rPr>
          <w:sz w:val="24"/>
          <w:lang w:eastAsia="ja-JP"/>
        </w:rPr>
        <w:t>e</w:t>
      </w:r>
      <w:r w:rsidR="00E86012">
        <w:rPr>
          <w:sz w:val="24"/>
          <w:lang w:eastAsia="ja-JP"/>
        </w:rPr>
        <w:t xml:space="preserve">tween 0 and 1 and </w:t>
      </w:r>
      <w:r w:rsidR="00E86012" w:rsidRPr="00E86012">
        <w:rPr>
          <w:sz w:val="24"/>
          <w:lang w:eastAsia="ja-JP"/>
        </w:rPr>
        <w:t>be</w:t>
      </w:r>
      <w:r w:rsidR="00E86012">
        <w:rPr>
          <w:sz w:val="24"/>
          <w:lang w:eastAsia="ja-JP"/>
        </w:rPr>
        <w:t>c</w:t>
      </w:r>
      <w:r w:rsidR="006361F5">
        <w:rPr>
          <w:sz w:val="24"/>
          <w:lang w:eastAsia="ja-JP"/>
        </w:rPr>
        <w:t>o</w:t>
      </w:r>
      <w:r w:rsidR="00E86012">
        <w:rPr>
          <w:sz w:val="24"/>
          <w:lang w:eastAsia="ja-JP"/>
        </w:rPr>
        <w:t>me percentages of the maximum.</w:t>
      </w:r>
    </w:p>
    <w:p w14:paraId="4E9192D6" w14:textId="62062A58" w:rsidR="004B2991" w:rsidRPr="003D1926" w:rsidRDefault="004B2991" w:rsidP="004B2991">
      <w:pPr>
        <w:spacing w:line="480" w:lineRule="auto"/>
        <w:ind w:firstLine="720"/>
        <w:jc w:val="both"/>
        <w:rPr>
          <w:sz w:val="24"/>
          <w:lang w:eastAsia="ja-JP"/>
        </w:rPr>
      </w:pPr>
      <w:r w:rsidRPr="003D1926">
        <w:rPr>
          <w:sz w:val="24"/>
          <w:lang w:eastAsia="ja-JP"/>
        </w:rPr>
        <w:t>To provide an overview, we initially report some summary statistics for SC. In low l</w:t>
      </w:r>
      <w:r w:rsidRPr="003D1926">
        <w:rPr>
          <w:sz w:val="24"/>
          <w:lang w:eastAsia="ja-JP"/>
        </w:rPr>
        <w:t>i</w:t>
      </w:r>
      <w:r w:rsidRPr="003D1926">
        <w:rPr>
          <w:sz w:val="24"/>
          <w:lang w:eastAsia="ja-JP"/>
        </w:rPr>
        <w:t>quidity markets, the average SC equals 0.</w:t>
      </w:r>
      <w:r w:rsidR="003D1926" w:rsidRPr="003D1926">
        <w:rPr>
          <w:sz w:val="24"/>
          <w:lang w:eastAsia="ja-JP"/>
        </w:rPr>
        <w:t>60</w:t>
      </w:r>
      <w:r w:rsidRPr="003D1926">
        <w:rPr>
          <w:sz w:val="24"/>
          <w:lang w:eastAsia="ja-JP"/>
        </w:rPr>
        <w:t xml:space="preserve"> (384 observations, min</w:t>
      </w:r>
      <w:r w:rsidR="00AA2326">
        <w:rPr>
          <w:sz w:val="24"/>
          <w:lang w:eastAsia="ja-JP"/>
        </w:rPr>
        <w:t xml:space="preserve"> </w:t>
      </w:r>
      <w:r w:rsidRPr="003D1926">
        <w:rPr>
          <w:sz w:val="24"/>
          <w:lang w:eastAsia="ja-JP"/>
        </w:rPr>
        <w:t>=</w:t>
      </w:r>
      <w:r w:rsidR="00AA2326">
        <w:rPr>
          <w:sz w:val="24"/>
          <w:lang w:eastAsia="ja-JP"/>
        </w:rPr>
        <w:t xml:space="preserve"> </w:t>
      </w:r>
      <w:r w:rsidRPr="003D1926">
        <w:rPr>
          <w:sz w:val="24"/>
          <w:lang w:eastAsia="ja-JP"/>
        </w:rPr>
        <w:t>0.</w:t>
      </w:r>
      <w:r w:rsidR="003D1926" w:rsidRPr="003D1926">
        <w:rPr>
          <w:sz w:val="24"/>
          <w:lang w:eastAsia="ja-JP"/>
        </w:rPr>
        <w:t>23</w:t>
      </w:r>
      <w:r w:rsidRPr="003D1926">
        <w:rPr>
          <w:sz w:val="24"/>
          <w:lang w:eastAsia="ja-JP"/>
        </w:rPr>
        <w:t>, max</w:t>
      </w:r>
      <w:r w:rsidR="00AA2326">
        <w:rPr>
          <w:sz w:val="24"/>
          <w:lang w:eastAsia="ja-JP"/>
        </w:rPr>
        <w:t xml:space="preserve"> </w:t>
      </w:r>
      <w:r w:rsidRPr="003D1926">
        <w:rPr>
          <w:sz w:val="24"/>
          <w:lang w:eastAsia="ja-JP"/>
        </w:rPr>
        <w:t>=</w:t>
      </w:r>
      <w:r w:rsidR="00AA2326">
        <w:rPr>
          <w:sz w:val="24"/>
          <w:lang w:eastAsia="ja-JP"/>
        </w:rPr>
        <w:t xml:space="preserve"> </w:t>
      </w:r>
      <w:r w:rsidRPr="003D1926">
        <w:rPr>
          <w:sz w:val="24"/>
          <w:lang w:eastAsia="ja-JP"/>
        </w:rPr>
        <w:t>0.</w:t>
      </w:r>
      <w:r w:rsidR="003D1926" w:rsidRPr="003D1926">
        <w:rPr>
          <w:sz w:val="24"/>
          <w:lang w:eastAsia="ja-JP"/>
        </w:rPr>
        <w:t>94</w:t>
      </w:r>
      <w:r w:rsidRPr="003D1926">
        <w:rPr>
          <w:sz w:val="24"/>
          <w:lang w:eastAsia="ja-JP"/>
        </w:rPr>
        <w:t xml:space="preserve">, </w:t>
      </w:r>
      <w:proofErr w:type="spellStart"/>
      <w:r w:rsidRPr="003D1926">
        <w:rPr>
          <w:sz w:val="24"/>
          <w:lang w:eastAsia="ja-JP"/>
        </w:rPr>
        <w:t>s.d</w:t>
      </w:r>
      <w:proofErr w:type="gramStart"/>
      <w:r w:rsidRPr="003D1926">
        <w:rPr>
          <w:sz w:val="24"/>
          <w:lang w:eastAsia="ja-JP"/>
        </w:rPr>
        <w:t>.</w:t>
      </w:r>
      <w:proofErr w:type="spellEnd"/>
      <w:r w:rsidRPr="003D1926">
        <w:rPr>
          <w:sz w:val="24"/>
          <w:lang w:eastAsia="ja-JP"/>
        </w:rPr>
        <w:t>=</w:t>
      </w:r>
      <w:proofErr w:type="gramEnd"/>
      <w:r w:rsidR="00AA2326">
        <w:rPr>
          <w:sz w:val="24"/>
          <w:lang w:eastAsia="ja-JP"/>
        </w:rPr>
        <w:t xml:space="preserve"> </w:t>
      </w:r>
      <w:r w:rsidRPr="003D1926">
        <w:rPr>
          <w:sz w:val="24"/>
          <w:lang w:eastAsia="ja-JP"/>
        </w:rPr>
        <w:t>0.1</w:t>
      </w:r>
      <w:r w:rsidR="003D1926" w:rsidRPr="003D1926">
        <w:rPr>
          <w:sz w:val="24"/>
          <w:lang w:eastAsia="ja-JP"/>
        </w:rPr>
        <w:t>5</w:t>
      </w:r>
      <w:r w:rsidRPr="003D1926">
        <w:rPr>
          <w:sz w:val="24"/>
          <w:lang w:eastAsia="ja-JP"/>
        </w:rPr>
        <w:t>) whereas in high liquidity markets the average SC is 0.</w:t>
      </w:r>
      <w:r w:rsidR="003D1926" w:rsidRPr="003D1926">
        <w:rPr>
          <w:sz w:val="24"/>
          <w:lang w:eastAsia="ja-JP"/>
        </w:rPr>
        <w:t>67</w:t>
      </w:r>
      <w:r w:rsidRPr="003D1926">
        <w:rPr>
          <w:sz w:val="24"/>
          <w:lang w:eastAsia="ja-JP"/>
        </w:rPr>
        <w:t xml:space="preserve"> (384 observations, min</w:t>
      </w:r>
      <w:r w:rsidR="00AA2326">
        <w:rPr>
          <w:sz w:val="24"/>
          <w:lang w:eastAsia="ja-JP"/>
        </w:rPr>
        <w:t xml:space="preserve"> </w:t>
      </w:r>
      <w:r w:rsidRPr="003D1926">
        <w:rPr>
          <w:sz w:val="24"/>
          <w:lang w:eastAsia="ja-JP"/>
        </w:rPr>
        <w:t>=</w:t>
      </w:r>
      <w:r w:rsidR="00AA2326">
        <w:rPr>
          <w:sz w:val="24"/>
          <w:lang w:eastAsia="ja-JP"/>
        </w:rPr>
        <w:t xml:space="preserve"> </w:t>
      </w:r>
      <w:r w:rsidRPr="003D1926">
        <w:rPr>
          <w:sz w:val="24"/>
          <w:lang w:eastAsia="ja-JP"/>
        </w:rPr>
        <w:t>0.</w:t>
      </w:r>
      <w:r w:rsidR="003D1926" w:rsidRPr="003D1926">
        <w:rPr>
          <w:sz w:val="24"/>
          <w:lang w:eastAsia="ja-JP"/>
        </w:rPr>
        <w:t xml:space="preserve">22, max=1, </w:t>
      </w:r>
      <w:proofErr w:type="spellStart"/>
      <w:r w:rsidR="003D1926" w:rsidRPr="003D1926">
        <w:rPr>
          <w:sz w:val="24"/>
          <w:lang w:eastAsia="ja-JP"/>
        </w:rPr>
        <w:t>s.d.</w:t>
      </w:r>
      <w:proofErr w:type="spellEnd"/>
      <w:r w:rsidR="003D1926" w:rsidRPr="003D1926">
        <w:rPr>
          <w:sz w:val="24"/>
          <w:lang w:eastAsia="ja-JP"/>
        </w:rPr>
        <w:t>=0.17</w:t>
      </w:r>
      <w:r w:rsidRPr="003D1926">
        <w:rPr>
          <w:sz w:val="24"/>
          <w:lang w:eastAsia="ja-JP"/>
        </w:rPr>
        <w:t xml:space="preserve">). Hence, high liquidity markets are characterized by a </w:t>
      </w:r>
      <w:r w:rsidR="00AA2326">
        <w:rPr>
          <w:sz w:val="24"/>
          <w:lang w:eastAsia="ja-JP"/>
        </w:rPr>
        <w:t xml:space="preserve">more uneven </w:t>
      </w:r>
      <w:r w:rsidRPr="003D1926">
        <w:rPr>
          <w:sz w:val="24"/>
          <w:lang w:eastAsia="ja-JP"/>
        </w:rPr>
        <w:t>distr</w:t>
      </w:r>
      <w:r w:rsidRPr="003D1926">
        <w:rPr>
          <w:sz w:val="24"/>
          <w:lang w:eastAsia="ja-JP"/>
        </w:rPr>
        <w:t>i</w:t>
      </w:r>
      <w:r w:rsidRPr="003D1926">
        <w:rPr>
          <w:sz w:val="24"/>
          <w:lang w:eastAsia="ja-JP"/>
        </w:rPr>
        <w:t xml:space="preserve">bution of security holdings compared to </w:t>
      </w:r>
      <w:r w:rsidR="00AA2326">
        <w:rPr>
          <w:sz w:val="24"/>
          <w:lang w:eastAsia="ja-JP"/>
        </w:rPr>
        <w:t xml:space="preserve">the </w:t>
      </w:r>
      <w:r w:rsidRPr="003D1926">
        <w:rPr>
          <w:sz w:val="24"/>
          <w:lang w:eastAsia="ja-JP"/>
        </w:rPr>
        <w:t>low liquidity markets. The difference is statist</w:t>
      </w:r>
      <w:r w:rsidRPr="003D1926">
        <w:rPr>
          <w:sz w:val="24"/>
          <w:lang w:eastAsia="ja-JP"/>
        </w:rPr>
        <w:t>i</w:t>
      </w:r>
      <w:r w:rsidRPr="003D1926">
        <w:rPr>
          <w:sz w:val="24"/>
          <w:lang w:eastAsia="ja-JP"/>
        </w:rPr>
        <w:t>cally significant at the 1%-level (</w:t>
      </w:r>
      <w:r w:rsidRPr="005926E0">
        <w:rPr>
          <w:i/>
          <w:sz w:val="24"/>
          <w:lang w:eastAsia="ja-JP"/>
        </w:rPr>
        <w:t>t</w:t>
      </w:r>
      <w:r w:rsidRPr="003D1926">
        <w:rPr>
          <w:sz w:val="24"/>
          <w:lang w:eastAsia="ja-JP"/>
        </w:rPr>
        <w:t>-test, t=</w:t>
      </w:r>
      <w:r w:rsidR="00AA2326">
        <w:rPr>
          <w:sz w:val="24"/>
          <w:lang w:eastAsia="ja-JP"/>
        </w:rPr>
        <w:t xml:space="preserve"> </w:t>
      </w:r>
      <w:r w:rsidRPr="003D1926">
        <w:rPr>
          <w:sz w:val="24"/>
          <w:lang w:eastAsia="ja-JP"/>
        </w:rPr>
        <w:t xml:space="preserve">-5.3314, </w:t>
      </w:r>
      <w:proofErr w:type="spellStart"/>
      <w:proofErr w:type="gramStart"/>
      <w:r w:rsidRPr="003D1926">
        <w:rPr>
          <w:sz w:val="24"/>
          <w:lang w:eastAsia="ja-JP"/>
        </w:rPr>
        <w:t>df</w:t>
      </w:r>
      <w:proofErr w:type="spellEnd"/>
      <w:r w:rsidRPr="003D1926">
        <w:rPr>
          <w:sz w:val="24"/>
          <w:lang w:eastAsia="ja-JP"/>
        </w:rPr>
        <w:t>=</w:t>
      </w:r>
      <w:proofErr w:type="gramEnd"/>
      <w:r w:rsidRPr="003D1926">
        <w:rPr>
          <w:sz w:val="24"/>
          <w:lang w:eastAsia="ja-JP"/>
        </w:rPr>
        <w:t xml:space="preserve">766, </w:t>
      </w:r>
      <w:r w:rsidRPr="005926E0">
        <w:rPr>
          <w:i/>
          <w:sz w:val="24"/>
          <w:lang w:eastAsia="ja-JP"/>
        </w:rPr>
        <w:t>p</w:t>
      </w:r>
      <w:r w:rsidR="00AA2326">
        <w:rPr>
          <w:sz w:val="24"/>
          <w:lang w:eastAsia="ja-JP"/>
        </w:rPr>
        <w:t xml:space="preserve"> </w:t>
      </w:r>
      <w:r w:rsidRPr="003D1926">
        <w:rPr>
          <w:sz w:val="24"/>
          <w:lang w:eastAsia="ja-JP"/>
        </w:rPr>
        <w:t>=</w:t>
      </w:r>
      <w:r w:rsidR="00AA2326">
        <w:rPr>
          <w:sz w:val="24"/>
          <w:lang w:eastAsia="ja-JP"/>
        </w:rPr>
        <w:t xml:space="preserve"> </w:t>
      </w:r>
      <w:r w:rsidRPr="003D1926">
        <w:rPr>
          <w:sz w:val="24"/>
          <w:lang w:eastAsia="ja-JP"/>
        </w:rPr>
        <w:t xml:space="preserve">0.0000). </w:t>
      </w:r>
    </w:p>
    <w:p w14:paraId="41BAF189" w14:textId="01605E0D" w:rsidR="004B2991" w:rsidRDefault="004B2991" w:rsidP="004B2991">
      <w:pPr>
        <w:spacing w:line="480" w:lineRule="auto"/>
        <w:ind w:firstLine="720"/>
        <w:jc w:val="both"/>
        <w:rPr>
          <w:sz w:val="24"/>
          <w:lang w:eastAsia="ja-JP"/>
        </w:rPr>
      </w:pPr>
      <w:r>
        <w:rPr>
          <w:sz w:val="24"/>
          <w:lang w:eastAsia="ja-JP"/>
        </w:rPr>
        <w:lastRenderedPageBreak/>
        <w:t xml:space="preserve">To see whether it is </w:t>
      </w:r>
      <w:r w:rsidRPr="003B2415">
        <w:rPr>
          <w:sz w:val="24"/>
          <w:lang w:eastAsia="ja-JP"/>
        </w:rPr>
        <w:t>typically one o</w:t>
      </w:r>
      <w:r>
        <w:rPr>
          <w:sz w:val="24"/>
          <w:lang w:eastAsia="ja-JP"/>
        </w:rPr>
        <w:t>r two subjects purchasing most of the</w:t>
      </w:r>
      <w:r w:rsidRPr="003B2415">
        <w:rPr>
          <w:sz w:val="24"/>
          <w:lang w:eastAsia="ja-JP"/>
        </w:rPr>
        <w:t xml:space="preserve"> </w:t>
      </w:r>
      <w:r>
        <w:rPr>
          <w:sz w:val="24"/>
          <w:lang w:eastAsia="ja-JP"/>
        </w:rPr>
        <w:t>securities</w:t>
      </w:r>
      <w:r w:rsidRPr="003B2415">
        <w:rPr>
          <w:sz w:val="24"/>
          <w:lang w:eastAsia="ja-JP"/>
        </w:rPr>
        <w:t xml:space="preserve">, or whether </w:t>
      </w:r>
      <w:r>
        <w:rPr>
          <w:sz w:val="24"/>
          <w:lang w:eastAsia="ja-JP"/>
        </w:rPr>
        <w:t>holdings are</w:t>
      </w:r>
      <w:r w:rsidRPr="003B2415">
        <w:rPr>
          <w:sz w:val="24"/>
          <w:lang w:eastAsia="ja-JP"/>
        </w:rPr>
        <w:t xml:space="preserve"> more evenly spread, we plot the development of SC conditional on p</w:t>
      </w:r>
      <w:r w:rsidRPr="003B2415">
        <w:rPr>
          <w:sz w:val="24"/>
          <w:lang w:eastAsia="ja-JP"/>
        </w:rPr>
        <w:t>e</w:t>
      </w:r>
      <w:r w:rsidRPr="003B2415">
        <w:rPr>
          <w:sz w:val="24"/>
          <w:lang w:eastAsia="ja-JP"/>
        </w:rPr>
        <w:t>riod for high and low liquidity markets for each of the four generations</w:t>
      </w:r>
      <w:r>
        <w:rPr>
          <w:sz w:val="24"/>
          <w:lang w:eastAsia="ja-JP"/>
        </w:rPr>
        <w:t xml:space="preserve"> in </w:t>
      </w:r>
      <w:r w:rsidRPr="003B2415">
        <w:rPr>
          <w:sz w:val="24"/>
          <w:lang w:eastAsia="ja-JP"/>
        </w:rPr>
        <w:t xml:space="preserve">Figure </w:t>
      </w:r>
      <w:r w:rsidR="00F423B6">
        <w:rPr>
          <w:sz w:val="24"/>
          <w:lang w:eastAsia="ja-JP"/>
        </w:rPr>
        <w:t>D3</w:t>
      </w:r>
      <w:r w:rsidRPr="003B2415">
        <w:rPr>
          <w:sz w:val="24"/>
          <w:lang w:eastAsia="ja-JP"/>
        </w:rPr>
        <w:t xml:space="preserve">. </w:t>
      </w:r>
    </w:p>
    <w:p w14:paraId="3BD0EDC9" w14:textId="77777777" w:rsidR="004B2991" w:rsidRDefault="004B2991" w:rsidP="004B2991">
      <w:pPr>
        <w:spacing w:line="480" w:lineRule="auto"/>
        <w:ind w:firstLine="720"/>
        <w:jc w:val="both"/>
        <w:rPr>
          <w:sz w:val="24"/>
          <w:lang w:eastAsia="ja-JP"/>
        </w:rPr>
      </w:pPr>
    </w:p>
    <w:p w14:paraId="593F09C4" w14:textId="669F8B6C" w:rsidR="004B2991" w:rsidRPr="003B2415" w:rsidRDefault="004B2991" w:rsidP="004B2991">
      <w:pPr>
        <w:spacing w:line="480" w:lineRule="auto"/>
        <w:jc w:val="center"/>
        <w:rPr>
          <w:b/>
          <w:sz w:val="24"/>
          <w:lang w:eastAsia="ja-JP"/>
        </w:rPr>
      </w:pPr>
      <w:r w:rsidRPr="003B2415">
        <w:rPr>
          <w:b/>
          <w:sz w:val="24"/>
          <w:lang w:eastAsia="ja-JP"/>
        </w:rPr>
        <w:t xml:space="preserve">Figure </w:t>
      </w:r>
      <w:r w:rsidR="00F423B6">
        <w:rPr>
          <w:b/>
          <w:sz w:val="24"/>
          <w:lang w:eastAsia="ja-JP"/>
        </w:rPr>
        <w:t>D3</w:t>
      </w:r>
      <w:r w:rsidRPr="003B2415">
        <w:rPr>
          <w:b/>
          <w:sz w:val="24"/>
          <w:lang w:eastAsia="ja-JP"/>
        </w:rPr>
        <w:t xml:space="preserve">: Security </w:t>
      </w:r>
      <w:r>
        <w:rPr>
          <w:b/>
          <w:sz w:val="24"/>
          <w:lang w:eastAsia="ja-JP"/>
        </w:rPr>
        <w:t>concentration</w:t>
      </w:r>
      <w:r w:rsidRPr="003B2415">
        <w:rPr>
          <w:b/>
          <w:sz w:val="24"/>
          <w:lang w:eastAsia="ja-JP"/>
        </w:rPr>
        <w:t xml:space="preserve"> (SC)</w:t>
      </w:r>
      <w:r>
        <w:rPr>
          <w:b/>
          <w:sz w:val="24"/>
          <w:lang w:eastAsia="ja-JP"/>
        </w:rPr>
        <w:t xml:space="preserve"> over time in the four treatments</w:t>
      </w:r>
    </w:p>
    <w:p w14:paraId="6266848F" w14:textId="0620CA10" w:rsidR="004B2991" w:rsidRPr="00E606E1" w:rsidRDefault="00D0521C" w:rsidP="004B2991">
      <w:pPr>
        <w:spacing w:after="120"/>
        <w:rPr>
          <w:rFonts w:ascii="Arial" w:hAnsi="Arial" w:cs="Arial"/>
          <w:color w:val="00B050"/>
        </w:rPr>
      </w:pPr>
      <w:r>
        <w:rPr>
          <w:rFonts w:ascii="Arial" w:hAnsi="Arial" w:cs="Arial"/>
          <w:noProof/>
          <w:color w:val="00B050"/>
          <w:lang w:val="de-DE" w:eastAsia="de-DE"/>
        </w:rPr>
        <w:drawing>
          <wp:inline distT="0" distB="0" distL="0" distR="0" wp14:anchorId="4A1C30AC" wp14:editId="4D64B23B">
            <wp:extent cx="5732145" cy="3021077"/>
            <wp:effectExtent l="0" t="0" r="1905" b="8255"/>
            <wp:docPr id="3" name="Grafik 3" descr="H:\2_Forschung\2014_Hirota Sunder\stata\subjects\graph\Gini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_Forschung\2014_Hirota Sunder\stata\subjects\graph\Gini_all.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2145" cy="3021077"/>
                    </a:xfrm>
                    <a:prstGeom prst="rect">
                      <a:avLst/>
                    </a:prstGeom>
                    <a:noFill/>
                    <a:ln>
                      <a:noFill/>
                    </a:ln>
                  </pic:spPr>
                </pic:pic>
              </a:graphicData>
            </a:graphic>
          </wp:inline>
        </w:drawing>
      </w:r>
    </w:p>
    <w:p w14:paraId="11F8526B" w14:textId="77777777" w:rsidR="004B2991" w:rsidRDefault="004B2991" w:rsidP="004B2991">
      <w:pPr>
        <w:spacing w:line="480" w:lineRule="auto"/>
        <w:ind w:firstLine="720"/>
        <w:jc w:val="both"/>
        <w:rPr>
          <w:sz w:val="24"/>
          <w:lang w:eastAsia="ja-JP"/>
        </w:rPr>
      </w:pPr>
    </w:p>
    <w:p w14:paraId="4C64183F" w14:textId="45973CAB" w:rsidR="00E77F11" w:rsidRDefault="004B2991" w:rsidP="00E77F11">
      <w:pPr>
        <w:spacing w:line="480" w:lineRule="auto"/>
        <w:ind w:firstLine="720"/>
        <w:jc w:val="both"/>
        <w:rPr>
          <w:sz w:val="24"/>
          <w:lang w:eastAsia="ja-JP"/>
        </w:rPr>
      </w:pPr>
      <w:r w:rsidRPr="003B2415">
        <w:rPr>
          <w:sz w:val="24"/>
          <w:lang w:eastAsia="ja-JP"/>
        </w:rPr>
        <w:t>SC is on average higher in high liquidity mar</w:t>
      </w:r>
      <w:r>
        <w:rPr>
          <w:sz w:val="24"/>
          <w:lang w:eastAsia="ja-JP"/>
        </w:rPr>
        <w:t xml:space="preserve">kets, </w:t>
      </w:r>
      <w:r w:rsidRPr="003B2415">
        <w:rPr>
          <w:sz w:val="24"/>
          <w:lang w:eastAsia="ja-JP"/>
        </w:rPr>
        <w:t xml:space="preserve">especially in T1 and T2. </w:t>
      </w:r>
      <w:r w:rsidR="00DE1A2D" w:rsidRPr="003B2415">
        <w:rPr>
          <w:sz w:val="24"/>
          <w:lang w:eastAsia="ja-JP"/>
        </w:rPr>
        <w:t xml:space="preserve">In Table </w:t>
      </w:r>
      <w:r w:rsidR="00DE1A2D">
        <w:rPr>
          <w:sz w:val="24"/>
          <w:lang w:eastAsia="ja-JP"/>
        </w:rPr>
        <w:t>D2</w:t>
      </w:r>
      <w:r w:rsidR="00DE1A2D" w:rsidRPr="003B2415">
        <w:rPr>
          <w:sz w:val="24"/>
          <w:lang w:eastAsia="ja-JP"/>
        </w:rPr>
        <w:t>, we see that liquidity and number of security transfers in a treatment in</w:t>
      </w:r>
      <w:r w:rsidR="00DE1A2D">
        <w:rPr>
          <w:sz w:val="24"/>
          <w:lang w:eastAsia="ja-JP"/>
        </w:rPr>
        <w:t>fluenced the ave</w:t>
      </w:r>
      <w:r w:rsidR="00DE1A2D">
        <w:rPr>
          <w:sz w:val="24"/>
          <w:lang w:eastAsia="ja-JP"/>
        </w:rPr>
        <w:t>r</w:t>
      </w:r>
      <w:r w:rsidR="00DE1A2D">
        <w:rPr>
          <w:sz w:val="24"/>
          <w:lang w:eastAsia="ja-JP"/>
        </w:rPr>
        <w:t>age period-SC</w:t>
      </w:r>
      <w:r w:rsidR="006361F5">
        <w:rPr>
          <w:sz w:val="24"/>
          <w:lang w:eastAsia="ja-JP"/>
        </w:rPr>
        <w:t xml:space="preserve">. </w:t>
      </w:r>
      <w:r w:rsidR="00DE1A2D">
        <w:rPr>
          <w:sz w:val="24"/>
          <w:lang w:eastAsia="ja-JP"/>
        </w:rPr>
        <w:t>Specifically</w:t>
      </w:r>
      <w:r w:rsidR="00DE1A2D" w:rsidRPr="003B2415">
        <w:rPr>
          <w:sz w:val="24"/>
          <w:lang w:eastAsia="ja-JP"/>
        </w:rPr>
        <w:t>, in three out of four treatment comparison</w:t>
      </w:r>
      <w:r w:rsidR="00AA2326">
        <w:rPr>
          <w:sz w:val="24"/>
          <w:lang w:eastAsia="ja-JP"/>
        </w:rPr>
        <w:t>s,</w:t>
      </w:r>
      <w:r w:rsidR="00DE1A2D" w:rsidRPr="003B2415">
        <w:rPr>
          <w:sz w:val="24"/>
          <w:lang w:eastAsia="ja-JP"/>
        </w:rPr>
        <w:t xml:space="preserve"> SC is significantly higher in the </w:t>
      </w:r>
      <w:r w:rsidR="00AA2326">
        <w:rPr>
          <w:sz w:val="24"/>
          <w:lang w:eastAsia="ja-JP"/>
        </w:rPr>
        <w:t>H</w:t>
      </w:r>
      <w:r w:rsidR="00DE1A2D" w:rsidRPr="003B2415">
        <w:rPr>
          <w:sz w:val="24"/>
          <w:lang w:eastAsia="ja-JP"/>
        </w:rPr>
        <w:t xml:space="preserve"> sessions than in the </w:t>
      </w:r>
      <w:r w:rsidR="00AA2326">
        <w:rPr>
          <w:sz w:val="24"/>
          <w:lang w:eastAsia="ja-JP"/>
        </w:rPr>
        <w:t>L sessions</w:t>
      </w:r>
      <w:r w:rsidR="00421460">
        <w:rPr>
          <w:sz w:val="24"/>
          <w:lang w:eastAsia="ja-JP"/>
        </w:rPr>
        <w:t xml:space="preserve">, probably because </w:t>
      </w:r>
      <w:r w:rsidR="00DE1A2D" w:rsidRPr="003B2415">
        <w:rPr>
          <w:sz w:val="24"/>
          <w:lang w:eastAsia="ja-JP"/>
        </w:rPr>
        <w:t xml:space="preserve">the traders most willing to buy can do so </w:t>
      </w:r>
      <w:r w:rsidR="00421460">
        <w:rPr>
          <w:sz w:val="24"/>
          <w:lang w:eastAsia="ja-JP"/>
        </w:rPr>
        <w:t>more easily</w:t>
      </w:r>
      <w:r w:rsidR="00DE1A2D" w:rsidRPr="003B2415">
        <w:rPr>
          <w:sz w:val="24"/>
          <w:lang w:eastAsia="ja-JP"/>
        </w:rPr>
        <w:t>.</w:t>
      </w:r>
      <w:r w:rsidR="00E77F11">
        <w:rPr>
          <w:sz w:val="24"/>
          <w:lang w:eastAsia="ja-JP"/>
        </w:rPr>
        <w:t xml:space="preserve"> </w:t>
      </w:r>
      <w:r w:rsidR="00E77F11" w:rsidRPr="003B2415">
        <w:rPr>
          <w:sz w:val="24"/>
          <w:lang w:eastAsia="ja-JP"/>
        </w:rPr>
        <w:t>Moreover, SC increases over the course of the experiment</w:t>
      </w:r>
      <w:r w:rsidR="00E77F11">
        <w:rPr>
          <w:sz w:val="24"/>
          <w:lang w:eastAsia="ja-JP"/>
        </w:rPr>
        <w:t>,</w:t>
      </w:r>
      <w:r w:rsidR="00E77F11" w:rsidRPr="003B2415">
        <w:rPr>
          <w:sz w:val="24"/>
          <w:lang w:eastAsia="ja-JP"/>
        </w:rPr>
        <w:t xml:space="preserve"> ind</w:t>
      </w:r>
      <w:r w:rsidR="00E77F11" w:rsidRPr="003B2415">
        <w:rPr>
          <w:sz w:val="24"/>
          <w:lang w:eastAsia="ja-JP"/>
        </w:rPr>
        <w:t>i</w:t>
      </w:r>
      <w:r w:rsidR="00E77F11" w:rsidRPr="003B2415">
        <w:rPr>
          <w:sz w:val="24"/>
          <w:lang w:eastAsia="ja-JP"/>
        </w:rPr>
        <w:t xml:space="preserve">cating a stronger concentration of securities </w:t>
      </w:r>
      <w:r w:rsidR="00421460">
        <w:rPr>
          <w:sz w:val="24"/>
          <w:lang w:eastAsia="ja-JP"/>
        </w:rPr>
        <w:t>in the hands of</w:t>
      </w:r>
      <w:r w:rsidR="00421460" w:rsidRPr="003B2415">
        <w:rPr>
          <w:sz w:val="24"/>
          <w:lang w:eastAsia="ja-JP"/>
        </w:rPr>
        <w:t xml:space="preserve"> </w:t>
      </w:r>
      <w:r w:rsidR="00E77F11" w:rsidRPr="003B2415">
        <w:rPr>
          <w:sz w:val="24"/>
          <w:lang w:eastAsia="ja-JP"/>
        </w:rPr>
        <w:t>few subjects. The lower horizo</w:t>
      </w:r>
      <w:r w:rsidR="00E77F11" w:rsidRPr="003B2415">
        <w:rPr>
          <w:sz w:val="24"/>
          <w:lang w:eastAsia="ja-JP"/>
        </w:rPr>
        <w:t>n</w:t>
      </w:r>
      <w:r w:rsidR="00E77F11" w:rsidRPr="003B2415">
        <w:rPr>
          <w:sz w:val="24"/>
          <w:lang w:eastAsia="ja-JP"/>
        </w:rPr>
        <w:t xml:space="preserve">tal black line </w:t>
      </w:r>
      <w:r w:rsidR="000A48C3">
        <w:rPr>
          <w:sz w:val="24"/>
          <w:lang w:eastAsia="ja-JP"/>
        </w:rPr>
        <w:t xml:space="preserve">in Figure D3 </w:t>
      </w:r>
      <w:r w:rsidR="00E77F11" w:rsidRPr="003B2415">
        <w:rPr>
          <w:sz w:val="24"/>
          <w:lang w:eastAsia="ja-JP"/>
        </w:rPr>
        <w:t xml:space="preserve">indicates the level of SC if securities are distributed evenly among </w:t>
      </w:r>
      <w:r w:rsidR="00421460">
        <w:rPr>
          <w:sz w:val="24"/>
          <w:lang w:eastAsia="ja-JP"/>
        </w:rPr>
        <w:t xml:space="preserve">the </w:t>
      </w:r>
      <w:r w:rsidR="00E77F11" w:rsidRPr="003B2415">
        <w:rPr>
          <w:sz w:val="24"/>
          <w:lang w:eastAsia="ja-JP"/>
        </w:rPr>
        <w:t>five subjects (initial endowment)</w:t>
      </w:r>
      <w:r w:rsidR="00421460">
        <w:rPr>
          <w:sz w:val="24"/>
          <w:lang w:eastAsia="ja-JP"/>
        </w:rPr>
        <w:t xml:space="preserve"> of the generation</w:t>
      </w:r>
      <w:r w:rsidR="00E77F11" w:rsidRPr="003B2415">
        <w:rPr>
          <w:sz w:val="24"/>
          <w:lang w:eastAsia="ja-JP"/>
        </w:rPr>
        <w:t xml:space="preserve">. For most periods, SC is above that measure. SC approaches </w:t>
      </w:r>
      <w:r w:rsidR="00421460">
        <w:rPr>
          <w:sz w:val="24"/>
          <w:lang w:eastAsia="ja-JP"/>
        </w:rPr>
        <w:t xml:space="preserve">a level corresponding to even distribution between just two traders </w:t>
      </w:r>
      <w:r w:rsidR="00421460">
        <w:rPr>
          <w:sz w:val="24"/>
          <w:lang w:eastAsia="ja-JP"/>
        </w:rPr>
        <w:lastRenderedPageBreak/>
        <w:t xml:space="preserve">(shown as the upper benchmark in the figure) </w:t>
      </w:r>
      <w:r w:rsidR="00E77F11">
        <w:rPr>
          <w:sz w:val="24"/>
          <w:lang w:eastAsia="ja-JP"/>
        </w:rPr>
        <w:t>in period 16 in each of the treatments, especia</w:t>
      </w:r>
      <w:r w:rsidR="00E77F11">
        <w:rPr>
          <w:sz w:val="24"/>
          <w:lang w:eastAsia="ja-JP"/>
        </w:rPr>
        <w:t>l</w:t>
      </w:r>
      <w:r w:rsidR="00E77F11">
        <w:rPr>
          <w:sz w:val="24"/>
          <w:lang w:eastAsia="ja-JP"/>
        </w:rPr>
        <w:t>ly in high liquidity markets</w:t>
      </w:r>
      <w:r w:rsidR="00E77F11" w:rsidRPr="003B2415">
        <w:rPr>
          <w:sz w:val="24"/>
          <w:lang w:eastAsia="ja-JP"/>
        </w:rPr>
        <w:t>.</w:t>
      </w:r>
    </w:p>
    <w:p w14:paraId="1FA7CA45" w14:textId="77777777" w:rsidR="00DE1A2D" w:rsidRPr="003B2415" w:rsidRDefault="00DE1A2D" w:rsidP="00DE1A2D">
      <w:pPr>
        <w:spacing w:line="480" w:lineRule="auto"/>
        <w:ind w:firstLine="720"/>
        <w:jc w:val="both"/>
        <w:rPr>
          <w:sz w:val="24"/>
          <w:lang w:eastAsia="ja-JP"/>
        </w:rPr>
      </w:pPr>
    </w:p>
    <w:p w14:paraId="030787AC" w14:textId="77777777" w:rsidR="00DE1A2D" w:rsidRPr="003B2415" w:rsidRDefault="00DE1A2D" w:rsidP="00DE1A2D">
      <w:pPr>
        <w:spacing w:line="480" w:lineRule="auto"/>
        <w:jc w:val="center"/>
        <w:rPr>
          <w:b/>
          <w:sz w:val="24"/>
          <w:lang w:eastAsia="ja-JP"/>
        </w:rPr>
      </w:pPr>
      <w:r w:rsidRPr="003B2415">
        <w:rPr>
          <w:b/>
          <w:sz w:val="24"/>
          <w:lang w:eastAsia="ja-JP"/>
        </w:rPr>
        <w:t xml:space="preserve">Table </w:t>
      </w:r>
      <w:r>
        <w:rPr>
          <w:b/>
          <w:sz w:val="24"/>
          <w:lang w:eastAsia="ja-JP"/>
        </w:rPr>
        <w:t>D2</w:t>
      </w:r>
      <w:r w:rsidRPr="003B2415">
        <w:rPr>
          <w:b/>
          <w:sz w:val="24"/>
          <w:lang w:eastAsia="ja-JP"/>
        </w:rPr>
        <w:t xml:space="preserve">: The </w:t>
      </w:r>
      <w:r>
        <w:rPr>
          <w:b/>
          <w:sz w:val="24"/>
          <w:lang w:eastAsia="ja-JP"/>
        </w:rPr>
        <w:t>n</w:t>
      </w:r>
      <w:r w:rsidRPr="003B2415">
        <w:rPr>
          <w:b/>
          <w:sz w:val="24"/>
          <w:lang w:eastAsia="ja-JP"/>
        </w:rPr>
        <w:t xml:space="preserve">umber of </w:t>
      </w:r>
      <w:r>
        <w:rPr>
          <w:b/>
          <w:sz w:val="24"/>
          <w:lang w:eastAsia="ja-JP"/>
        </w:rPr>
        <w:t>s</w:t>
      </w:r>
      <w:r w:rsidRPr="003B2415">
        <w:rPr>
          <w:b/>
          <w:sz w:val="24"/>
          <w:lang w:eastAsia="ja-JP"/>
        </w:rPr>
        <w:t xml:space="preserve">ecurity </w:t>
      </w:r>
      <w:r>
        <w:rPr>
          <w:b/>
          <w:sz w:val="24"/>
          <w:lang w:eastAsia="ja-JP"/>
        </w:rPr>
        <w:t>t</w:t>
      </w:r>
      <w:r w:rsidRPr="003B2415">
        <w:rPr>
          <w:b/>
          <w:sz w:val="24"/>
          <w:lang w:eastAsia="ja-JP"/>
        </w:rPr>
        <w:t xml:space="preserve">ransfers and </w:t>
      </w:r>
      <w:r>
        <w:rPr>
          <w:b/>
          <w:sz w:val="24"/>
          <w:lang w:eastAsia="ja-JP"/>
        </w:rPr>
        <w:t>a</w:t>
      </w:r>
      <w:r w:rsidRPr="003B2415">
        <w:rPr>
          <w:b/>
          <w:sz w:val="24"/>
          <w:lang w:eastAsia="ja-JP"/>
        </w:rPr>
        <w:t xml:space="preserve">verage </w:t>
      </w:r>
      <w:r>
        <w:rPr>
          <w:b/>
          <w:sz w:val="24"/>
          <w:lang w:eastAsia="ja-JP"/>
        </w:rPr>
        <w:t>p</w:t>
      </w:r>
      <w:r w:rsidRPr="003B2415">
        <w:rPr>
          <w:b/>
          <w:sz w:val="24"/>
          <w:lang w:eastAsia="ja-JP"/>
        </w:rPr>
        <w:t xml:space="preserve">eriod-SC by </w:t>
      </w:r>
      <w:r>
        <w:rPr>
          <w:b/>
          <w:sz w:val="24"/>
          <w:lang w:eastAsia="ja-JP"/>
        </w:rPr>
        <w:t>t</w:t>
      </w:r>
      <w:r w:rsidRPr="003B2415">
        <w:rPr>
          <w:b/>
          <w:sz w:val="24"/>
          <w:lang w:eastAsia="ja-JP"/>
        </w:rPr>
        <w:t>reatment</w:t>
      </w:r>
    </w:p>
    <w:tbl>
      <w:tblPr>
        <w:tblStyle w:val="Tabellenraster1"/>
        <w:tblW w:w="0" w:type="auto"/>
        <w:tblLook w:val="04A0" w:firstRow="1" w:lastRow="0" w:firstColumn="1" w:lastColumn="0" w:noHBand="0" w:noVBand="1"/>
      </w:tblPr>
      <w:tblGrid>
        <w:gridCol w:w="1845"/>
        <w:gridCol w:w="1845"/>
        <w:gridCol w:w="1845"/>
        <w:gridCol w:w="1845"/>
        <w:gridCol w:w="1845"/>
      </w:tblGrid>
      <w:tr w:rsidR="00DE1A2D" w:rsidRPr="003B2415" w14:paraId="7A72B442" w14:textId="77777777" w:rsidTr="00402739">
        <w:tc>
          <w:tcPr>
            <w:tcW w:w="1845" w:type="dxa"/>
            <w:vAlign w:val="center"/>
          </w:tcPr>
          <w:p w14:paraId="52EC8A5B" w14:textId="77777777" w:rsidR="00DE1A2D" w:rsidRPr="003B2415" w:rsidRDefault="00DE1A2D" w:rsidP="00402739">
            <w:pPr>
              <w:spacing w:beforeLines="50" w:before="120" w:afterLines="50" w:after="120"/>
              <w:jc w:val="center"/>
              <w:rPr>
                <w:sz w:val="21"/>
                <w:szCs w:val="21"/>
              </w:rPr>
            </w:pPr>
            <w:r w:rsidRPr="003B2415">
              <w:rPr>
                <w:sz w:val="24"/>
              </w:rPr>
              <w:t>Treatment</w:t>
            </w:r>
          </w:p>
        </w:tc>
        <w:tc>
          <w:tcPr>
            <w:tcW w:w="1845" w:type="dxa"/>
            <w:vAlign w:val="center"/>
          </w:tcPr>
          <w:p w14:paraId="578499BB" w14:textId="77777777" w:rsidR="00DE1A2D" w:rsidRPr="003B2415" w:rsidRDefault="00DE1A2D" w:rsidP="00402739">
            <w:pPr>
              <w:spacing w:beforeLines="50" w:before="120" w:afterLines="50" w:after="120"/>
              <w:jc w:val="center"/>
              <w:rPr>
                <w:sz w:val="24"/>
              </w:rPr>
            </w:pPr>
            <w:r w:rsidRPr="003B2415">
              <w:rPr>
                <w:sz w:val="24"/>
              </w:rPr>
              <w:t>T1***</w:t>
            </w:r>
          </w:p>
        </w:tc>
        <w:tc>
          <w:tcPr>
            <w:tcW w:w="1845" w:type="dxa"/>
            <w:vAlign w:val="center"/>
          </w:tcPr>
          <w:p w14:paraId="150A6F28" w14:textId="77777777" w:rsidR="00DE1A2D" w:rsidRPr="003B2415" w:rsidRDefault="00DE1A2D" w:rsidP="00402739">
            <w:pPr>
              <w:spacing w:beforeLines="50" w:before="120" w:afterLines="50" w:after="120"/>
              <w:jc w:val="center"/>
              <w:rPr>
                <w:sz w:val="24"/>
              </w:rPr>
            </w:pPr>
            <w:r w:rsidRPr="003B2415">
              <w:rPr>
                <w:sz w:val="24"/>
              </w:rPr>
              <w:t>T2***</w:t>
            </w:r>
          </w:p>
        </w:tc>
        <w:tc>
          <w:tcPr>
            <w:tcW w:w="1845" w:type="dxa"/>
            <w:vAlign w:val="center"/>
          </w:tcPr>
          <w:p w14:paraId="4C570B4D" w14:textId="77777777" w:rsidR="00DE1A2D" w:rsidRPr="003B2415" w:rsidRDefault="00DE1A2D" w:rsidP="00402739">
            <w:pPr>
              <w:spacing w:beforeLines="50" w:before="120" w:afterLines="50" w:after="120"/>
              <w:jc w:val="center"/>
              <w:rPr>
                <w:sz w:val="24"/>
              </w:rPr>
            </w:pPr>
            <w:r w:rsidRPr="003B2415">
              <w:rPr>
                <w:sz w:val="24"/>
              </w:rPr>
              <w:t>T4</w:t>
            </w:r>
          </w:p>
        </w:tc>
        <w:tc>
          <w:tcPr>
            <w:tcW w:w="1845" w:type="dxa"/>
            <w:vAlign w:val="center"/>
          </w:tcPr>
          <w:p w14:paraId="42596489" w14:textId="77777777" w:rsidR="00DE1A2D" w:rsidRPr="003B2415" w:rsidRDefault="00DE1A2D" w:rsidP="00402739">
            <w:pPr>
              <w:spacing w:beforeLines="50" w:before="120" w:afterLines="50" w:after="120"/>
              <w:jc w:val="center"/>
              <w:rPr>
                <w:sz w:val="24"/>
              </w:rPr>
            </w:pPr>
            <w:r w:rsidRPr="003B2415">
              <w:rPr>
                <w:sz w:val="24"/>
              </w:rPr>
              <w:t>T8***</w:t>
            </w:r>
          </w:p>
        </w:tc>
      </w:tr>
      <w:tr w:rsidR="00DE1A2D" w:rsidRPr="003B2415" w14:paraId="088C6A3A" w14:textId="77777777" w:rsidTr="00402739">
        <w:tc>
          <w:tcPr>
            <w:tcW w:w="1845" w:type="dxa"/>
            <w:vAlign w:val="center"/>
          </w:tcPr>
          <w:p w14:paraId="1D7A35AD" w14:textId="77777777" w:rsidR="00DE1A2D" w:rsidRPr="003B2415" w:rsidRDefault="00DE1A2D" w:rsidP="00402739">
            <w:pPr>
              <w:spacing w:beforeLines="50" w:before="120" w:afterLines="50" w:after="120"/>
              <w:jc w:val="center"/>
            </w:pPr>
            <w:r w:rsidRPr="003B2415">
              <w:t>High-liquidity  session (H)</w:t>
            </w:r>
          </w:p>
        </w:tc>
        <w:tc>
          <w:tcPr>
            <w:tcW w:w="1845" w:type="dxa"/>
            <w:vAlign w:val="center"/>
          </w:tcPr>
          <w:p w14:paraId="7469DE53" w14:textId="77777777" w:rsidR="00DE1A2D" w:rsidRPr="003B2415" w:rsidRDefault="00DE1A2D" w:rsidP="00402739">
            <w:pPr>
              <w:spacing w:beforeLines="50" w:before="120" w:afterLines="50" w:after="120"/>
              <w:jc w:val="center"/>
              <w:rPr>
                <w:sz w:val="24"/>
              </w:rPr>
            </w:pPr>
            <w:r w:rsidRPr="003B2415">
              <w:rPr>
                <w:sz w:val="24"/>
              </w:rPr>
              <w:t>0.</w:t>
            </w:r>
            <w:r>
              <w:rPr>
                <w:sz w:val="24"/>
              </w:rPr>
              <w:t>697</w:t>
            </w:r>
          </w:p>
          <w:p w14:paraId="1C830400" w14:textId="77777777" w:rsidR="00DE1A2D" w:rsidRPr="003B2415" w:rsidRDefault="00DE1A2D" w:rsidP="00402739">
            <w:pPr>
              <w:spacing w:beforeLines="50" w:before="120" w:afterLines="50" w:after="120"/>
              <w:jc w:val="center"/>
              <w:rPr>
                <w:sz w:val="24"/>
              </w:rPr>
            </w:pPr>
            <w:r w:rsidRPr="003B2415">
              <w:rPr>
                <w:sz w:val="24"/>
              </w:rPr>
              <w:t>(96)</w:t>
            </w:r>
          </w:p>
        </w:tc>
        <w:tc>
          <w:tcPr>
            <w:tcW w:w="1845" w:type="dxa"/>
            <w:vAlign w:val="center"/>
          </w:tcPr>
          <w:p w14:paraId="693D3290" w14:textId="77777777" w:rsidR="00DE1A2D" w:rsidRPr="003B2415" w:rsidRDefault="00DE1A2D" w:rsidP="00402739">
            <w:pPr>
              <w:spacing w:beforeLines="50" w:before="120" w:afterLines="50" w:after="120"/>
              <w:jc w:val="center"/>
              <w:rPr>
                <w:sz w:val="24"/>
              </w:rPr>
            </w:pPr>
            <w:r w:rsidRPr="003B2415">
              <w:rPr>
                <w:sz w:val="24"/>
              </w:rPr>
              <w:t>0.</w:t>
            </w:r>
            <w:r>
              <w:rPr>
                <w:sz w:val="24"/>
              </w:rPr>
              <w:t>666</w:t>
            </w:r>
          </w:p>
          <w:p w14:paraId="6BC9B1D9" w14:textId="77777777" w:rsidR="00DE1A2D" w:rsidRPr="003B2415" w:rsidRDefault="00DE1A2D" w:rsidP="00402739">
            <w:pPr>
              <w:spacing w:beforeLines="50" w:before="120" w:afterLines="50" w:after="120"/>
              <w:jc w:val="center"/>
              <w:rPr>
                <w:sz w:val="24"/>
              </w:rPr>
            </w:pPr>
            <w:r w:rsidRPr="003B2415">
              <w:rPr>
                <w:sz w:val="24"/>
              </w:rPr>
              <w:t>(96)</w:t>
            </w:r>
          </w:p>
        </w:tc>
        <w:tc>
          <w:tcPr>
            <w:tcW w:w="1845" w:type="dxa"/>
            <w:vAlign w:val="center"/>
          </w:tcPr>
          <w:p w14:paraId="33B8D57B" w14:textId="77777777" w:rsidR="00DE1A2D" w:rsidRPr="003B2415" w:rsidRDefault="00DE1A2D" w:rsidP="00402739">
            <w:pPr>
              <w:spacing w:beforeLines="50" w:before="120" w:afterLines="50" w:after="120"/>
              <w:jc w:val="center"/>
              <w:rPr>
                <w:sz w:val="24"/>
              </w:rPr>
            </w:pPr>
            <w:r w:rsidRPr="003B2415">
              <w:rPr>
                <w:sz w:val="24"/>
              </w:rPr>
              <w:t>0.</w:t>
            </w:r>
            <w:r>
              <w:rPr>
                <w:sz w:val="24"/>
              </w:rPr>
              <w:t>610</w:t>
            </w:r>
          </w:p>
          <w:p w14:paraId="54E2AF11" w14:textId="77777777" w:rsidR="00DE1A2D" w:rsidRPr="003B2415" w:rsidRDefault="00DE1A2D" w:rsidP="00402739">
            <w:pPr>
              <w:spacing w:beforeLines="50" w:before="120" w:afterLines="50" w:after="120"/>
              <w:jc w:val="center"/>
              <w:rPr>
                <w:sz w:val="24"/>
              </w:rPr>
            </w:pPr>
            <w:r w:rsidRPr="003B2415">
              <w:rPr>
                <w:sz w:val="24"/>
              </w:rPr>
              <w:t>(96)</w:t>
            </w:r>
          </w:p>
        </w:tc>
        <w:tc>
          <w:tcPr>
            <w:tcW w:w="1845" w:type="dxa"/>
            <w:vAlign w:val="center"/>
          </w:tcPr>
          <w:p w14:paraId="176301C9" w14:textId="77777777" w:rsidR="00DE1A2D" w:rsidRPr="003B2415" w:rsidRDefault="00DE1A2D" w:rsidP="00402739">
            <w:pPr>
              <w:spacing w:beforeLines="50" w:before="120" w:afterLines="50" w:after="120"/>
              <w:jc w:val="center"/>
              <w:rPr>
                <w:sz w:val="24"/>
              </w:rPr>
            </w:pPr>
            <w:r w:rsidRPr="003B2415">
              <w:rPr>
                <w:sz w:val="24"/>
              </w:rPr>
              <w:t>0.</w:t>
            </w:r>
            <w:r>
              <w:rPr>
                <w:sz w:val="24"/>
              </w:rPr>
              <w:t>690</w:t>
            </w:r>
          </w:p>
          <w:p w14:paraId="4C4830FE" w14:textId="77777777" w:rsidR="00DE1A2D" w:rsidRPr="003B2415" w:rsidRDefault="00DE1A2D" w:rsidP="00402739">
            <w:pPr>
              <w:spacing w:beforeLines="50" w:before="120" w:afterLines="50" w:after="120"/>
              <w:jc w:val="center"/>
              <w:rPr>
                <w:sz w:val="24"/>
              </w:rPr>
            </w:pPr>
            <w:r w:rsidRPr="003B2415">
              <w:rPr>
                <w:sz w:val="24"/>
              </w:rPr>
              <w:t>(96)</w:t>
            </w:r>
          </w:p>
        </w:tc>
      </w:tr>
      <w:tr w:rsidR="00DE1A2D" w:rsidRPr="003B2415" w14:paraId="4015880D" w14:textId="77777777" w:rsidTr="00402739">
        <w:tc>
          <w:tcPr>
            <w:tcW w:w="1845" w:type="dxa"/>
            <w:vAlign w:val="center"/>
          </w:tcPr>
          <w:p w14:paraId="0DD3E068" w14:textId="77777777" w:rsidR="00DE1A2D" w:rsidRPr="003B2415" w:rsidRDefault="00DE1A2D" w:rsidP="00402739">
            <w:pPr>
              <w:spacing w:beforeLines="50" w:before="120" w:afterLines="50" w:after="120"/>
              <w:jc w:val="center"/>
              <w:rPr>
                <w:sz w:val="24"/>
              </w:rPr>
            </w:pPr>
            <w:r w:rsidRPr="003B2415">
              <w:t>Low-liquidity   session (L)</w:t>
            </w:r>
          </w:p>
        </w:tc>
        <w:tc>
          <w:tcPr>
            <w:tcW w:w="1845" w:type="dxa"/>
            <w:vAlign w:val="center"/>
          </w:tcPr>
          <w:p w14:paraId="1454A524" w14:textId="77777777" w:rsidR="00DE1A2D" w:rsidRPr="003B2415" w:rsidRDefault="00DE1A2D" w:rsidP="00402739">
            <w:pPr>
              <w:spacing w:beforeLines="50" w:before="120" w:afterLines="50" w:after="120"/>
              <w:jc w:val="center"/>
              <w:rPr>
                <w:sz w:val="24"/>
              </w:rPr>
            </w:pPr>
            <w:r w:rsidRPr="003B2415">
              <w:rPr>
                <w:sz w:val="24"/>
              </w:rPr>
              <w:t>0.</w:t>
            </w:r>
            <w:r>
              <w:rPr>
                <w:sz w:val="24"/>
              </w:rPr>
              <w:t>603</w:t>
            </w:r>
          </w:p>
          <w:p w14:paraId="0E5001C4" w14:textId="77777777" w:rsidR="00DE1A2D" w:rsidRPr="003B2415" w:rsidRDefault="00DE1A2D" w:rsidP="00402739">
            <w:pPr>
              <w:spacing w:beforeLines="50" w:before="120" w:afterLines="50" w:after="120"/>
              <w:jc w:val="center"/>
              <w:rPr>
                <w:sz w:val="24"/>
              </w:rPr>
            </w:pPr>
            <w:r w:rsidRPr="003B2415">
              <w:rPr>
                <w:sz w:val="24"/>
              </w:rPr>
              <w:t>(96)</w:t>
            </w:r>
          </w:p>
        </w:tc>
        <w:tc>
          <w:tcPr>
            <w:tcW w:w="1845" w:type="dxa"/>
            <w:vAlign w:val="center"/>
          </w:tcPr>
          <w:p w14:paraId="2E606BB6" w14:textId="77777777" w:rsidR="00DE1A2D" w:rsidRPr="003B2415" w:rsidRDefault="00DE1A2D" w:rsidP="00402739">
            <w:pPr>
              <w:spacing w:beforeLines="50" w:before="120" w:afterLines="50" w:after="120"/>
              <w:jc w:val="center"/>
              <w:rPr>
                <w:sz w:val="24"/>
              </w:rPr>
            </w:pPr>
            <w:r w:rsidRPr="003B2415">
              <w:rPr>
                <w:sz w:val="24"/>
              </w:rPr>
              <w:t>0.</w:t>
            </w:r>
            <w:r>
              <w:rPr>
                <w:sz w:val="24"/>
              </w:rPr>
              <w:t>580</w:t>
            </w:r>
          </w:p>
          <w:p w14:paraId="4410DEBD" w14:textId="77777777" w:rsidR="00DE1A2D" w:rsidRPr="003B2415" w:rsidRDefault="00DE1A2D" w:rsidP="00402739">
            <w:pPr>
              <w:spacing w:beforeLines="50" w:before="120" w:afterLines="50" w:after="120"/>
              <w:jc w:val="center"/>
              <w:rPr>
                <w:sz w:val="24"/>
              </w:rPr>
            </w:pPr>
            <w:r w:rsidRPr="003B2415">
              <w:rPr>
                <w:sz w:val="24"/>
              </w:rPr>
              <w:t>(96)</w:t>
            </w:r>
          </w:p>
        </w:tc>
        <w:tc>
          <w:tcPr>
            <w:tcW w:w="1845" w:type="dxa"/>
            <w:vAlign w:val="center"/>
          </w:tcPr>
          <w:p w14:paraId="563DC649" w14:textId="77777777" w:rsidR="00DE1A2D" w:rsidRPr="003B2415" w:rsidRDefault="00DE1A2D" w:rsidP="00402739">
            <w:pPr>
              <w:spacing w:beforeLines="50" w:before="120" w:afterLines="50" w:after="120"/>
              <w:jc w:val="center"/>
              <w:rPr>
                <w:sz w:val="24"/>
              </w:rPr>
            </w:pPr>
            <w:r w:rsidRPr="003B2415">
              <w:rPr>
                <w:sz w:val="24"/>
              </w:rPr>
              <w:t>0.</w:t>
            </w:r>
            <w:r>
              <w:rPr>
                <w:sz w:val="24"/>
              </w:rPr>
              <w:t>613</w:t>
            </w:r>
          </w:p>
          <w:p w14:paraId="1AECBF41" w14:textId="77777777" w:rsidR="00DE1A2D" w:rsidRPr="003B2415" w:rsidRDefault="00DE1A2D" w:rsidP="00402739">
            <w:pPr>
              <w:spacing w:beforeLines="50" w:before="120" w:afterLines="50" w:after="120"/>
              <w:jc w:val="center"/>
              <w:rPr>
                <w:sz w:val="24"/>
              </w:rPr>
            </w:pPr>
            <w:r w:rsidRPr="003B2415">
              <w:rPr>
                <w:sz w:val="24"/>
              </w:rPr>
              <w:t>(96)</w:t>
            </w:r>
          </w:p>
        </w:tc>
        <w:tc>
          <w:tcPr>
            <w:tcW w:w="1845" w:type="dxa"/>
            <w:vAlign w:val="center"/>
          </w:tcPr>
          <w:p w14:paraId="0771E733" w14:textId="77777777" w:rsidR="00DE1A2D" w:rsidRPr="003B2415" w:rsidRDefault="00DE1A2D" w:rsidP="00402739">
            <w:pPr>
              <w:spacing w:beforeLines="50" w:before="120" w:afterLines="50" w:after="120"/>
              <w:jc w:val="center"/>
              <w:rPr>
                <w:sz w:val="24"/>
              </w:rPr>
            </w:pPr>
            <w:r w:rsidRPr="003B2415">
              <w:rPr>
                <w:sz w:val="24"/>
              </w:rPr>
              <w:t>0.</w:t>
            </w:r>
            <w:r>
              <w:rPr>
                <w:sz w:val="24"/>
              </w:rPr>
              <w:t>617</w:t>
            </w:r>
          </w:p>
          <w:p w14:paraId="37BF470D" w14:textId="77777777" w:rsidR="00DE1A2D" w:rsidRPr="003B2415" w:rsidRDefault="00DE1A2D" w:rsidP="00402739">
            <w:pPr>
              <w:spacing w:beforeLines="50" w:before="120" w:afterLines="50" w:after="120"/>
              <w:jc w:val="center"/>
              <w:rPr>
                <w:sz w:val="24"/>
              </w:rPr>
            </w:pPr>
            <w:r w:rsidRPr="003B2415">
              <w:rPr>
                <w:sz w:val="24"/>
              </w:rPr>
              <w:t>(96)</w:t>
            </w:r>
          </w:p>
        </w:tc>
      </w:tr>
    </w:tbl>
    <w:p w14:paraId="15113BC2" w14:textId="77777777" w:rsidR="00DE1A2D" w:rsidRPr="003B2415" w:rsidRDefault="00DE1A2D" w:rsidP="00DE1A2D">
      <w:pPr>
        <w:spacing w:beforeLines="50" w:before="120" w:afterLines="50" w:after="120"/>
        <w:rPr>
          <w:rFonts w:eastAsia="Times New Roman"/>
          <w:lang w:eastAsia="ja-JP"/>
        </w:rPr>
      </w:pPr>
      <w:r w:rsidRPr="003B2415">
        <w:rPr>
          <w:rFonts w:eastAsia="Times New Roman"/>
          <w:lang w:eastAsia="ja-JP"/>
        </w:rPr>
        <w:t>Notes: Sample size is in parentheses. *, **, *** indicate that the difference is statistically significant at 10%, 5%, or 1% level by two-sided t-test, respectively.</w:t>
      </w:r>
    </w:p>
    <w:p w14:paraId="512E3D91" w14:textId="77777777" w:rsidR="00DE1A2D" w:rsidRPr="003B2415" w:rsidRDefault="00DE1A2D" w:rsidP="00DE1A2D">
      <w:pPr>
        <w:spacing w:line="480" w:lineRule="auto"/>
        <w:ind w:firstLine="720"/>
        <w:jc w:val="both"/>
        <w:rPr>
          <w:sz w:val="24"/>
          <w:lang w:eastAsia="ja-JP"/>
        </w:rPr>
      </w:pPr>
    </w:p>
    <w:p w14:paraId="21B75369" w14:textId="37323797" w:rsidR="00DE1A2D" w:rsidRPr="003B2415" w:rsidRDefault="00DE1A2D" w:rsidP="00DE1A2D">
      <w:pPr>
        <w:spacing w:line="480" w:lineRule="auto"/>
        <w:ind w:firstLine="720"/>
        <w:jc w:val="both"/>
        <w:rPr>
          <w:sz w:val="24"/>
          <w:lang w:eastAsia="ja-JP"/>
        </w:rPr>
      </w:pPr>
      <w:r>
        <w:rPr>
          <w:sz w:val="24"/>
          <w:lang w:eastAsia="ja-JP"/>
        </w:rPr>
        <w:t xml:space="preserve">We </w:t>
      </w:r>
      <w:r w:rsidR="00EB0EBB">
        <w:rPr>
          <w:sz w:val="24"/>
          <w:lang w:eastAsia="ja-JP"/>
        </w:rPr>
        <w:t>also</w:t>
      </w:r>
      <w:r w:rsidR="00EB0EBB" w:rsidRPr="003B2415">
        <w:rPr>
          <w:sz w:val="24"/>
          <w:lang w:eastAsia="ja-JP"/>
        </w:rPr>
        <w:t xml:space="preserve"> </w:t>
      </w:r>
      <w:r w:rsidRPr="003B2415">
        <w:rPr>
          <w:sz w:val="24"/>
          <w:lang w:eastAsia="ja-JP"/>
        </w:rPr>
        <w:t xml:space="preserve">use SC </w:t>
      </w:r>
      <w:r>
        <w:rPr>
          <w:sz w:val="24"/>
          <w:lang w:eastAsia="ja-JP"/>
        </w:rPr>
        <w:t>to shed more light on</w:t>
      </w:r>
      <w:r w:rsidRPr="003B2415">
        <w:rPr>
          <w:sz w:val="24"/>
          <w:lang w:eastAsia="ja-JP"/>
        </w:rPr>
        <w:t xml:space="preserve"> our research questions</w:t>
      </w:r>
      <w:r>
        <w:rPr>
          <w:sz w:val="24"/>
          <w:lang w:eastAsia="ja-JP"/>
        </w:rPr>
        <w:t>:</w:t>
      </w:r>
      <w:r w:rsidRPr="003B2415">
        <w:rPr>
          <w:sz w:val="24"/>
          <w:lang w:eastAsia="ja-JP"/>
        </w:rPr>
        <w:t xml:space="preserve"> Table </w:t>
      </w:r>
      <w:r>
        <w:rPr>
          <w:sz w:val="24"/>
          <w:lang w:eastAsia="ja-JP"/>
        </w:rPr>
        <w:t>D</w:t>
      </w:r>
      <w:r w:rsidR="002B74C4">
        <w:rPr>
          <w:sz w:val="24"/>
          <w:lang w:eastAsia="ja-JP"/>
        </w:rPr>
        <w:t>3</w:t>
      </w:r>
      <w:r w:rsidRPr="003B2415">
        <w:rPr>
          <w:sz w:val="24"/>
          <w:lang w:eastAsia="ja-JP"/>
        </w:rPr>
        <w:t xml:space="preserve"> compares the average Period-SC across all periods with dividend-collecting investors (0.</w:t>
      </w:r>
      <w:r>
        <w:rPr>
          <w:sz w:val="24"/>
          <w:lang w:eastAsia="ja-JP"/>
        </w:rPr>
        <w:t>725</w:t>
      </w:r>
      <w:r w:rsidRPr="003B2415">
        <w:rPr>
          <w:sz w:val="24"/>
          <w:lang w:eastAsia="ja-JP"/>
        </w:rPr>
        <w:t xml:space="preserve"> in H and 0.</w:t>
      </w:r>
      <w:r>
        <w:rPr>
          <w:sz w:val="24"/>
          <w:lang w:eastAsia="ja-JP"/>
        </w:rPr>
        <w:t>633</w:t>
      </w:r>
      <w:r w:rsidRPr="003B2415">
        <w:rPr>
          <w:sz w:val="24"/>
          <w:lang w:eastAsia="ja-JP"/>
        </w:rPr>
        <w:t xml:space="preserve"> in L) with periods populated only by speculating investors (0.</w:t>
      </w:r>
      <w:r>
        <w:rPr>
          <w:sz w:val="24"/>
          <w:lang w:eastAsia="ja-JP"/>
        </w:rPr>
        <w:t>613</w:t>
      </w:r>
      <w:r w:rsidRPr="003B2415">
        <w:rPr>
          <w:sz w:val="24"/>
          <w:lang w:eastAsia="ja-JP"/>
        </w:rPr>
        <w:t xml:space="preserve"> in H and 0.</w:t>
      </w:r>
      <w:r>
        <w:rPr>
          <w:sz w:val="24"/>
          <w:lang w:eastAsia="ja-JP"/>
        </w:rPr>
        <w:t>577</w:t>
      </w:r>
      <w:r w:rsidRPr="003B2415">
        <w:rPr>
          <w:sz w:val="24"/>
          <w:lang w:eastAsia="ja-JP"/>
        </w:rPr>
        <w:t xml:space="preserve"> in L). The respective difference (-0.</w:t>
      </w:r>
      <w:r>
        <w:rPr>
          <w:sz w:val="24"/>
          <w:lang w:eastAsia="ja-JP"/>
        </w:rPr>
        <w:t>112</w:t>
      </w:r>
      <w:r w:rsidRPr="003B2415">
        <w:rPr>
          <w:sz w:val="24"/>
          <w:lang w:eastAsia="ja-JP"/>
        </w:rPr>
        <w:t xml:space="preserve"> in H and -0.0</w:t>
      </w:r>
      <w:r>
        <w:rPr>
          <w:sz w:val="24"/>
          <w:lang w:eastAsia="ja-JP"/>
        </w:rPr>
        <w:t>5</w:t>
      </w:r>
      <w:r w:rsidRPr="003B2415">
        <w:rPr>
          <w:sz w:val="24"/>
          <w:lang w:eastAsia="ja-JP"/>
        </w:rPr>
        <w:t>5 in L) is large in absolute terms and statist</w:t>
      </w:r>
      <w:r w:rsidRPr="003B2415">
        <w:rPr>
          <w:sz w:val="24"/>
          <w:lang w:eastAsia="ja-JP"/>
        </w:rPr>
        <w:t>i</w:t>
      </w:r>
      <w:r w:rsidRPr="003B2415">
        <w:rPr>
          <w:sz w:val="24"/>
          <w:lang w:eastAsia="ja-JP"/>
        </w:rPr>
        <w:t xml:space="preserve">cally significant at the 1% level for each </w:t>
      </w:r>
      <w:r>
        <w:rPr>
          <w:sz w:val="24"/>
          <w:lang w:eastAsia="ja-JP"/>
        </w:rPr>
        <w:t xml:space="preserve">of the two </w:t>
      </w:r>
      <w:r w:rsidRPr="003B2415">
        <w:rPr>
          <w:sz w:val="24"/>
          <w:lang w:eastAsia="ja-JP"/>
        </w:rPr>
        <w:t>liquidity treatment</w:t>
      </w:r>
      <w:r>
        <w:rPr>
          <w:sz w:val="24"/>
          <w:lang w:eastAsia="ja-JP"/>
        </w:rPr>
        <w:t>s</w:t>
      </w:r>
      <w:r w:rsidRPr="003B2415">
        <w:rPr>
          <w:sz w:val="24"/>
          <w:lang w:eastAsia="ja-JP"/>
        </w:rPr>
        <w:t xml:space="preserve"> (two-sided t-test). These results indicate that in periods with </w:t>
      </w:r>
      <w:r>
        <w:rPr>
          <w:sz w:val="24"/>
          <w:lang w:eastAsia="ja-JP"/>
        </w:rPr>
        <w:t xml:space="preserve">dividend-collecting </w:t>
      </w:r>
      <w:r w:rsidRPr="003B2415">
        <w:rPr>
          <w:sz w:val="24"/>
          <w:lang w:eastAsia="ja-JP"/>
        </w:rPr>
        <w:t xml:space="preserve">investors present the allocation of securities among subjects is more </w:t>
      </w:r>
      <w:r>
        <w:rPr>
          <w:sz w:val="24"/>
          <w:lang w:eastAsia="ja-JP"/>
        </w:rPr>
        <w:t>concentrated</w:t>
      </w:r>
      <w:r w:rsidRPr="003B2415">
        <w:rPr>
          <w:sz w:val="24"/>
          <w:lang w:eastAsia="ja-JP"/>
        </w:rPr>
        <w:t>.</w:t>
      </w:r>
      <w:r>
        <w:rPr>
          <w:sz w:val="24"/>
          <w:lang w:eastAsia="ja-JP"/>
        </w:rPr>
        <w:t xml:space="preserve"> With dividends being paid out to these investors the value of the securities is probably more salient and they are thus more eager to buy (as long as price</w:t>
      </w:r>
      <w:r w:rsidR="00EB0EBB">
        <w:rPr>
          <w:sz w:val="24"/>
          <w:lang w:eastAsia="ja-JP"/>
        </w:rPr>
        <w:t xml:space="preserve"> is less than </w:t>
      </w:r>
      <w:r>
        <w:rPr>
          <w:sz w:val="24"/>
          <w:lang w:eastAsia="ja-JP"/>
        </w:rPr>
        <w:t>50)</w:t>
      </w:r>
      <w:r w:rsidRPr="003B2415">
        <w:rPr>
          <w:sz w:val="24"/>
          <w:lang w:eastAsia="ja-JP"/>
        </w:rPr>
        <w:t xml:space="preserve">. </w:t>
      </w:r>
    </w:p>
    <w:p w14:paraId="0EC56697" w14:textId="77777777" w:rsidR="00E97BCB" w:rsidRDefault="00E97BCB">
      <w:pPr>
        <w:rPr>
          <w:b/>
          <w:sz w:val="24"/>
          <w:lang w:eastAsia="ja-JP"/>
        </w:rPr>
      </w:pPr>
      <w:r>
        <w:rPr>
          <w:b/>
          <w:sz w:val="24"/>
          <w:lang w:eastAsia="ja-JP"/>
        </w:rPr>
        <w:br w:type="page"/>
      </w:r>
    </w:p>
    <w:p w14:paraId="6E8B5C81" w14:textId="5D4A8461" w:rsidR="00DE1A2D" w:rsidRPr="003B2415" w:rsidRDefault="00DE1A2D" w:rsidP="00DE1A2D">
      <w:pPr>
        <w:jc w:val="center"/>
        <w:rPr>
          <w:b/>
          <w:sz w:val="24"/>
          <w:lang w:eastAsia="ja-JP"/>
        </w:rPr>
      </w:pPr>
      <w:r w:rsidRPr="003B2415">
        <w:rPr>
          <w:b/>
          <w:sz w:val="24"/>
          <w:lang w:eastAsia="ja-JP"/>
        </w:rPr>
        <w:lastRenderedPageBreak/>
        <w:t xml:space="preserve">Table </w:t>
      </w:r>
      <w:r w:rsidR="002B74C4">
        <w:rPr>
          <w:b/>
          <w:sz w:val="24"/>
          <w:lang w:eastAsia="ja-JP"/>
        </w:rPr>
        <w:t>D3</w:t>
      </w:r>
      <w:r w:rsidRPr="003B2415">
        <w:rPr>
          <w:b/>
          <w:sz w:val="24"/>
          <w:lang w:eastAsia="ja-JP"/>
        </w:rPr>
        <w:t>: Comparison of Average Period-SC between Periods with Dividend-collecting Investors and Periods with only Speculating Investors</w:t>
      </w:r>
    </w:p>
    <w:tbl>
      <w:tblPr>
        <w:tblStyle w:val="Tabellenraster"/>
        <w:tblW w:w="9464" w:type="dxa"/>
        <w:tblLook w:val="04A0" w:firstRow="1" w:lastRow="0" w:firstColumn="1" w:lastColumn="0" w:noHBand="0" w:noVBand="1"/>
      </w:tblPr>
      <w:tblGrid>
        <w:gridCol w:w="2518"/>
        <w:gridCol w:w="2552"/>
        <w:gridCol w:w="2268"/>
        <w:gridCol w:w="2126"/>
      </w:tblGrid>
      <w:tr w:rsidR="00DE1A2D" w:rsidRPr="003B2415" w14:paraId="2F8CAA10" w14:textId="77777777" w:rsidTr="00402739">
        <w:tc>
          <w:tcPr>
            <w:tcW w:w="2518" w:type="dxa"/>
            <w:vAlign w:val="center"/>
          </w:tcPr>
          <w:p w14:paraId="7368B3CD" w14:textId="77777777" w:rsidR="00DE1A2D" w:rsidRPr="003B2415" w:rsidRDefault="00DE1A2D" w:rsidP="00402739">
            <w:pPr>
              <w:spacing w:beforeLines="50" w:before="120" w:afterLines="50" w:after="120"/>
              <w:jc w:val="center"/>
              <w:rPr>
                <w:sz w:val="24"/>
              </w:rPr>
            </w:pPr>
          </w:p>
        </w:tc>
        <w:tc>
          <w:tcPr>
            <w:tcW w:w="2552" w:type="dxa"/>
            <w:vAlign w:val="center"/>
          </w:tcPr>
          <w:p w14:paraId="12C6B1E4" w14:textId="77777777" w:rsidR="00DE1A2D" w:rsidRPr="003B2415" w:rsidRDefault="00DE1A2D" w:rsidP="00402739">
            <w:pPr>
              <w:numPr>
                <w:ilvl w:val="0"/>
                <w:numId w:val="39"/>
              </w:numPr>
              <w:spacing w:beforeLines="50" w:before="120" w:afterLines="50" w:after="120"/>
              <w:jc w:val="center"/>
              <w:rPr>
                <w:sz w:val="24"/>
              </w:rPr>
            </w:pPr>
            <w:r w:rsidRPr="003B2415">
              <w:rPr>
                <w:sz w:val="24"/>
              </w:rPr>
              <w:t>Periods with      dividend-collecting investors</w:t>
            </w:r>
          </w:p>
        </w:tc>
        <w:tc>
          <w:tcPr>
            <w:tcW w:w="2268" w:type="dxa"/>
            <w:vAlign w:val="center"/>
          </w:tcPr>
          <w:p w14:paraId="6BA33963" w14:textId="77777777" w:rsidR="00DE1A2D" w:rsidRPr="003B2415" w:rsidRDefault="00DE1A2D" w:rsidP="00402739">
            <w:pPr>
              <w:numPr>
                <w:ilvl w:val="0"/>
                <w:numId w:val="39"/>
              </w:numPr>
              <w:spacing w:beforeLines="50" w:before="120" w:afterLines="50" w:after="120"/>
              <w:jc w:val="center"/>
              <w:rPr>
                <w:sz w:val="24"/>
              </w:rPr>
            </w:pPr>
            <w:r w:rsidRPr="003B2415">
              <w:rPr>
                <w:sz w:val="24"/>
              </w:rPr>
              <w:t>Periods with    only speculating investors</w:t>
            </w:r>
          </w:p>
        </w:tc>
        <w:tc>
          <w:tcPr>
            <w:tcW w:w="2126" w:type="dxa"/>
            <w:vAlign w:val="center"/>
          </w:tcPr>
          <w:p w14:paraId="6FDD88B1" w14:textId="77777777" w:rsidR="00DE1A2D" w:rsidRPr="003B2415" w:rsidRDefault="00DE1A2D" w:rsidP="00402739">
            <w:pPr>
              <w:spacing w:beforeLines="50" w:before="120" w:afterLines="50" w:after="120"/>
              <w:jc w:val="center"/>
              <w:rPr>
                <w:sz w:val="24"/>
              </w:rPr>
            </w:pPr>
            <w:r w:rsidRPr="003B2415">
              <w:rPr>
                <w:sz w:val="24"/>
              </w:rPr>
              <w:t>Difference</w:t>
            </w:r>
          </w:p>
          <w:p w14:paraId="20D1E6B6" w14:textId="77777777" w:rsidR="00DE1A2D" w:rsidRPr="003B2415" w:rsidRDefault="00DE1A2D" w:rsidP="00402739">
            <w:pPr>
              <w:spacing w:beforeLines="50" w:before="120" w:afterLines="50" w:after="120"/>
              <w:jc w:val="center"/>
              <w:rPr>
                <w:sz w:val="24"/>
              </w:rPr>
            </w:pPr>
            <w:r w:rsidRPr="003B2415">
              <w:rPr>
                <w:sz w:val="24"/>
              </w:rPr>
              <w:t>(2)</w:t>
            </w:r>
            <w:r w:rsidRPr="003B2415">
              <w:rPr>
                <w:rFonts w:ascii="MS Mincho" w:hAnsi="MS Mincho"/>
                <w:sz w:val="24"/>
              </w:rPr>
              <w:t>-</w:t>
            </w:r>
            <w:r w:rsidRPr="003B2415">
              <w:rPr>
                <w:sz w:val="24"/>
              </w:rPr>
              <w:t>(1)</w:t>
            </w:r>
          </w:p>
        </w:tc>
      </w:tr>
      <w:tr w:rsidR="00DE1A2D" w:rsidRPr="003B2415" w14:paraId="2279ED94" w14:textId="77777777" w:rsidTr="00402739">
        <w:tc>
          <w:tcPr>
            <w:tcW w:w="2518" w:type="dxa"/>
            <w:vAlign w:val="center"/>
          </w:tcPr>
          <w:p w14:paraId="4264E867" w14:textId="77777777" w:rsidR="00DE1A2D" w:rsidRPr="003B2415" w:rsidRDefault="00DE1A2D" w:rsidP="00402739">
            <w:pPr>
              <w:spacing w:beforeLines="50" w:before="120" w:afterLines="50" w:after="120"/>
              <w:jc w:val="center"/>
              <w:rPr>
                <w:sz w:val="24"/>
                <w:szCs w:val="24"/>
              </w:rPr>
            </w:pPr>
            <w:r w:rsidRPr="003B2415">
              <w:rPr>
                <w:sz w:val="24"/>
                <w:szCs w:val="24"/>
              </w:rPr>
              <w:t>High liquidity Session (Treatment H)</w:t>
            </w:r>
          </w:p>
        </w:tc>
        <w:tc>
          <w:tcPr>
            <w:tcW w:w="2552" w:type="dxa"/>
            <w:vAlign w:val="center"/>
          </w:tcPr>
          <w:p w14:paraId="343480EC" w14:textId="77777777" w:rsidR="00DE1A2D" w:rsidRPr="003B2415" w:rsidRDefault="00DE1A2D" w:rsidP="00402739">
            <w:pPr>
              <w:spacing w:beforeLines="50" w:before="120" w:afterLines="50" w:after="120"/>
              <w:jc w:val="center"/>
              <w:rPr>
                <w:sz w:val="24"/>
              </w:rPr>
            </w:pPr>
            <w:r w:rsidRPr="003B2415">
              <w:rPr>
                <w:sz w:val="24"/>
              </w:rPr>
              <w:t>0.</w:t>
            </w:r>
            <w:r>
              <w:rPr>
                <w:sz w:val="24"/>
              </w:rPr>
              <w:t>725</w:t>
            </w:r>
          </w:p>
          <w:p w14:paraId="5D42BED7" w14:textId="77777777" w:rsidR="00DE1A2D" w:rsidRPr="003B2415" w:rsidRDefault="00DE1A2D" w:rsidP="00402739">
            <w:pPr>
              <w:spacing w:beforeLines="50" w:before="120" w:afterLines="50" w:after="120"/>
              <w:jc w:val="center"/>
              <w:rPr>
                <w:sz w:val="24"/>
              </w:rPr>
            </w:pPr>
            <w:r w:rsidRPr="003B2415">
              <w:rPr>
                <w:sz w:val="24"/>
              </w:rPr>
              <w:t>(180)</w:t>
            </w:r>
          </w:p>
        </w:tc>
        <w:tc>
          <w:tcPr>
            <w:tcW w:w="2268" w:type="dxa"/>
            <w:vAlign w:val="center"/>
          </w:tcPr>
          <w:p w14:paraId="64A02787" w14:textId="77777777" w:rsidR="00DE1A2D" w:rsidRPr="003B2415" w:rsidRDefault="00DE1A2D" w:rsidP="00402739">
            <w:pPr>
              <w:spacing w:beforeLines="50" w:before="120" w:afterLines="50" w:after="120"/>
              <w:jc w:val="center"/>
              <w:rPr>
                <w:sz w:val="24"/>
              </w:rPr>
            </w:pPr>
            <w:r w:rsidRPr="003B2415">
              <w:rPr>
                <w:sz w:val="24"/>
              </w:rPr>
              <w:t>0.</w:t>
            </w:r>
            <w:r>
              <w:rPr>
                <w:sz w:val="24"/>
              </w:rPr>
              <w:t>613</w:t>
            </w:r>
          </w:p>
          <w:p w14:paraId="6F1955AF" w14:textId="77777777" w:rsidR="00DE1A2D" w:rsidRPr="003B2415" w:rsidRDefault="00DE1A2D" w:rsidP="00402739">
            <w:pPr>
              <w:spacing w:beforeLines="50" w:before="120" w:afterLines="50" w:after="120"/>
              <w:jc w:val="center"/>
              <w:rPr>
                <w:sz w:val="24"/>
              </w:rPr>
            </w:pPr>
            <w:r w:rsidRPr="003B2415">
              <w:rPr>
                <w:sz w:val="24"/>
              </w:rPr>
              <w:t>(204)</w:t>
            </w:r>
          </w:p>
        </w:tc>
        <w:tc>
          <w:tcPr>
            <w:tcW w:w="2126" w:type="dxa"/>
            <w:vAlign w:val="center"/>
          </w:tcPr>
          <w:p w14:paraId="39F90D24" w14:textId="77777777" w:rsidR="00DE1A2D" w:rsidRPr="003B2415" w:rsidRDefault="00DE1A2D" w:rsidP="00402739">
            <w:pPr>
              <w:spacing w:beforeLines="50" w:before="120" w:afterLines="50" w:after="120"/>
              <w:jc w:val="center"/>
              <w:rPr>
                <w:sz w:val="24"/>
              </w:rPr>
            </w:pPr>
            <w:r w:rsidRPr="003B2415">
              <w:rPr>
                <w:sz w:val="24"/>
              </w:rPr>
              <w:t>-0.</w:t>
            </w:r>
            <w:r>
              <w:rPr>
                <w:sz w:val="24"/>
              </w:rPr>
              <w:t>112</w:t>
            </w:r>
            <w:r w:rsidRPr="003B2415">
              <w:rPr>
                <w:sz w:val="24"/>
              </w:rPr>
              <w:t>***</w:t>
            </w:r>
          </w:p>
        </w:tc>
      </w:tr>
      <w:tr w:rsidR="00DE1A2D" w:rsidRPr="003B2415" w14:paraId="737FD15E" w14:textId="77777777" w:rsidTr="00402739">
        <w:tc>
          <w:tcPr>
            <w:tcW w:w="2518" w:type="dxa"/>
            <w:tcBorders>
              <w:bottom w:val="single" w:sz="4" w:space="0" w:color="000000"/>
            </w:tcBorders>
            <w:vAlign w:val="center"/>
          </w:tcPr>
          <w:p w14:paraId="3A9C15E4" w14:textId="77777777" w:rsidR="00DE1A2D" w:rsidRPr="003B2415" w:rsidRDefault="00DE1A2D" w:rsidP="00402739">
            <w:pPr>
              <w:spacing w:beforeLines="50" w:before="120" w:afterLines="50" w:after="120"/>
              <w:jc w:val="center"/>
              <w:rPr>
                <w:sz w:val="24"/>
                <w:szCs w:val="24"/>
              </w:rPr>
            </w:pPr>
            <w:r w:rsidRPr="003B2415">
              <w:rPr>
                <w:sz w:val="24"/>
                <w:szCs w:val="24"/>
              </w:rPr>
              <w:t>Low liquidity Session (Treatment L)</w:t>
            </w:r>
          </w:p>
        </w:tc>
        <w:tc>
          <w:tcPr>
            <w:tcW w:w="2552" w:type="dxa"/>
            <w:tcBorders>
              <w:bottom w:val="single" w:sz="4" w:space="0" w:color="000000"/>
            </w:tcBorders>
            <w:vAlign w:val="center"/>
          </w:tcPr>
          <w:p w14:paraId="11009E7A" w14:textId="77777777" w:rsidR="00DE1A2D" w:rsidRPr="003B2415" w:rsidRDefault="00DE1A2D" w:rsidP="00402739">
            <w:pPr>
              <w:spacing w:beforeLines="50" w:before="120" w:afterLines="50" w:after="120"/>
              <w:jc w:val="center"/>
              <w:rPr>
                <w:sz w:val="24"/>
              </w:rPr>
            </w:pPr>
            <w:r w:rsidRPr="003B2415">
              <w:rPr>
                <w:sz w:val="24"/>
              </w:rPr>
              <w:t>0.</w:t>
            </w:r>
            <w:r>
              <w:rPr>
                <w:sz w:val="24"/>
              </w:rPr>
              <w:t>633</w:t>
            </w:r>
          </w:p>
          <w:p w14:paraId="5FCC6F35" w14:textId="77777777" w:rsidR="00DE1A2D" w:rsidRPr="003B2415" w:rsidRDefault="00DE1A2D" w:rsidP="00402739">
            <w:pPr>
              <w:spacing w:beforeLines="50" w:before="120" w:afterLines="50" w:after="120"/>
              <w:jc w:val="center"/>
              <w:rPr>
                <w:sz w:val="24"/>
              </w:rPr>
            </w:pPr>
            <w:r w:rsidRPr="003B2415">
              <w:rPr>
                <w:sz w:val="24"/>
              </w:rPr>
              <w:t>(180)</w:t>
            </w:r>
          </w:p>
        </w:tc>
        <w:tc>
          <w:tcPr>
            <w:tcW w:w="2268" w:type="dxa"/>
            <w:tcBorders>
              <w:bottom w:val="single" w:sz="4" w:space="0" w:color="000000"/>
            </w:tcBorders>
            <w:vAlign w:val="center"/>
          </w:tcPr>
          <w:p w14:paraId="40D329A2" w14:textId="77777777" w:rsidR="00DE1A2D" w:rsidRPr="003B2415" w:rsidRDefault="00DE1A2D" w:rsidP="00402739">
            <w:pPr>
              <w:spacing w:beforeLines="50" w:before="120" w:afterLines="50" w:after="120"/>
              <w:jc w:val="center"/>
              <w:rPr>
                <w:sz w:val="24"/>
              </w:rPr>
            </w:pPr>
            <w:r w:rsidRPr="003B2415">
              <w:rPr>
                <w:sz w:val="24"/>
              </w:rPr>
              <w:t>0.</w:t>
            </w:r>
            <w:r>
              <w:rPr>
                <w:sz w:val="24"/>
              </w:rPr>
              <w:t>577</w:t>
            </w:r>
          </w:p>
          <w:p w14:paraId="7FF0FC79" w14:textId="77777777" w:rsidR="00DE1A2D" w:rsidRPr="003B2415" w:rsidRDefault="00DE1A2D" w:rsidP="00402739">
            <w:pPr>
              <w:spacing w:beforeLines="50" w:before="120" w:afterLines="50" w:after="120"/>
              <w:jc w:val="center"/>
              <w:rPr>
                <w:sz w:val="24"/>
              </w:rPr>
            </w:pPr>
            <w:r w:rsidRPr="003B2415">
              <w:rPr>
                <w:sz w:val="24"/>
              </w:rPr>
              <w:t>(204)</w:t>
            </w:r>
          </w:p>
        </w:tc>
        <w:tc>
          <w:tcPr>
            <w:tcW w:w="2126" w:type="dxa"/>
            <w:tcBorders>
              <w:bottom w:val="single" w:sz="4" w:space="0" w:color="000000"/>
            </w:tcBorders>
            <w:vAlign w:val="center"/>
          </w:tcPr>
          <w:p w14:paraId="5B1298E1" w14:textId="77777777" w:rsidR="00DE1A2D" w:rsidRPr="003B2415" w:rsidRDefault="00DE1A2D" w:rsidP="00402739">
            <w:pPr>
              <w:spacing w:beforeLines="50" w:before="120" w:afterLines="50" w:after="120"/>
              <w:jc w:val="center"/>
              <w:rPr>
                <w:sz w:val="24"/>
              </w:rPr>
            </w:pPr>
            <w:r w:rsidRPr="003B2415">
              <w:rPr>
                <w:sz w:val="24"/>
              </w:rPr>
              <w:t>-0.0</w:t>
            </w:r>
            <w:r>
              <w:rPr>
                <w:sz w:val="24"/>
              </w:rPr>
              <w:t>55</w:t>
            </w:r>
            <w:r w:rsidRPr="003B2415">
              <w:rPr>
                <w:sz w:val="24"/>
              </w:rPr>
              <w:t>***</w:t>
            </w:r>
          </w:p>
        </w:tc>
      </w:tr>
      <w:tr w:rsidR="00DE1A2D" w:rsidRPr="003B2415" w14:paraId="73031ADA" w14:textId="77777777" w:rsidTr="00402739">
        <w:tc>
          <w:tcPr>
            <w:tcW w:w="9464" w:type="dxa"/>
            <w:gridSpan w:val="4"/>
            <w:tcBorders>
              <w:left w:val="nil"/>
              <w:bottom w:val="nil"/>
              <w:right w:val="nil"/>
            </w:tcBorders>
            <w:vAlign w:val="center"/>
          </w:tcPr>
          <w:p w14:paraId="098FF6FE" w14:textId="77777777" w:rsidR="00DE1A2D" w:rsidRPr="003B2415" w:rsidRDefault="00DE1A2D" w:rsidP="00402739">
            <w:pPr>
              <w:spacing w:beforeLines="50" w:before="120" w:afterLines="50" w:after="120"/>
            </w:pPr>
            <w:r w:rsidRPr="003B2415">
              <w:t>Notes: Sample size is in parentheses. *** indicates that the difference is statistically significant at 1% level by two-sided t-test.</w:t>
            </w:r>
          </w:p>
        </w:tc>
      </w:tr>
    </w:tbl>
    <w:p w14:paraId="506E03FD" w14:textId="77777777" w:rsidR="004B2991" w:rsidRDefault="004B2991" w:rsidP="004B2991">
      <w:pPr>
        <w:spacing w:line="480" w:lineRule="auto"/>
        <w:ind w:firstLine="720"/>
        <w:jc w:val="both"/>
        <w:rPr>
          <w:sz w:val="24"/>
          <w:lang w:eastAsia="ja-JP"/>
        </w:rPr>
      </w:pPr>
    </w:p>
    <w:p w14:paraId="279BF354" w14:textId="3597B93C" w:rsidR="004B2991" w:rsidRPr="00432016" w:rsidRDefault="00EB0EBB" w:rsidP="003D55A6">
      <w:pPr>
        <w:spacing w:line="480" w:lineRule="auto"/>
        <w:ind w:firstLine="720"/>
        <w:jc w:val="both"/>
        <w:rPr>
          <w:sz w:val="24"/>
          <w:lang w:eastAsia="ja-JP"/>
        </w:rPr>
      </w:pPr>
      <w:r>
        <w:rPr>
          <w:sz w:val="24"/>
          <w:lang w:eastAsia="ja-JP"/>
        </w:rPr>
        <w:t xml:space="preserve">In </w:t>
      </w:r>
      <w:r w:rsidR="004B2991">
        <w:rPr>
          <w:sz w:val="24"/>
          <w:lang w:eastAsia="ja-JP"/>
        </w:rPr>
        <w:t xml:space="preserve">a final </w:t>
      </w:r>
      <w:r>
        <w:rPr>
          <w:sz w:val="24"/>
          <w:lang w:eastAsia="ja-JP"/>
        </w:rPr>
        <w:t xml:space="preserve">step </w:t>
      </w:r>
      <w:r w:rsidR="004B2991">
        <w:rPr>
          <w:sz w:val="24"/>
          <w:lang w:eastAsia="ja-JP"/>
        </w:rPr>
        <w:t>in this section we calculate h</w:t>
      </w:r>
      <w:r w:rsidR="004B2991" w:rsidRPr="00432016">
        <w:rPr>
          <w:sz w:val="24"/>
          <w:lang w:eastAsia="ja-JP"/>
        </w:rPr>
        <w:t xml:space="preserve">ow much </w:t>
      </w:r>
      <w:r>
        <w:rPr>
          <w:sz w:val="24"/>
          <w:lang w:eastAsia="ja-JP"/>
        </w:rPr>
        <w:t xml:space="preserve">of the buying is done </w:t>
      </w:r>
      <w:r w:rsidR="004B2991" w:rsidRPr="00432016">
        <w:rPr>
          <w:sz w:val="24"/>
          <w:lang w:eastAsia="ja-JP"/>
        </w:rPr>
        <w:t xml:space="preserve">for resale by </w:t>
      </w:r>
      <w:r w:rsidR="004B2991">
        <w:rPr>
          <w:sz w:val="24"/>
          <w:lang w:eastAsia="ja-JP"/>
        </w:rPr>
        <w:t>speculating and dividend-collecting generations, respectively. W</w:t>
      </w:r>
      <w:r w:rsidR="004B2991" w:rsidRPr="00432016">
        <w:rPr>
          <w:sz w:val="24"/>
          <w:lang w:eastAsia="ja-JP"/>
        </w:rPr>
        <w:t xml:space="preserve">e contrast the number of transactions (volume) with the sum of absolute changes in </w:t>
      </w:r>
      <w:r w:rsidR="004B2991">
        <w:rPr>
          <w:sz w:val="24"/>
          <w:lang w:eastAsia="ja-JP"/>
        </w:rPr>
        <w:t>security</w:t>
      </w:r>
      <w:r w:rsidR="004B2991" w:rsidRPr="00432016">
        <w:rPr>
          <w:sz w:val="24"/>
          <w:lang w:eastAsia="ja-JP"/>
        </w:rPr>
        <w:t xml:space="preserve"> holding</w:t>
      </w:r>
      <w:r w:rsidR="004B2991">
        <w:rPr>
          <w:sz w:val="24"/>
          <w:lang w:eastAsia="ja-JP"/>
        </w:rPr>
        <w:t>s</w:t>
      </w:r>
      <w:r w:rsidR="004B2991" w:rsidRPr="00432016">
        <w:rPr>
          <w:sz w:val="24"/>
          <w:lang w:eastAsia="ja-JP"/>
        </w:rPr>
        <w:t xml:space="preserve"> in each period</w:t>
      </w:r>
      <w:r w:rsidR="004B2991">
        <w:rPr>
          <w:sz w:val="24"/>
          <w:lang w:eastAsia="ja-JP"/>
        </w:rPr>
        <w:t xml:space="preserve"> (f</w:t>
      </w:r>
      <w:r w:rsidR="004B2991" w:rsidRPr="00432016">
        <w:rPr>
          <w:sz w:val="24"/>
          <w:lang w:eastAsia="ja-JP"/>
        </w:rPr>
        <w:t xml:space="preserve">igures are double counts </w:t>
      </w:r>
      <w:r w:rsidR="003D55A6">
        <w:rPr>
          <w:sz w:val="24"/>
          <w:lang w:eastAsia="ja-JP"/>
        </w:rPr>
        <w:t>in</w:t>
      </w:r>
      <w:r w:rsidR="004B2991" w:rsidRPr="00432016">
        <w:rPr>
          <w:sz w:val="24"/>
          <w:lang w:eastAsia="ja-JP"/>
        </w:rPr>
        <w:t xml:space="preserve"> this analysis</w:t>
      </w:r>
      <w:r w:rsidR="004B2991">
        <w:rPr>
          <w:sz w:val="24"/>
          <w:lang w:eastAsia="ja-JP"/>
        </w:rPr>
        <w:t>)</w:t>
      </w:r>
      <w:r w:rsidR="004B2991" w:rsidRPr="00432016">
        <w:rPr>
          <w:sz w:val="24"/>
          <w:lang w:eastAsia="ja-JP"/>
        </w:rPr>
        <w:t xml:space="preserve">. The net change in </w:t>
      </w:r>
      <w:r w:rsidR="004B2991">
        <w:rPr>
          <w:sz w:val="24"/>
          <w:lang w:eastAsia="ja-JP"/>
        </w:rPr>
        <w:t>security</w:t>
      </w:r>
      <w:r w:rsidR="004B2991" w:rsidRPr="00432016">
        <w:rPr>
          <w:sz w:val="24"/>
          <w:lang w:eastAsia="ja-JP"/>
        </w:rPr>
        <w:t xml:space="preserve"> holding</w:t>
      </w:r>
      <w:r w:rsidR="004B2991">
        <w:rPr>
          <w:sz w:val="24"/>
          <w:lang w:eastAsia="ja-JP"/>
        </w:rPr>
        <w:t>s</w:t>
      </w:r>
      <w:r w:rsidR="004B2991" w:rsidRPr="00432016">
        <w:rPr>
          <w:sz w:val="24"/>
          <w:lang w:eastAsia="ja-JP"/>
        </w:rPr>
        <w:t xml:space="preserve"> of each trader is calculated as the difference between her purchases and her sales. </w:t>
      </w:r>
      <w:r>
        <w:rPr>
          <w:sz w:val="24"/>
          <w:lang w:eastAsia="ja-JP"/>
        </w:rPr>
        <w:t>From</w:t>
      </w:r>
      <w:r w:rsidR="004B2991" w:rsidRPr="00432016">
        <w:rPr>
          <w:sz w:val="24"/>
          <w:lang w:eastAsia="ja-JP"/>
        </w:rPr>
        <w:t xml:space="preserve"> this data we cal</w:t>
      </w:r>
      <w:r w:rsidR="00D0521C">
        <w:rPr>
          <w:sz w:val="24"/>
          <w:lang w:eastAsia="ja-JP"/>
        </w:rPr>
        <w:t>c</w:t>
      </w:r>
      <w:r w:rsidR="00D0521C">
        <w:rPr>
          <w:sz w:val="24"/>
          <w:lang w:eastAsia="ja-JP"/>
        </w:rPr>
        <w:t>u</w:t>
      </w:r>
      <w:r w:rsidR="00D0521C">
        <w:rPr>
          <w:sz w:val="24"/>
          <w:lang w:eastAsia="ja-JP"/>
        </w:rPr>
        <w:t>late</w:t>
      </w:r>
      <w:r w:rsidR="004B2991" w:rsidRPr="00432016">
        <w:rPr>
          <w:sz w:val="24"/>
          <w:lang w:eastAsia="ja-JP"/>
        </w:rPr>
        <w:t xml:space="preserve"> a measure, called SPEC, by taking the difference between </w:t>
      </w:r>
      <w:r w:rsidR="004B2991">
        <w:rPr>
          <w:sz w:val="24"/>
          <w:lang w:eastAsia="ja-JP"/>
        </w:rPr>
        <w:t xml:space="preserve">trading </w:t>
      </w:r>
      <w:r w:rsidR="004B2991" w:rsidRPr="00432016">
        <w:rPr>
          <w:sz w:val="24"/>
          <w:lang w:eastAsia="ja-JP"/>
        </w:rPr>
        <w:t>volume and the abs</w:t>
      </w:r>
      <w:r w:rsidR="004B2991" w:rsidRPr="00432016">
        <w:rPr>
          <w:sz w:val="24"/>
          <w:lang w:eastAsia="ja-JP"/>
        </w:rPr>
        <w:t>o</w:t>
      </w:r>
      <w:r w:rsidR="004B2991" w:rsidRPr="00432016">
        <w:rPr>
          <w:sz w:val="24"/>
          <w:lang w:eastAsia="ja-JP"/>
        </w:rPr>
        <w:t xml:space="preserve">lute sum of changes in securities holdings relating it to </w:t>
      </w:r>
      <w:r w:rsidR="00E16183">
        <w:rPr>
          <w:sz w:val="24"/>
          <w:lang w:eastAsia="ja-JP"/>
        </w:rPr>
        <w:t>trading volume</w:t>
      </w:r>
      <w:r w:rsidR="004B2991" w:rsidRPr="00432016">
        <w:rPr>
          <w:sz w:val="24"/>
          <w:lang w:eastAsia="ja-JP"/>
        </w:rPr>
        <w:t xml:space="preserve">. A value of zero, the lower bound for SPEC, indicates that the volume in </w:t>
      </w:r>
      <w:r w:rsidR="004B2991">
        <w:rPr>
          <w:sz w:val="24"/>
          <w:lang w:eastAsia="ja-JP"/>
        </w:rPr>
        <w:t xml:space="preserve">that </w:t>
      </w:r>
      <w:r w:rsidR="004B2991" w:rsidRPr="00432016">
        <w:rPr>
          <w:sz w:val="24"/>
          <w:lang w:eastAsia="ja-JP"/>
        </w:rPr>
        <w:t>period did not exceed the absolute sum of changes in securities holdings</w:t>
      </w:r>
      <w:r w:rsidR="00E16183">
        <w:rPr>
          <w:sz w:val="24"/>
          <w:lang w:eastAsia="ja-JP"/>
        </w:rPr>
        <w:t xml:space="preserve"> and the speculating activity equals zero</w:t>
      </w:r>
      <w:r w:rsidR="004B2991" w:rsidRPr="00432016">
        <w:rPr>
          <w:sz w:val="24"/>
          <w:lang w:eastAsia="ja-JP"/>
        </w:rPr>
        <w:t xml:space="preserve">. Higher values indicate trading activity exceeding the </w:t>
      </w:r>
      <w:r w:rsidR="004A4B14">
        <w:rPr>
          <w:sz w:val="24"/>
          <w:lang w:eastAsia="ja-JP"/>
        </w:rPr>
        <w:t xml:space="preserve">net </w:t>
      </w:r>
      <w:r w:rsidR="004B2991" w:rsidRPr="00432016">
        <w:rPr>
          <w:sz w:val="24"/>
          <w:lang w:eastAsia="ja-JP"/>
        </w:rPr>
        <w:t xml:space="preserve">change in securities holdings. Table </w:t>
      </w:r>
      <w:r w:rsidR="00F423B6">
        <w:rPr>
          <w:sz w:val="24"/>
          <w:lang w:eastAsia="ja-JP"/>
        </w:rPr>
        <w:t>D</w:t>
      </w:r>
      <w:r w:rsidR="00AA3C44">
        <w:rPr>
          <w:sz w:val="24"/>
          <w:lang w:eastAsia="ja-JP"/>
        </w:rPr>
        <w:t>4</w:t>
      </w:r>
      <w:r w:rsidR="004B2991" w:rsidRPr="00432016">
        <w:rPr>
          <w:sz w:val="24"/>
          <w:lang w:eastAsia="ja-JP"/>
        </w:rPr>
        <w:t xml:space="preserve"> compares the average Period-SPEC across all periods with dividend-collecting investors (0.</w:t>
      </w:r>
      <w:r w:rsidR="00E16183">
        <w:rPr>
          <w:sz w:val="24"/>
          <w:lang w:eastAsia="ja-JP"/>
        </w:rPr>
        <w:t>289</w:t>
      </w:r>
      <w:r w:rsidR="004B2991" w:rsidRPr="00432016">
        <w:rPr>
          <w:sz w:val="24"/>
          <w:lang w:eastAsia="ja-JP"/>
        </w:rPr>
        <w:t xml:space="preserve"> in H and 0.</w:t>
      </w:r>
      <w:r w:rsidR="00E16183">
        <w:rPr>
          <w:sz w:val="24"/>
          <w:lang w:eastAsia="ja-JP"/>
        </w:rPr>
        <w:t>232</w:t>
      </w:r>
      <w:r w:rsidR="004B2991" w:rsidRPr="00432016">
        <w:rPr>
          <w:sz w:val="24"/>
          <w:lang w:eastAsia="ja-JP"/>
        </w:rPr>
        <w:t xml:space="preserve"> in L) with periods populated only by speculating investors (0.</w:t>
      </w:r>
      <w:r w:rsidR="00E16183">
        <w:rPr>
          <w:sz w:val="24"/>
          <w:lang w:eastAsia="ja-JP"/>
        </w:rPr>
        <w:t>301</w:t>
      </w:r>
      <w:r w:rsidR="004B2991" w:rsidRPr="00432016">
        <w:rPr>
          <w:sz w:val="24"/>
          <w:lang w:eastAsia="ja-JP"/>
        </w:rPr>
        <w:t xml:space="preserve"> in H and 0.</w:t>
      </w:r>
      <w:r w:rsidR="00E16183">
        <w:rPr>
          <w:sz w:val="24"/>
          <w:lang w:eastAsia="ja-JP"/>
        </w:rPr>
        <w:t>322</w:t>
      </w:r>
      <w:r w:rsidR="004B2991" w:rsidRPr="00432016">
        <w:rPr>
          <w:sz w:val="24"/>
          <w:lang w:eastAsia="ja-JP"/>
        </w:rPr>
        <w:t xml:space="preserve"> in L). The respective difference (0.</w:t>
      </w:r>
      <w:r w:rsidR="00E16183">
        <w:rPr>
          <w:sz w:val="24"/>
          <w:lang w:eastAsia="ja-JP"/>
        </w:rPr>
        <w:t>091</w:t>
      </w:r>
      <w:r w:rsidR="004B2991" w:rsidRPr="00432016">
        <w:rPr>
          <w:sz w:val="24"/>
          <w:lang w:eastAsia="ja-JP"/>
        </w:rPr>
        <w:t xml:space="preserve"> in L) is large in absolute terms and statistically signif</w:t>
      </w:r>
      <w:r w:rsidR="004B2991" w:rsidRPr="00432016">
        <w:rPr>
          <w:sz w:val="24"/>
          <w:lang w:eastAsia="ja-JP"/>
        </w:rPr>
        <w:t>i</w:t>
      </w:r>
      <w:r w:rsidR="004B2991" w:rsidRPr="00432016">
        <w:rPr>
          <w:sz w:val="24"/>
          <w:lang w:eastAsia="ja-JP"/>
        </w:rPr>
        <w:t xml:space="preserve">cant at the 1% level in the low liquidity treatment (two-sided t-test). </w:t>
      </w:r>
      <w:r w:rsidR="004B2991">
        <w:rPr>
          <w:sz w:val="24"/>
          <w:lang w:eastAsia="ja-JP"/>
        </w:rPr>
        <w:t xml:space="preserve">Hence, in treatment L many (most) of the transactions happened for re-sale and can thus be classified </w:t>
      </w:r>
      <w:r w:rsidR="004A4B14">
        <w:rPr>
          <w:sz w:val="24"/>
          <w:lang w:eastAsia="ja-JP"/>
        </w:rPr>
        <w:t xml:space="preserve">as </w:t>
      </w:r>
      <w:r w:rsidR="004B2991">
        <w:rPr>
          <w:sz w:val="24"/>
          <w:lang w:eastAsia="ja-JP"/>
        </w:rPr>
        <w:t xml:space="preserve">speculative – with the share significantly higher when only speculating investors present. </w:t>
      </w:r>
    </w:p>
    <w:p w14:paraId="24D29F01" w14:textId="77777777" w:rsidR="004B2991" w:rsidRPr="00432016" w:rsidRDefault="004B2991" w:rsidP="004B2991">
      <w:pPr>
        <w:spacing w:line="480" w:lineRule="auto"/>
        <w:ind w:firstLine="720"/>
        <w:jc w:val="both"/>
        <w:rPr>
          <w:sz w:val="24"/>
          <w:lang w:eastAsia="ja-JP"/>
        </w:rPr>
      </w:pPr>
    </w:p>
    <w:p w14:paraId="3F2AB9C3" w14:textId="598A6837" w:rsidR="004B2991" w:rsidRPr="00432016" w:rsidRDefault="004B2991" w:rsidP="00DA7109">
      <w:pPr>
        <w:jc w:val="center"/>
        <w:rPr>
          <w:b/>
          <w:sz w:val="24"/>
          <w:lang w:eastAsia="ja-JP"/>
        </w:rPr>
      </w:pPr>
      <w:r w:rsidRPr="00432016">
        <w:rPr>
          <w:b/>
          <w:sz w:val="24"/>
          <w:lang w:eastAsia="ja-JP"/>
        </w:rPr>
        <w:lastRenderedPageBreak/>
        <w:t xml:space="preserve">Table </w:t>
      </w:r>
      <w:r w:rsidR="00F423B6">
        <w:rPr>
          <w:b/>
          <w:sz w:val="24"/>
          <w:lang w:eastAsia="ja-JP"/>
        </w:rPr>
        <w:t>D</w:t>
      </w:r>
      <w:r w:rsidR="002B74C4">
        <w:rPr>
          <w:b/>
          <w:sz w:val="24"/>
          <w:lang w:eastAsia="ja-JP"/>
        </w:rPr>
        <w:t>4</w:t>
      </w:r>
      <w:r w:rsidRPr="00432016">
        <w:rPr>
          <w:b/>
          <w:sz w:val="24"/>
          <w:lang w:eastAsia="ja-JP"/>
        </w:rPr>
        <w:t xml:space="preserve">: Comparison of </w:t>
      </w:r>
      <w:r>
        <w:rPr>
          <w:b/>
          <w:sz w:val="24"/>
          <w:lang w:eastAsia="ja-JP"/>
        </w:rPr>
        <w:t>a</w:t>
      </w:r>
      <w:r w:rsidRPr="00432016">
        <w:rPr>
          <w:b/>
          <w:sz w:val="24"/>
          <w:lang w:eastAsia="ja-JP"/>
        </w:rPr>
        <w:t xml:space="preserve">verage </w:t>
      </w:r>
      <w:r>
        <w:rPr>
          <w:b/>
          <w:sz w:val="24"/>
          <w:lang w:eastAsia="ja-JP"/>
        </w:rPr>
        <w:t>p</w:t>
      </w:r>
      <w:r w:rsidRPr="00432016">
        <w:rPr>
          <w:b/>
          <w:sz w:val="24"/>
          <w:lang w:eastAsia="ja-JP"/>
        </w:rPr>
        <w:t xml:space="preserve">eriod-SPEC between </w:t>
      </w:r>
      <w:r>
        <w:rPr>
          <w:b/>
          <w:sz w:val="24"/>
          <w:lang w:eastAsia="ja-JP"/>
        </w:rPr>
        <w:t>p</w:t>
      </w:r>
      <w:r w:rsidRPr="00432016">
        <w:rPr>
          <w:b/>
          <w:sz w:val="24"/>
          <w:lang w:eastAsia="ja-JP"/>
        </w:rPr>
        <w:t xml:space="preserve">eriods with </w:t>
      </w:r>
      <w:r>
        <w:rPr>
          <w:b/>
          <w:sz w:val="24"/>
          <w:lang w:eastAsia="ja-JP"/>
        </w:rPr>
        <w:t>d</w:t>
      </w:r>
      <w:r w:rsidRPr="00432016">
        <w:rPr>
          <w:b/>
          <w:sz w:val="24"/>
          <w:lang w:eastAsia="ja-JP"/>
        </w:rPr>
        <w:t xml:space="preserve">ividend-collecting </w:t>
      </w:r>
      <w:r>
        <w:rPr>
          <w:b/>
          <w:sz w:val="24"/>
          <w:lang w:eastAsia="ja-JP"/>
        </w:rPr>
        <w:t>i</w:t>
      </w:r>
      <w:r w:rsidRPr="00432016">
        <w:rPr>
          <w:b/>
          <w:sz w:val="24"/>
          <w:lang w:eastAsia="ja-JP"/>
        </w:rPr>
        <w:t xml:space="preserve">nvestors and </w:t>
      </w:r>
      <w:r>
        <w:rPr>
          <w:b/>
          <w:sz w:val="24"/>
          <w:lang w:eastAsia="ja-JP"/>
        </w:rPr>
        <w:t>p</w:t>
      </w:r>
      <w:r w:rsidRPr="00432016">
        <w:rPr>
          <w:b/>
          <w:sz w:val="24"/>
          <w:lang w:eastAsia="ja-JP"/>
        </w:rPr>
        <w:t xml:space="preserve">eriods with only </w:t>
      </w:r>
      <w:r>
        <w:rPr>
          <w:b/>
          <w:sz w:val="24"/>
          <w:lang w:eastAsia="ja-JP"/>
        </w:rPr>
        <w:t>s</w:t>
      </w:r>
      <w:r w:rsidRPr="00432016">
        <w:rPr>
          <w:b/>
          <w:sz w:val="24"/>
          <w:lang w:eastAsia="ja-JP"/>
        </w:rPr>
        <w:t xml:space="preserve">peculating </w:t>
      </w:r>
      <w:r>
        <w:rPr>
          <w:b/>
          <w:sz w:val="24"/>
          <w:lang w:eastAsia="ja-JP"/>
        </w:rPr>
        <w:t>i</w:t>
      </w:r>
      <w:r w:rsidRPr="00432016">
        <w:rPr>
          <w:b/>
          <w:sz w:val="24"/>
          <w:lang w:eastAsia="ja-JP"/>
        </w:rPr>
        <w:t>nvestors</w:t>
      </w:r>
    </w:p>
    <w:tbl>
      <w:tblPr>
        <w:tblStyle w:val="Tabellenraster"/>
        <w:tblW w:w="9180" w:type="dxa"/>
        <w:tblLook w:val="04A0" w:firstRow="1" w:lastRow="0" w:firstColumn="1" w:lastColumn="0" w:noHBand="0" w:noVBand="1"/>
      </w:tblPr>
      <w:tblGrid>
        <w:gridCol w:w="2518"/>
        <w:gridCol w:w="2552"/>
        <w:gridCol w:w="2268"/>
        <w:gridCol w:w="1842"/>
      </w:tblGrid>
      <w:tr w:rsidR="004B2991" w:rsidRPr="00432016" w14:paraId="5B67C4DC" w14:textId="77777777" w:rsidTr="004B2991">
        <w:tc>
          <w:tcPr>
            <w:tcW w:w="2518" w:type="dxa"/>
            <w:vAlign w:val="center"/>
          </w:tcPr>
          <w:p w14:paraId="652543DB" w14:textId="77777777" w:rsidR="004B2991" w:rsidRPr="00432016" w:rsidRDefault="004B2991" w:rsidP="004B2991">
            <w:pPr>
              <w:spacing w:beforeLines="50" w:before="120" w:afterLines="50" w:after="120"/>
              <w:jc w:val="center"/>
              <w:rPr>
                <w:sz w:val="24"/>
              </w:rPr>
            </w:pPr>
          </w:p>
        </w:tc>
        <w:tc>
          <w:tcPr>
            <w:tcW w:w="2552" w:type="dxa"/>
            <w:vAlign w:val="center"/>
          </w:tcPr>
          <w:p w14:paraId="61A9167A" w14:textId="2FFEF064" w:rsidR="004B2991" w:rsidRPr="00432016" w:rsidRDefault="006D04D3" w:rsidP="006D04D3">
            <w:pPr>
              <w:spacing w:beforeLines="50" w:before="120" w:afterLines="50" w:after="120"/>
              <w:ind w:left="360"/>
              <w:rPr>
                <w:sz w:val="24"/>
              </w:rPr>
            </w:pPr>
            <w:r>
              <w:rPr>
                <w:sz w:val="24"/>
              </w:rPr>
              <w:t xml:space="preserve">(1) </w:t>
            </w:r>
            <w:r w:rsidR="004B2991" w:rsidRPr="00432016">
              <w:rPr>
                <w:rFonts w:hint="eastAsia"/>
                <w:sz w:val="24"/>
              </w:rPr>
              <w:t>Periods with      dividend</w:t>
            </w:r>
            <w:r w:rsidR="004B2991" w:rsidRPr="00432016">
              <w:rPr>
                <w:sz w:val="24"/>
              </w:rPr>
              <w:t>-</w:t>
            </w:r>
            <w:r w:rsidR="004B2991" w:rsidRPr="00432016">
              <w:rPr>
                <w:rFonts w:hint="eastAsia"/>
                <w:sz w:val="24"/>
              </w:rPr>
              <w:t>collecting investors</w:t>
            </w:r>
          </w:p>
        </w:tc>
        <w:tc>
          <w:tcPr>
            <w:tcW w:w="2268" w:type="dxa"/>
            <w:vAlign w:val="center"/>
          </w:tcPr>
          <w:p w14:paraId="2ED03212" w14:textId="46872BD5" w:rsidR="004B2991" w:rsidRPr="00432016" w:rsidRDefault="006D04D3" w:rsidP="006D04D3">
            <w:pPr>
              <w:spacing w:beforeLines="50" w:before="120" w:afterLines="50" w:after="120"/>
              <w:ind w:left="360"/>
              <w:rPr>
                <w:sz w:val="24"/>
              </w:rPr>
            </w:pPr>
            <w:r>
              <w:rPr>
                <w:sz w:val="24"/>
              </w:rPr>
              <w:t xml:space="preserve">(2) </w:t>
            </w:r>
            <w:r w:rsidR="004B2991" w:rsidRPr="00432016">
              <w:rPr>
                <w:rFonts w:hint="eastAsia"/>
                <w:sz w:val="24"/>
              </w:rPr>
              <w:t>Periods with    only speculating investors</w:t>
            </w:r>
          </w:p>
        </w:tc>
        <w:tc>
          <w:tcPr>
            <w:tcW w:w="1842" w:type="dxa"/>
            <w:vAlign w:val="center"/>
          </w:tcPr>
          <w:p w14:paraId="041D97A9" w14:textId="77777777" w:rsidR="004B2991" w:rsidRPr="00432016" w:rsidRDefault="004B2991" w:rsidP="004B2991">
            <w:pPr>
              <w:spacing w:beforeLines="50" w:before="120" w:afterLines="50" w:after="120"/>
              <w:jc w:val="center"/>
              <w:rPr>
                <w:sz w:val="24"/>
              </w:rPr>
            </w:pPr>
            <w:r w:rsidRPr="00432016">
              <w:rPr>
                <w:rFonts w:hint="eastAsia"/>
                <w:sz w:val="24"/>
              </w:rPr>
              <w:t>Difference</w:t>
            </w:r>
          </w:p>
          <w:p w14:paraId="7E4FEDEE" w14:textId="77777777" w:rsidR="004B2991" w:rsidRPr="00432016" w:rsidRDefault="004B2991" w:rsidP="004B2991">
            <w:pPr>
              <w:spacing w:beforeLines="50" w:before="120" w:afterLines="50" w:after="120"/>
              <w:jc w:val="center"/>
              <w:rPr>
                <w:sz w:val="24"/>
              </w:rPr>
            </w:pPr>
            <w:r w:rsidRPr="00432016">
              <w:rPr>
                <w:rFonts w:hint="eastAsia"/>
                <w:sz w:val="24"/>
              </w:rPr>
              <w:t>(2)</w:t>
            </w:r>
            <w:r w:rsidRPr="00432016">
              <w:rPr>
                <w:rFonts w:ascii="MS Mincho" w:hAnsi="MS Mincho" w:hint="eastAsia"/>
                <w:sz w:val="24"/>
              </w:rPr>
              <w:t>-</w:t>
            </w:r>
            <w:r w:rsidRPr="00432016">
              <w:rPr>
                <w:rFonts w:hint="eastAsia"/>
                <w:sz w:val="24"/>
              </w:rPr>
              <w:t>(1)</w:t>
            </w:r>
          </w:p>
        </w:tc>
      </w:tr>
      <w:tr w:rsidR="004B2991" w:rsidRPr="00432016" w14:paraId="19E43F47" w14:textId="77777777" w:rsidTr="004B2991">
        <w:tc>
          <w:tcPr>
            <w:tcW w:w="2518" w:type="dxa"/>
            <w:vAlign w:val="center"/>
          </w:tcPr>
          <w:p w14:paraId="36F82070" w14:textId="77777777" w:rsidR="004B2991" w:rsidRPr="00432016" w:rsidRDefault="004B2991" w:rsidP="004B2991">
            <w:pPr>
              <w:spacing w:beforeLines="50" w:before="120" w:afterLines="50" w:after="120"/>
              <w:jc w:val="center"/>
              <w:rPr>
                <w:sz w:val="24"/>
                <w:szCs w:val="24"/>
              </w:rPr>
            </w:pPr>
            <w:r w:rsidRPr="00432016">
              <w:rPr>
                <w:rFonts w:hint="eastAsia"/>
                <w:sz w:val="24"/>
                <w:szCs w:val="24"/>
              </w:rPr>
              <w:t xml:space="preserve">High liquidity </w:t>
            </w:r>
            <w:r>
              <w:rPr>
                <w:sz w:val="24"/>
                <w:szCs w:val="24"/>
              </w:rPr>
              <w:t>s</w:t>
            </w:r>
            <w:r w:rsidRPr="00432016">
              <w:rPr>
                <w:rFonts w:hint="eastAsia"/>
                <w:sz w:val="24"/>
                <w:szCs w:val="24"/>
              </w:rPr>
              <w:t>ession</w:t>
            </w:r>
            <w:r>
              <w:rPr>
                <w:sz w:val="24"/>
                <w:szCs w:val="24"/>
              </w:rPr>
              <w:t>s</w:t>
            </w:r>
            <w:r w:rsidRPr="00432016">
              <w:rPr>
                <w:rFonts w:hint="eastAsia"/>
                <w:sz w:val="24"/>
                <w:szCs w:val="24"/>
              </w:rPr>
              <w:t xml:space="preserve"> </w:t>
            </w:r>
            <w:r w:rsidRPr="00432016">
              <w:rPr>
                <w:sz w:val="24"/>
                <w:szCs w:val="24"/>
              </w:rPr>
              <w:t>(Treatment H)</w:t>
            </w:r>
          </w:p>
        </w:tc>
        <w:tc>
          <w:tcPr>
            <w:tcW w:w="2552" w:type="dxa"/>
            <w:vAlign w:val="center"/>
          </w:tcPr>
          <w:p w14:paraId="68012D78" w14:textId="6F92E48A" w:rsidR="004B2991" w:rsidRPr="00432016" w:rsidRDefault="004B2991" w:rsidP="004B2991">
            <w:pPr>
              <w:spacing w:beforeLines="50" w:before="120" w:afterLines="50" w:after="120"/>
              <w:jc w:val="center"/>
              <w:rPr>
                <w:sz w:val="24"/>
              </w:rPr>
            </w:pPr>
            <w:r w:rsidRPr="00432016">
              <w:rPr>
                <w:rFonts w:hint="eastAsia"/>
                <w:sz w:val="24"/>
              </w:rPr>
              <w:t>0.</w:t>
            </w:r>
            <w:r w:rsidR="00E16183">
              <w:rPr>
                <w:sz w:val="24"/>
              </w:rPr>
              <w:t>289</w:t>
            </w:r>
          </w:p>
          <w:p w14:paraId="103A4B0F" w14:textId="77777777" w:rsidR="004B2991" w:rsidRPr="00432016" w:rsidRDefault="004B2991" w:rsidP="004B2991">
            <w:pPr>
              <w:spacing w:beforeLines="50" w:before="120" w:afterLines="50" w:after="120"/>
              <w:jc w:val="center"/>
              <w:rPr>
                <w:sz w:val="24"/>
              </w:rPr>
            </w:pPr>
            <w:r w:rsidRPr="00432016">
              <w:rPr>
                <w:rFonts w:hint="eastAsia"/>
                <w:sz w:val="24"/>
              </w:rPr>
              <w:t>(</w:t>
            </w:r>
            <w:r w:rsidRPr="00432016">
              <w:rPr>
                <w:sz w:val="24"/>
              </w:rPr>
              <w:t>178</w:t>
            </w:r>
            <w:r w:rsidRPr="00432016">
              <w:rPr>
                <w:rFonts w:hint="eastAsia"/>
                <w:sz w:val="24"/>
              </w:rPr>
              <w:t>)</w:t>
            </w:r>
          </w:p>
        </w:tc>
        <w:tc>
          <w:tcPr>
            <w:tcW w:w="2268" w:type="dxa"/>
            <w:vAlign w:val="center"/>
          </w:tcPr>
          <w:p w14:paraId="275E3898" w14:textId="0D95A863" w:rsidR="004B2991" w:rsidRPr="00432016" w:rsidRDefault="004B2991" w:rsidP="004B2991">
            <w:pPr>
              <w:spacing w:beforeLines="50" w:before="120" w:afterLines="50" w:after="120"/>
              <w:jc w:val="center"/>
              <w:rPr>
                <w:sz w:val="24"/>
              </w:rPr>
            </w:pPr>
            <w:r w:rsidRPr="00432016">
              <w:rPr>
                <w:sz w:val="24"/>
              </w:rPr>
              <w:t>0</w:t>
            </w:r>
            <w:r w:rsidRPr="00432016">
              <w:rPr>
                <w:rFonts w:hint="eastAsia"/>
                <w:sz w:val="24"/>
              </w:rPr>
              <w:t>.</w:t>
            </w:r>
            <w:r w:rsidR="00E16183">
              <w:rPr>
                <w:sz w:val="24"/>
              </w:rPr>
              <w:t>301</w:t>
            </w:r>
          </w:p>
          <w:p w14:paraId="64ADF742" w14:textId="77777777" w:rsidR="004B2991" w:rsidRPr="00432016" w:rsidRDefault="004B2991" w:rsidP="004B2991">
            <w:pPr>
              <w:spacing w:beforeLines="50" w:before="120" w:afterLines="50" w:after="120"/>
              <w:jc w:val="center"/>
              <w:rPr>
                <w:sz w:val="24"/>
              </w:rPr>
            </w:pPr>
            <w:r w:rsidRPr="00432016">
              <w:rPr>
                <w:rFonts w:hint="eastAsia"/>
                <w:sz w:val="24"/>
              </w:rPr>
              <w:t>(</w:t>
            </w:r>
            <w:r w:rsidRPr="00432016">
              <w:rPr>
                <w:sz w:val="24"/>
              </w:rPr>
              <w:t>204</w:t>
            </w:r>
            <w:r w:rsidRPr="00432016">
              <w:rPr>
                <w:rFonts w:hint="eastAsia"/>
                <w:sz w:val="24"/>
              </w:rPr>
              <w:t>)</w:t>
            </w:r>
          </w:p>
        </w:tc>
        <w:tc>
          <w:tcPr>
            <w:tcW w:w="1842" w:type="dxa"/>
            <w:vAlign w:val="center"/>
          </w:tcPr>
          <w:p w14:paraId="00F3893B" w14:textId="34C487B9" w:rsidR="004B2991" w:rsidRPr="00432016" w:rsidRDefault="004B2991" w:rsidP="00E16183">
            <w:pPr>
              <w:spacing w:beforeLines="50" w:before="120" w:afterLines="50" w:after="120"/>
              <w:jc w:val="center"/>
              <w:rPr>
                <w:sz w:val="24"/>
              </w:rPr>
            </w:pPr>
            <w:r w:rsidRPr="00432016">
              <w:rPr>
                <w:rFonts w:hint="eastAsia"/>
                <w:sz w:val="24"/>
              </w:rPr>
              <w:t>0.</w:t>
            </w:r>
            <w:r w:rsidRPr="00432016">
              <w:rPr>
                <w:sz w:val="24"/>
              </w:rPr>
              <w:t>0</w:t>
            </w:r>
            <w:r w:rsidR="00E16183">
              <w:rPr>
                <w:sz w:val="24"/>
              </w:rPr>
              <w:t>12</w:t>
            </w:r>
          </w:p>
        </w:tc>
      </w:tr>
      <w:tr w:rsidR="004B2991" w:rsidRPr="00432016" w14:paraId="08DD376B" w14:textId="77777777" w:rsidTr="004B2991">
        <w:tc>
          <w:tcPr>
            <w:tcW w:w="2518" w:type="dxa"/>
            <w:tcBorders>
              <w:bottom w:val="single" w:sz="4" w:space="0" w:color="000000"/>
            </w:tcBorders>
            <w:vAlign w:val="center"/>
          </w:tcPr>
          <w:p w14:paraId="645C4C07" w14:textId="77777777" w:rsidR="004B2991" w:rsidRPr="00432016" w:rsidRDefault="004B2991" w:rsidP="004B2991">
            <w:pPr>
              <w:spacing w:beforeLines="50" w:before="120" w:afterLines="50" w:after="120"/>
              <w:jc w:val="center"/>
              <w:rPr>
                <w:sz w:val="24"/>
                <w:szCs w:val="24"/>
              </w:rPr>
            </w:pPr>
            <w:r w:rsidRPr="00432016">
              <w:rPr>
                <w:rFonts w:hint="eastAsia"/>
                <w:sz w:val="24"/>
                <w:szCs w:val="24"/>
              </w:rPr>
              <w:t xml:space="preserve">Low liquidity </w:t>
            </w:r>
            <w:r>
              <w:rPr>
                <w:sz w:val="24"/>
                <w:szCs w:val="24"/>
              </w:rPr>
              <w:t>s</w:t>
            </w:r>
            <w:r w:rsidRPr="00432016">
              <w:rPr>
                <w:rFonts w:hint="eastAsia"/>
                <w:sz w:val="24"/>
                <w:szCs w:val="24"/>
              </w:rPr>
              <w:t>ession</w:t>
            </w:r>
            <w:r>
              <w:rPr>
                <w:sz w:val="24"/>
                <w:szCs w:val="24"/>
              </w:rPr>
              <w:t>s</w:t>
            </w:r>
            <w:r w:rsidRPr="00432016">
              <w:rPr>
                <w:rFonts w:hint="eastAsia"/>
                <w:sz w:val="24"/>
                <w:szCs w:val="24"/>
              </w:rPr>
              <w:t xml:space="preserve"> </w:t>
            </w:r>
            <w:r w:rsidRPr="00432016">
              <w:rPr>
                <w:sz w:val="24"/>
                <w:szCs w:val="24"/>
              </w:rPr>
              <w:t>(Treatment L)</w:t>
            </w:r>
          </w:p>
        </w:tc>
        <w:tc>
          <w:tcPr>
            <w:tcW w:w="2552" w:type="dxa"/>
            <w:tcBorders>
              <w:bottom w:val="single" w:sz="4" w:space="0" w:color="000000"/>
            </w:tcBorders>
            <w:vAlign w:val="center"/>
          </w:tcPr>
          <w:p w14:paraId="43DD8797" w14:textId="36A5FBB2" w:rsidR="004B2991" w:rsidRPr="00432016" w:rsidRDefault="004B2991" w:rsidP="004B2991">
            <w:pPr>
              <w:spacing w:beforeLines="50" w:before="120" w:afterLines="50" w:after="120"/>
              <w:jc w:val="center"/>
              <w:rPr>
                <w:sz w:val="24"/>
              </w:rPr>
            </w:pPr>
            <w:r w:rsidRPr="00432016">
              <w:rPr>
                <w:rFonts w:hint="eastAsia"/>
                <w:sz w:val="24"/>
              </w:rPr>
              <w:t>0.</w:t>
            </w:r>
            <w:r w:rsidR="00E16183">
              <w:rPr>
                <w:sz w:val="24"/>
              </w:rPr>
              <w:t>232</w:t>
            </w:r>
          </w:p>
          <w:p w14:paraId="24A78253" w14:textId="77777777" w:rsidR="004B2991" w:rsidRPr="00432016" w:rsidRDefault="004B2991" w:rsidP="004B2991">
            <w:pPr>
              <w:spacing w:beforeLines="50" w:before="120" w:afterLines="50" w:after="120"/>
              <w:jc w:val="center"/>
              <w:rPr>
                <w:sz w:val="24"/>
              </w:rPr>
            </w:pPr>
            <w:r w:rsidRPr="00432016">
              <w:rPr>
                <w:rFonts w:hint="eastAsia"/>
                <w:sz w:val="24"/>
              </w:rPr>
              <w:t>(</w:t>
            </w:r>
            <w:r w:rsidRPr="00432016">
              <w:rPr>
                <w:sz w:val="24"/>
              </w:rPr>
              <w:t>178</w:t>
            </w:r>
            <w:r w:rsidRPr="00432016">
              <w:rPr>
                <w:rFonts w:hint="eastAsia"/>
                <w:sz w:val="24"/>
              </w:rPr>
              <w:t>)</w:t>
            </w:r>
          </w:p>
        </w:tc>
        <w:tc>
          <w:tcPr>
            <w:tcW w:w="2268" w:type="dxa"/>
            <w:tcBorders>
              <w:bottom w:val="single" w:sz="4" w:space="0" w:color="000000"/>
            </w:tcBorders>
            <w:vAlign w:val="center"/>
          </w:tcPr>
          <w:p w14:paraId="493F7528" w14:textId="3E762823" w:rsidR="004B2991" w:rsidRPr="00432016" w:rsidRDefault="004B2991" w:rsidP="004B2991">
            <w:pPr>
              <w:spacing w:beforeLines="50" w:before="120" w:afterLines="50" w:after="120"/>
              <w:jc w:val="center"/>
              <w:rPr>
                <w:sz w:val="24"/>
              </w:rPr>
            </w:pPr>
            <w:r w:rsidRPr="00432016">
              <w:rPr>
                <w:rFonts w:hint="eastAsia"/>
                <w:sz w:val="24"/>
              </w:rPr>
              <w:t>0.</w:t>
            </w:r>
            <w:r w:rsidR="00E16183">
              <w:rPr>
                <w:sz w:val="24"/>
              </w:rPr>
              <w:t>322</w:t>
            </w:r>
          </w:p>
          <w:p w14:paraId="227E528E" w14:textId="77777777" w:rsidR="004B2991" w:rsidRPr="00432016" w:rsidRDefault="004B2991" w:rsidP="004B2991">
            <w:pPr>
              <w:spacing w:beforeLines="50" w:before="120" w:afterLines="50" w:after="120"/>
              <w:jc w:val="center"/>
              <w:rPr>
                <w:sz w:val="24"/>
              </w:rPr>
            </w:pPr>
            <w:r w:rsidRPr="00432016">
              <w:rPr>
                <w:rFonts w:hint="eastAsia"/>
                <w:sz w:val="24"/>
              </w:rPr>
              <w:t>(</w:t>
            </w:r>
            <w:r w:rsidRPr="00432016">
              <w:rPr>
                <w:sz w:val="24"/>
              </w:rPr>
              <w:t>203</w:t>
            </w:r>
            <w:r w:rsidRPr="00432016">
              <w:rPr>
                <w:rFonts w:hint="eastAsia"/>
                <w:sz w:val="24"/>
              </w:rPr>
              <w:t>)</w:t>
            </w:r>
          </w:p>
        </w:tc>
        <w:tc>
          <w:tcPr>
            <w:tcW w:w="1842" w:type="dxa"/>
            <w:tcBorders>
              <w:bottom w:val="single" w:sz="4" w:space="0" w:color="000000"/>
            </w:tcBorders>
            <w:vAlign w:val="center"/>
          </w:tcPr>
          <w:p w14:paraId="6331CEF3" w14:textId="2DC4B2CC" w:rsidR="004B2991" w:rsidRPr="00432016" w:rsidRDefault="004B2991" w:rsidP="00E16183">
            <w:pPr>
              <w:spacing w:beforeLines="50" w:before="120" w:afterLines="50" w:after="120"/>
              <w:jc w:val="center"/>
              <w:rPr>
                <w:sz w:val="24"/>
              </w:rPr>
            </w:pPr>
            <w:r w:rsidRPr="00432016">
              <w:rPr>
                <w:rFonts w:hint="eastAsia"/>
                <w:sz w:val="24"/>
              </w:rPr>
              <w:t>0.</w:t>
            </w:r>
            <w:r w:rsidR="00E16183">
              <w:rPr>
                <w:sz w:val="24"/>
              </w:rPr>
              <w:t>091</w:t>
            </w:r>
            <w:r w:rsidRPr="00432016">
              <w:rPr>
                <w:rFonts w:hint="eastAsia"/>
                <w:sz w:val="24"/>
              </w:rPr>
              <w:t>**</w:t>
            </w:r>
            <w:r w:rsidR="00E16183">
              <w:rPr>
                <w:sz w:val="24"/>
              </w:rPr>
              <w:t>*</w:t>
            </w:r>
          </w:p>
        </w:tc>
      </w:tr>
      <w:tr w:rsidR="004B2991" w:rsidRPr="00432016" w14:paraId="07A3EFAE" w14:textId="77777777" w:rsidTr="004B2991">
        <w:tc>
          <w:tcPr>
            <w:tcW w:w="9180" w:type="dxa"/>
            <w:gridSpan w:val="4"/>
            <w:tcBorders>
              <w:left w:val="nil"/>
              <w:bottom w:val="nil"/>
              <w:right w:val="nil"/>
            </w:tcBorders>
            <w:vAlign w:val="center"/>
          </w:tcPr>
          <w:p w14:paraId="29A3B001" w14:textId="4C23CE2F" w:rsidR="004B2991" w:rsidRPr="00432016" w:rsidRDefault="004B2991" w:rsidP="004B2991">
            <w:pPr>
              <w:spacing w:beforeLines="50" w:before="120" w:afterLines="50" w:after="120"/>
            </w:pPr>
            <w:r w:rsidRPr="00432016">
              <w:t xml:space="preserve">Note: Sample size is in parentheses. *** indicates that the difference is statistically significant at 1% level by two-sided </w:t>
            </w:r>
            <w:r w:rsidRPr="005926E0">
              <w:rPr>
                <w:i/>
              </w:rPr>
              <w:t>t</w:t>
            </w:r>
            <w:r w:rsidRPr="00432016">
              <w:t>-test.</w:t>
            </w:r>
          </w:p>
        </w:tc>
      </w:tr>
    </w:tbl>
    <w:p w14:paraId="21CFA032" w14:textId="19280ECC" w:rsidR="004B2991" w:rsidRDefault="004B2991" w:rsidP="00E97161">
      <w:pPr>
        <w:pStyle w:val="Numberedlistitemspaced"/>
        <w:numPr>
          <w:ilvl w:val="0"/>
          <w:numId w:val="0"/>
        </w:numPr>
        <w:spacing w:line="360" w:lineRule="auto"/>
        <w:ind w:left="360" w:hanging="360"/>
        <w:rPr>
          <w:rFonts w:ascii="Times New Roman" w:hAnsi="Times New Roman"/>
          <w:sz w:val="24"/>
          <w:szCs w:val="24"/>
          <w:lang w:eastAsia="ja-JP"/>
        </w:rPr>
      </w:pPr>
    </w:p>
    <w:p w14:paraId="396C3B65" w14:textId="18AA0FDC" w:rsidR="00F423B6" w:rsidRPr="00C33E8E" w:rsidRDefault="00F423B6" w:rsidP="00F423B6">
      <w:pPr>
        <w:spacing w:line="480" w:lineRule="auto"/>
        <w:jc w:val="both"/>
        <w:rPr>
          <w:sz w:val="24"/>
          <w:lang w:eastAsia="ja-JP"/>
        </w:rPr>
      </w:pPr>
      <w:r>
        <w:rPr>
          <w:sz w:val="24"/>
          <w:lang w:eastAsia="ja-JP"/>
        </w:rPr>
        <w:t>D.3.</w:t>
      </w:r>
      <w:r w:rsidRPr="00C33E8E">
        <w:rPr>
          <w:rFonts w:hint="eastAsia"/>
          <w:sz w:val="24"/>
          <w:lang w:eastAsia="ja-JP"/>
        </w:rPr>
        <w:t xml:space="preserve"> </w:t>
      </w:r>
      <w:proofErr w:type="gramStart"/>
      <w:r w:rsidR="008157D7">
        <w:rPr>
          <w:sz w:val="24"/>
          <w:lang w:eastAsia="ja-JP"/>
        </w:rPr>
        <w:t>The</w:t>
      </w:r>
      <w:proofErr w:type="gramEnd"/>
      <w:r w:rsidR="008157D7">
        <w:rPr>
          <w:sz w:val="24"/>
          <w:lang w:eastAsia="ja-JP"/>
        </w:rPr>
        <w:t xml:space="preserve"> accuracy of p</w:t>
      </w:r>
      <w:r>
        <w:rPr>
          <w:sz w:val="24"/>
          <w:lang w:eastAsia="ja-JP"/>
        </w:rPr>
        <w:t>rice predictions</w:t>
      </w:r>
    </w:p>
    <w:p w14:paraId="082F7247" w14:textId="79D4FA82" w:rsidR="00F423B6" w:rsidRDefault="00F423B6" w:rsidP="00F423B6">
      <w:pPr>
        <w:spacing w:line="480" w:lineRule="auto"/>
        <w:ind w:firstLine="720"/>
        <w:jc w:val="both"/>
        <w:rPr>
          <w:sz w:val="24"/>
          <w:szCs w:val="24"/>
        </w:rPr>
      </w:pPr>
      <w:r>
        <w:rPr>
          <w:sz w:val="24"/>
          <w:lang w:eastAsia="ja-JP"/>
        </w:rPr>
        <w:t xml:space="preserve">In a final set of analyses we turn to the price predictions submitted by the predictors. </w:t>
      </w:r>
      <w:r w:rsidR="00BC3EBC">
        <w:rPr>
          <w:sz w:val="24"/>
          <w:lang w:eastAsia="ja-JP"/>
        </w:rPr>
        <w:t>T</w:t>
      </w:r>
      <w:r>
        <w:rPr>
          <w:sz w:val="24"/>
          <w:lang w:eastAsia="ja-JP"/>
        </w:rPr>
        <w:t xml:space="preserve">he </w:t>
      </w:r>
      <w:r w:rsidR="00BF2F75">
        <w:rPr>
          <w:sz w:val="24"/>
          <w:lang w:eastAsia="ja-JP"/>
        </w:rPr>
        <w:t>five</w:t>
      </w:r>
      <w:r>
        <w:rPr>
          <w:sz w:val="24"/>
          <w:lang w:eastAsia="ja-JP"/>
        </w:rPr>
        <w:t xml:space="preserve"> (in T1) or </w:t>
      </w:r>
      <w:r w:rsidR="00BF2F75">
        <w:rPr>
          <w:sz w:val="24"/>
          <w:lang w:eastAsia="ja-JP"/>
        </w:rPr>
        <w:t>eight</w:t>
      </w:r>
      <w:r>
        <w:rPr>
          <w:sz w:val="24"/>
          <w:lang w:eastAsia="ja-JP"/>
        </w:rPr>
        <w:t xml:space="preserve"> (in all other treatments) </w:t>
      </w:r>
      <w:r w:rsidR="00BC3EBC">
        <w:rPr>
          <w:sz w:val="24"/>
          <w:lang w:eastAsia="ja-JP"/>
        </w:rPr>
        <w:t xml:space="preserve">predictor </w:t>
      </w:r>
      <w:r>
        <w:rPr>
          <w:sz w:val="24"/>
          <w:lang w:eastAsia="ja-JP"/>
        </w:rPr>
        <w:t xml:space="preserve">subjects were not active in the market in the periods they made predictions for. We first </w:t>
      </w:r>
      <w:r w:rsidR="00BC3EBC">
        <w:rPr>
          <w:sz w:val="24"/>
          <w:lang w:eastAsia="ja-JP"/>
        </w:rPr>
        <w:t xml:space="preserve">chart </w:t>
      </w:r>
      <w:r>
        <w:rPr>
          <w:sz w:val="24"/>
          <w:lang w:eastAsia="ja-JP"/>
        </w:rPr>
        <w:t xml:space="preserve">and calculate how </w:t>
      </w:r>
      <w:r w:rsidR="002F1937">
        <w:rPr>
          <w:sz w:val="24"/>
          <w:lang w:eastAsia="ja-JP"/>
        </w:rPr>
        <w:t>price</w:t>
      </w:r>
      <w:r w:rsidRPr="0028133B">
        <w:rPr>
          <w:sz w:val="24"/>
          <w:lang w:eastAsia="ja-JP"/>
        </w:rPr>
        <w:t xml:space="preserve"> pr</w:t>
      </w:r>
      <w:r w:rsidRPr="0028133B">
        <w:rPr>
          <w:sz w:val="24"/>
          <w:lang w:eastAsia="ja-JP"/>
        </w:rPr>
        <w:t>e</w:t>
      </w:r>
      <w:r w:rsidRPr="0028133B">
        <w:rPr>
          <w:sz w:val="24"/>
          <w:lang w:eastAsia="ja-JP"/>
        </w:rPr>
        <w:t xml:space="preserve">dictions </w:t>
      </w:r>
      <w:r w:rsidR="002F1937">
        <w:rPr>
          <w:sz w:val="24"/>
          <w:lang w:eastAsia="ja-JP"/>
        </w:rPr>
        <w:t>relate</w:t>
      </w:r>
      <w:r w:rsidRPr="0028133B">
        <w:rPr>
          <w:sz w:val="24"/>
          <w:lang w:eastAsia="ja-JP"/>
        </w:rPr>
        <w:t xml:space="preserve"> to observed prices</w:t>
      </w:r>
      <w:r>
        <w:rPr>
          <w:sz w:val="24"/>
          <w:lang w:eastAsia="ja-JP"/>
        </w:rPr>
        <w:t xml:space="preserve">. </w:t>
      </w:r>
      <w:r w:rsidRPr="00A71533">
        <w:rPr>
          <w:sz w:val="24"/>
          <w:szCs w:val="24"/>
        </w:rPr>
        <w:t xml:space="preserve">The two panels </w:t>
      </w:r>
      <w:r>
        <w:rPr>
          <w:sz w:val="24"/>
          <w:szCs w:val="24"/>
        </w:rPr>
        <w:t>of figure D4</w:t>
      </w:r>
      <w:r w:rsidRPr="00A71533">
        <w:rPr>
          <w:sz w:val="24"/>
          <w:szCs w:val="24"/>
        </w:rPr>
        <w:t xml:space="preserve"> show the relation between </w:t>
      </w:r>
      <w:r w:rsidR="002F1937">
        <w:rPr>
          <w:sz w:val="24"/>
          <w:szCs w:val="24"/>
        </w:rPr>
        <w:t>price</w:t>
      </w:r>
      <w:r w:rsidRPr="00A71533">
        <w:rPr>
          <w:sz w:val="24"/>
          <w:szCs w:val="24"/>
        </w:rPr>
        <w:t xml:space="preserve"> predictions and the </w:t>
      </w:r>
      <w:r w:rsidR="002F1937">
        <w:rPr>
          <w:sz w:val="24"/>
          <w:szCs w:val="24"/>
        </w:rPr>
        <w:t>average</w:t>
      </w:r>
      <w:r w:rsidRPr="00A71533">
        <w:rPr>
          <w:sz w:val="24"/>
          <w:szCs w:val="24"/>
        </w:rPr>
        <w:t xml:space="preserve"> price</w:t>
      </w:r>
      <w:r w:rsidR="002F1937">
        <w:rPr>
          <w:sz w:val="24"/>
          <w:szCs w:val="24"/>
        </w:rPr>
        <w:t xml:space="preserve"> realizations</w:t>
      </w:r>
      <w:r w:rsidRPr="00A71533">
        <w:rPr>
          <w:sz w:val="24"/>
          <w:szCs w:val="24"/>
        </w:rPr>
        <w:t xml:space="preserve"> for H (left</w:t>
      </w:r>
      <w:r w:rsidR="002F1937">
        <w:rPr>
          <w:sz w:val="24"/>
          <w:szCs w:val="24"/>
        </w:rPr>
        <w:t xml:space="preserve"> panel</w:t>
      </w:r>
      <w:r w:rsidRPr="00A71533">
        <w:rPr>
          <w:sz w:val="24"/>
          <w:szCs w:val="24"/>
        </w:rPr>
        <w:t>) and L (right</w:t>
      </w:r>
      <w:r w:rsidR="002F1937">
        <w:rPr>
          <w:sz w:val="24"/>
          <w:szCs w:val="24"/>
        </w:rPr>
        <w:t xml:space="preserve"> panel</w:t>
      </w:r>
      <w:r w:rsidRPr="00A71533">
        <w:rPr>
          <w:sz w:val="24"/>
          <w:szCs w:val="24"/>
        </w:rPr>
        <w:t>) treatments. We see that there is clearly a strong relationship in both treat</w:t>
      </w:r>
      <w:r w:rsidR="002F1937">
        <w:rPr>
          <w:sz w:val="24"/>
          <w:szCs w:val="24"/>
        </w:rPr>
        <w:t xml:space="preserve">ments and </w:t>
      </w:r>
      <w:r w:rsidRPr="00A71533">
        <w:rPr>
          <w:sz w:val="24"/>
          <w:szCs w:val="24"/>
        </w:rPr>
        <w:t>the corr</w:t>
      </w:r>
      <w:r w:rsidRPr="00A71533">
        <w:rPr>
          <w:sz w:val="24"/>
          <w:szCs w:val="24"/>
        </w:rPr>
        <w:t>e</w:t>
      </w:r>
      <w:r w:rsidRPr="00A71533">
        <w:rPr>
          <w:sz w:val="24"/>
          <w:szCs w:val="24"/>
        </w:rPr>
        <w:t>lation coefficient is 0.87 in each treatmen</w:t>
      </w:r>
      <w:r w:rsidR="002F1937">
        <w:rPr>
          <w:sz w:val="24"/>
          <w:szCs w:val="24"/>
        </w:rPr>
        <w:t>t</w:t>
      </w:r>
      <w:r w:rsidRPr="00A71533">
        <w:rPr>
          <w:sz w:val="24"/>
          <w:szCs w:val="24"/>
        </w:rPr>
        <w:t>. The average absolute deviation</w:t>
      </w:r>
      <w:r>
        <w:rPr>
          <w:sz w:val="24"/>
          <w:szCs w:val="24"/>
        </w:rPr>
        <w:t xml:space="preserve"> </w:t>
      </w:r>
      <w:r w:rsidR="002F1937">
        <w:rPr>
          <w:sz w:val="24"/>
          <w:szCs w:val="24"/>
        </w:rPr>
        <w:t>between price predictions and realized prices</w:t>
      </w:r>
      <w:r w:rsidRPr="00A71533">
        <w:rPr>
          <w:sz w:val="24"/>
          <w:szCs w:val="24"/>
        </w:rPr>
        <w:t xml:space="preserve"> is 5.2 or 11.4 percent of the average price</w:t>
      </w:r>
      <w:r>
        <w:rPr>
          <w:sz w:val="24"/>
          <w:szCs w:val="24"/>
        </w:rPr>
        <w:t>, which we consider fairly accurate</w:t>
      </w:r>
      <w:r w:rsidRPr="00A71533">
        <w:rPr>
          <w:sz w:val="24"/>
          <w:szCs w:val="24"/>
        </w:rPr>
        <w:t>.</w:t>
      </w:r>
    </w:p>
    <w:p w14:paraId="7DE62807" w14:textId="77777777" w:rsidR="00E97BCB" w:rsidRPr="00A71533" w:rsidRDefault="00E97BCB" w:rsidP="00E97BCB">
      <w:pPr>
        <w:spacing w:after="120" w:line="480" w:lineRule="auto"/>
        <w:ind w:firstLine="720"/>
        <w:jc w:val="both"/>
        <w:rPr>
          <w:sz w:val="24"/>
          <w:szCs w:val="24"/>
        </w:rPr>
      </w:pPr>
      <w:r>
        <w:rPr>
          <w:sz w:val="24"/>
          <w:szCs w:val="24"/>
        </w:rPr>
        <w:t>The most difficult prediction is arguably the one in the first period, as no price history is available at that time. We already saw in Figure 2 that prices in the first period were usua</w:t>
      </w:r>
      <w:r>
        <w:rPr>
          <w:sz w:val="24"/>
          <w:szCs w:val="24"/>
        </w:rPr>
        <w:t>l</w:t>
      </w:r>
      <w:r>
        <w:rPr>
          <w:sz w:val="24"/>
          <w:szCs w:val="24"/>
        </w:rPr>
        <w:t>ly above 50, with an average around 140 in H and 70 in L. Remarkable, these levels were also predicted: i</w:t>
      </w:r>
      <w:r w:rsidRPr="00A71533">
        <w:rPr>
          <w:sz w:val="24"/>
          <w:szCs w:val="24"/>
        </w:rPr>
        <w:t>n high liquidity treatments first period prices (P</w:t>
      </w:r>
      <w:r w:rsidRPr="00E647AF">
        <w:rPr>
          <w:sz w:val="24"/>
          <w:szCs w:val="24"/>
          <w:vertAlign w:val="subscript"/>
        </w:rPr>
        <w:t>1</w:t>
      </w:r>
      <w:r w:rsidRPr="00A71533">
        <w:rPr>
          <w:sz w:val="24"/>
          <w:szCs w:val="24"/>
        </w:rPr>
        <w:t>) are above 50 in all (24) sessions. The pre</w:t>
      </w:r>
      <w:r>
        <w:rPr>
          <w:sz w:val="24"/>
          <w:szCs w:val="24"/>
        </w:rPr>
        <w:t>dicted first-period prices</w:t>
      </w:r>
      <w:r w:rsidRPr="00A71533">
        <w:rPr>
          <w:sz w:val="24"/>
          <w:szCs w:val="24"/>
        </w:rPr>
        <w:t xml:space="preserve"> are also above 50 in all (24) sessions. Similarly, in low liquidity sessions</w:t>
      </w:r>
      <w:r>
        <w:rPr>
          <w:sz w:val="24"/>
          <w:szCs w:val="24"/>
        </w:rPr>
        <w:t xml:space="preserve"> first-period prices were above 50 in 17 of 24 sessions. Predictions for all 17 of these markets were </w:t>
      </w:r>
      <w:r w:rsidRPr="00A71533">
        <w:rPr>
          <w:sz w:val="24"/>
          <w:szCs w:val="24"/>
        </w:rPr>
        <w:t>also above 50 (</w:t>
      </w:r>
      <w:r>
        <w:rPr>
          <w:sz w:val="24"/>
          <w:szCs w:val="24"/>
        </w:rPr>
        <w:t>of the remaining seven</w:t>
      </w:r>
      <w:r w:rsidRPr="00A71533">
        <w:rPr>
          <w:sz w:val="24"/>
          <w:szCs w:val="24"/>
        </w:rPr>
        <w:t xml:space="preserve"> sessions with P</w:t>
      </w:r>
      <w:r w:rsidRPr="00E647AF">
        <w:rPr>
          <w:sz w:val="24"/>
          <w:szCs w:val="24"/>
          <w:vertAlign w:val="subscript"/>
        </w:rPr>
        <w:t>1</w:t>
      </w:r>
      <w:r>
        <w:rPr>
          <w:sz w:val="24"/>
          <w:szCs w:val="24"/>
        </w:rPr>
        <w:t xml:space="preserve"> </w:t>
      </w:r>
      <w:r w:rsidRPr="00A71533">
        <w:rPr>
          <w:sz w:val="24"/>
          <w:szCs w:val="24"/>
        </w:rPr>
        <w:t>&lt;</w:t>
      </w:r>
      <w:r>
        <w:rPr>
          <w:sz w:val="24"/>
          <w:szCs w:val="24"/>
        </w:rPr>
        <w:t xml:space="preserve"> </w:t>
      </w:r>
      <w:r w:rsidRPr="00A71533">
        <w:rPr>
          <w:sz w:val="24"/>
          <w:szCs w:val="24"/>
        </w:rPr>
        <w:t>50 pr</w:t>
      </w:r>
      <w:r w:rsidRPr="00A71533">
        <w:rPr>
          <w:sz w:val="24"/>
          <w:szCs w:val="24"/>
        </w:rPr>
        <w:t>e</w:t>
      </w:r>
      <w:r w:rsidRPr="00A71533">
        <w:rPr>
          <w:sz w:val="24"/>
          <w:szCs w:val="24"/>
        </w:rPr>
        <w:lastRenderedPageBreak/>
        <w:t>dictions are &gt;</w:t>
      </w:r>
      <w:r>
        <w:rPr>
          <w:sz w:val="24"/>
          <w:szCs w:val="24"/>
        </w:rPr>
        <w:t xml:space="preserve"> </w:t>
      </w:r>
      <w:r w:rsidRPr="00A71533">
        <w:rPr>
          <w:sz w:val="24"/>
          <w:szCs w:val="24"/>
        </w:rPr>
        <w:t xml:space="preserve">50 in five and &lt;50 in two sessions). These results </w:t>
      </w:r>
      <w:r>
        <w:rPr>
          <w:sz w:val="24"/>
          <w:szCs w:val="24"/>
        </w:rPr>
        <w:t>show</w:t>
      </w:r>
      <w:r w:rsidRPr="00A71533">
        <w:rPr>
          <w:sz w:val="24"/>
          <w:szCs w:val="24"/>
        </w:rPr>
        <w:t xml:space="preserve"> that subjects correctly predict P</w:t>
      </w:r>
      <w:r w:rsidRPr="00E647AF">
        <w:rPr>
          <w:sz w:val="24"/>
          <w:szCs w:val="24"/>
          <w:vertAlign w:val="subscript"/>
        </w:rPr>
        <w:t>1</w:t>
      </w:r>
      <w:r>
        <w:rPr>
          <w:sz w:val="24"/>
          <w:szCs w:val="24"/>
        </w:rPr>
        <w:t xml:space="preserve"> </w:t>
      </w:r>
      <w:r w:rsidRPr="00A71533">
        <w:rPr>
          <w:sz w:val="24"/>
          <w:szCs w:val="24"/>
        </w:rPr>
        <w:t>&gt;</w:t>
      </w:r>
      <w:r>
        <w:rPr>
          <w:sz w:val="24"/>
          <w:szCs w:val="24"/>
        </w:rPr>
        <w:t xml:space="preserve"> </w:t>
      </w:r>
      <w:r w:rsidRPr="00A71533">
        <w:rPr>
          <w:sz w:val="24"/>
          <w:szCs w:val="24"/>
        </w:rPr>
        <w:t xml:space="preserve">50 </w:t>
      </w:r>
      <w:r>
        <w:rPr>
          <w:sz w:val="24"/>
          <w:szCs w:val="24"/>
        </w:rPr>
        <w:t>irrespective</w:t>
      </w:r>
      <w:r w:rsidRPr="00A71533">
        <w:rPr>
          <w:sz w:val="24"/>
          <w:szCs w:val="24"/>
        </w:rPr>
        <w:t xml:space="preserve"> of </w:t>
      </w:r>
      <w:r>
        <w:rPr>
          <w:sz w:val="24"/>
          <w:szCs w:val="24"/>
        </w:rPr>
        <w:t xml:space="preserve">the </w:t>
      </w:r>
      <w:r w:rsidRPr="00A71533">
        <w:rPr>
          <w:sz w:val="24"/>
          <w:szCs w:val="24"/>
        </w:rPr>
        <w:t>liquidity</w:t>
      </w:r>
      <w:r>
        <w:rPr>
          <w:sz w:val="24"/>
          <w:szCs w:val="24"/>
        </w:rPr>
        <w:t xml:space="preserve"> level</w:t>
      </w:r>
      <w:r w:rsidRPr="00A71533">
        <w:rPr>
          <w:sz w:val="24"/>
          <w:szCs w:val="24"/>
        </w:rPr>
        <w:t>.</w:t>
      </w:r>
    </w:p>
    <w:p w14:paraId="1F3FC671" w14:textId="77777777" w:rsidR="00F423B6" w:rsidRPr="0028133B" w:rsidRDefault="00F423B6" w:rsidP="00F423B6">
      <w:pPr>
        <w:spacing w:line="480" w:lineRule="auto"/>
        <w:ind w:firstLine="720"/>
        <w:jc w:val="both"/>
        <w:rPr>
          <w:sz w:val="24"/>
          <w:lang w:eastAsia="ja-JP"/>
        </w:rPr>
      </w:pPr>
    </w:p>
    <w:p w14:paraId="6CAC9CD0" w14:textId="23BC3FDA" w:rsidR="00F423B6" w:rsidRPr="003B2415" w:rsidRDefault="00F423B6" w:rsidP="00F423B6">
      <w:pPr>
        <w:spacing w:line="480" w:lineRule="auto"/>
        <w:jc w:val="center"/>
        <w:rPr>
          <w:b/>
          <w:sz w:val="24"/>
          <w:lang w:eastAsia="ja-JP"/>
        </w:rPr>
      </w:pPr>
      <w:r w:rsidRPr="003B2415">
        <w:rPr>
          <w:b/>
          <w:sz w:val="24"/>
          <w:lang w:eastAsia="ja-JP"/>
        </w:rPr>
        <w:t xml:space="preserve">Figure </w:t>
      </w:r>
      <w:r>
        <w:rPr>
          <w:b/>
          <w:sz w:val="24"/>
          <w:lang w:eastAsia="ja-JP"/>
        </w:rPr>
        <w:t>D4</w:t>
      </w:r>
      <w:r w:rsidRPr="003B2415">
        <w:rPr>
          <w:b/>
          <w:sz w:val="24"/>
          <w:lang w:eastAsia="ja-JP"/>
        </w:rPr>
        <w:t xml:space="preserve">: </w:t>
      </w:r>
      <w:r w:rsidR="006979E2">
        <w:rPr>
          <w:b/>
          <w:sz w:val="24"/>
          <w:lang w:eastAsia="ja-JP"/>
        </w:rPr>
        <w:t>Average period p</w:t>
      </w:r>
      <w:r w:rsidR="00BF2F75">
        <w:rPr>
          <w:b/>
          <w:sz w:val="24"/>
          <w:lang w:eastAsia="ja-JP"/>
        </w:rPr>
        <w:t xml:space="preserve">rice predictions and average </w:t>
      </w:r>
      <w:r w:rsidR="006979E2">
        <w:rPr>
          <w:b/>
          <w:sz w:val="24"/>
          <w:lang w:eastAsia="ja-JP"/>
        </w:rPr>
        <w:t xml:space="preserve">period </w:t>
      </w:r>
      <w:r w:rsidR="00BF2F75">
        <w:rPr>
          <w:b/>
          <w:sz w:val="24"/>
          <w:lang w:eastAsia="ja-JP"/>
        </w:rPr>
        <w:t>price realizations</w:t>
      </w:r>
      <w:r w:rsidRPr="003B2415">
        <w:rPr>
          <w:b/>
          <w:sz w:val="24"/>
          <w:lang w:eastAsia="ja-JP"/>
        </w:rPr>
        <w:t>.</w:t>
      </w:r>
    </w:p>
    <w:p w14:paraId="3508C782" w14:textId="0F07B116" w:rsidR="00F423B6" w:rsidRDefault="002F4977" w:rsidP="002B74C4">
      <w:pPr>
        <w:spacing w:line="480" w:lineRule="auto"/>
        <w:rPr>
          <w:sz w:val="24"/>
          <w:szCs w:val="24"/>
        </w:rPr>
      </w:pPr>
      <w:r>
        <w:rPr>
          <w:noProof/>
          <w:sz w:val="24"/>
          <w:szCs w:val="24"/>
          <w:lang w:val="de-DE" w:eastAsia="de-DE"/>
        </w:rPr>
        <w:drawing>
          <wp:inline distT="0" distB="0" distL="0" distR="0" wp14:anchorId="4B5C3FFF" wp14:editId="35214A85">
            <wp:extent cx="5732145" cy="3017984"/>
            <wp:effectExtent l="0" t="0" r="1905" b="0"/>
            <wp:docPr id="1" name="Grafik 1" descr="H:\2_Forschung\2014_Hirota Sunder\stata\subjects\graph\Predictions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_Forschung\2014_Hirota Sunder\stata\subjects\graph\Predictions_al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2145" cy="3017984"/>
                    </a:xfrm>
                    <a:prstGeom prst="rect">
                      <a:avLst/>
                    </a:prstGeom>
                    <a:noFill/>
                    <a:ln>
                      <a:noFill/>
                    </a:ln>
                  </pic:spPr>
                </pic:pic>
              </a:graphicData>
            </a:graphic>
          </wp:inline>
        </w:drawing>
      </w:r>
    </w:p>
    <w:p w14:paraId="754B8530" w14:textId="33A59EBF" w:rsidR="002B74C4" w:rsidRDefault="002B74C4" w:rsidP="002B74C4">
      <w:pPr>
        <w:spacing w:after="120" w:line="276" w:lineRule="auto"/>
        <w:ind w:left="426" w:right="238"/>
        <w:jc w:val="both"/>
        <w:rPr>
          <w:szCs w:val="16"/>
        </w:rPr>
      </w:pPr>
      <w:r w:rsidRPr="003B2415">
        <w:rPr>
          <w:b/>
          <w:szCs w:val="16"/>
        </w:rPr>
        <w:t>Notes</w:t>
      </w:r>
      <w:r w:rsidRPr="003B2415">
        <w:rPr>
          <w:szCs w:val="16"/>
        </w:rPr>
        <w:t xml:space="preserve">: </w:t>
      </w:r>
      <w:r w:rsidR="006979E2">
        <w:rPr>
          <w:szCs w:val="16"/>
        </w:rPr>
        <w:t>Average period p</w:t>
      </w:r>
      <w:r w:rsidRPr="002B74C4">
        <w:rPr>
          <w:szCs w:val="16"/>
        </w:rPr>
        <w:t xml:space="preserve">rice predictions and average </w:t>
      </w:r>
      <w:r w:rsidR="006979E2">
        <w:rPr>
          <w:szCs w:val="16"/>
        </w:rPr>
        <w:t xml:space="preserve">period </w:t>
      </w:r>
      <w:r w:rsidRPr="002B74C4">
        <w:rPr>
          <w:szCs w:val="16"/>
        </w:rPr>
        <w:t>price realizations</w:t>
      </w:r>
      <w:r w:rsidR="006979E2">
        <w:rPr>
          <w:szCs w:val="16"/>
        </w:rPr>
        <w:t xml:space="preserve"> </w:t>
      </w:r>
      <w:r w:rsidR="00BC3EBC">
        <w:rPr>
          <w:szCs w:val="16"/>
        </w:rPr>
        <w:t xml:space="preserve">in </w:t>
      </w:r>
      <w:r w:rsidR="006979E2">
        <w:rPr>
          <w:szCs w:val="16"/>
        </w:rPr>
        <w:t xml:space="preserve">low (left panel) </w:t>
      </w:r>
      <w:r>
        <w:rPr>
          <w:szCs w:val="16"/>
        </w:rPr>
        <w:t xml:space="preserve">and </w:t>
      </w:r>
      <w:r w:rsidR="006979E2">
        <w:rPr>
          <w:szCs w:val="16"/>
        </w:rPr>
        <w:t>high (right panel)</w:t>
      </w:r>
      <w:r>
        <w:rPr>
          <w:szCs w:val="16"/>
        </w:rPr>
        <w:t xml:space="preserve"> liquidity sessions. Solid g</w:t>
      </w:r>
      <w:r w:rsidRPr="003B2415">
        <w:rPr>
          <w:szCs w:val="16"/>
        </w:rPr>
        <w:t xml:space="preserve">rey </w:t>
      </w:r>
      <w:r>
        <w:rPr>
          <w:szCs w:val="16"/>
        </w:rPr>
        <w:t>lines indicate the fundamental value (50); black dots</w:t>
      </w:r>
      <w:r w:rsidRPr="003B2415">
        <w:rPr>
          <w:szCs w:val="16"/>
        </w:rPr>
        <w:t xml:space="preserve"> show </w:t>
      </w:r>
      <w:r>
        <w:rPr>
          <w:szCs w:val="16"/>
        </w:rPr>
        <w:t xml:space="preserve">predictions vs. average price realizations; red dots show predictions vs. average price realizations for period 1; the solid black line indicates the fitted values of a </w:t>
      </w:r>
      <w:r w:rsidR="00BC3EBC">
        <w:rPr>
          <w:szCs w:val="16"/>
        </w:rPr>
        <w:t xml:space="preserve">simple </w:t>
      </w:r>
      <w:r>
        <w:rPr>
          <w:szCs w:val="16"/>
        </w:rPr>
        <w:t xml:space="preserve">linear </w:t>
      </w:r>
      <w:r w:rsidR="00BC3EBC">
        <w:rPr>
          <w:szCs w:val="16"/>
        </w:rPr>
        <w:t>regression (with or without a constant?)</w:t>
      </w:r>
      <w:r>
        <w:rPr>
          <w:szCs w:val="16"/>
        </w:rPr>
        <w:t>; the dash-dotted grey line is the 45° line.</w:t>
      </w:r>
    </w:p>
    <w:p w14:paraId="4D657FF8" w14:textId="77777777" w:rsidR="002B74C4" w:rsidRPr="00A71533" w:rsidRDefault="002B74C4" w:rsidP="00F423B6">
      <w:pPr>
        <w:spacing w:after="120" w:line="480" w:lineRule="auto"/>
        <w:rPr>
          <w:sz w:val="24"/>
          <w:szCs w:val="24"/>
        </w:rPr>
      </w:pPr>
    </w:p>
    <w:p w14:paraId="56A3A73B" w14:textId="53331FB4" w:rsidR="00F423B6" w:rsidRDefault="008157D7" w:rsidP="00F423B6">
      <w:pPr>
        <w:spacing w:after="120" w:line="480" w:lineRule="auto"/>
        <w:ind w:firstLine="720"/>
        <w:jc w:val="both"/>
        <w:rPr>
          <w:sz w:val="24"/>
          <w:szCs w:val="24"/>
        </w:rPr>
      </w:pPr>
      <w:r>
        <w:rPr>
          <w:sz w:val="24"/>
          <w:szCs w:val="24"/>
        </w:rPr>
        <w:t xml:space="preserve">In Table 8, we saw that price predictions are less accurate </w:t>
      </w:r>
      <w:r w:rsidR="00A634E6">
        <w:rPr>
          <w:sz w:val="24"/>
          <w:szCs w:val="24"/>
        </w:rPr>
        <w:t>in</w:t>
      </w:r>
      <w:r>
        <w:rPr>
          <w:sz w:val="24"/>
          <w:szCs w:val="24"/>
        </w:rPr>
        <w:t xml:space="preserve"> periods with only spec</w:t>
      </w:r>
      <w:r>
        <w:rPr>
          <w:sz w:val="24"/>
          <w:szCs w:val="24"/>
        </w:rPr>
        <w:t>u</w:t>
      </w:r>
      <w:r>
        <w:rPr>
          <w:sz w:val="24"/>
          <w:szCs w:val="24"/>
        </w:rPr>
        <w:t xml:space="preserve">lating investors than periods with dividend-collecting investors. </w:t>
      </w:r>
      <w:r w:rsidR="00F423B6" w:rsidRPr="00774D54">
        <w:rPr>
          <w:sz w:val="24"/>
          <w:szCs w:val="24"/>
        </w:rPr>
        <w:t>To explore whether prices are easier</w:t>
      </w:r>
      <w:r w:rsidR="002F1937">
        <w:rPr>
          <w:sz w:val="24"/>
          <w:szCs w:val="24"/>
        </w:rPr>
        <w:t xml:space="preserve"> or </w:t>
      </w:r>
      <w:r w:rsidR="00F423B6" w:rsidRPr="00774D54">
        <w:rPr>
          <w:sz w:val="24"/>
          <w:szCs w:val="24"/>
        </w:rPr>
        <w:t xml:space="preserve">harder to predict </w:t>
      </w:r>
      <w:r w:rsidR="00F423B6">
        <w:rPr>
          <w:sz w:val="24"/>
          <w:szCs w:val="24"/>
        </w:rPr>
        <w:t>when</w:t>
      </w:r>
      <w:r w:rsidR="00F423B6" w:rsidRPr="00774D54">
        <w:rPr>
          <w:sz w:val="24"/>
          <w:szCs w:val="24"/>
        </w:rPr>
        <w:t xml:space="preserve"> the number of </w:t>
      </w:r>
      <w:r w:rsidR="005228CF">
        <w:rPr>
          <w:sz w:val="24"/>
          <w:szCs w:val="24"/>
        </w:rPr>
        <w:t xml:space="preserve">future </w:t>
      </w:r>
      <w:r w:rsidR="00F423B6" w:rsidRPr="00774D54">
        <w:rPr>
          <w:sz w:val="24"/>
          <w:szCs w:val="24"/>
        </w:rPr>
        <w:t>generations increases</w:t>
      </w:r>
      <w:r>
        <w:rPr>
          <w:sz w:val="24"/>
          <w:szCs w:val="24"/>
        </w:rPr>
        <w:t>,</w:t>
      </w:r>
      <w:r w:rsidR="00F423B6">
        <w:rPr>
          <w:sz w:val="24"/>
          <w:szCs w:val="24"/>
        </w:rPr>
        <w:t xml:space="preserve"> w</w:t>
      </w:r>
      <w:r w:rsidR="002F1937">
        <w:rPr>
          <w:sz w:val="24"/>
          <w:szCs w:val="24"/>
        </w:rPr>
        <w:t>e regress</w:t>
      </w:r>
      <w:r w:rsidR="00F423B6" w:rsidRPr="00A71533">
        <w:rPr>
          <w:sz w:val="24"/>
          <w:szCs w:val="24"/>
        </w:rPr>
        <w:t xml:space="preserve"> </w:t>
      </w:r>
      <w:r>
        <w:rPr>
          <w:sz w:val="24"/>
          <w:szCs w:val="24"/>
        </w:rPr>
        <w:t xml:space="preserve">the </w:t>
      </w:r>
      <w:r w:rsidR="00F423B6" w:rsidRPr="00A71533">
        <w:rPr>
          <w:sz w:val="24"/>
          <w:szCs w:val="24"/>
        </w:rPr>
        <w:t>measure o</w:t>
      </w:r>
      <w:r w:rsidR="00F423B6">
        <w:rPr>
          <w:sz w:val="24"/>
          <w:szCs w:val="24"/>
        </w:rPr>
        <w:t>f prediction error (</w:t>
      </w:r>
      <w:proofErr w:type="gramStart"/>
      <w:r w:rsidR="002F1937">
        <w:rPr>
          <w:sz w:val="24"/>
          <w:szCs w:val="24"/>
        </w:rPr>
        <w:t>a</w:t>
      </w:r>
      <w:r w:rsidR="00F423B6">
        <w:rPr>
          <w:sz w:val="24"/>
          <w:szCs w:val="24"/>
        </w:rPr>
        <w:t>bs(</w:t>
      </w:r>
      <w:proofErr w:type="gramEnd"/>
      <w:r w:rsidR="00F423B6">
        <w:rPr>
          <w:sz w:val="24"/>
          <w:szCs w:val="24"/>
        </w:rPr>
        <w:t>EP-P)/P</w:t>
      </w:r>
      <w:r w:rsidR="00F423B6" w:rsidRPr="00A71533">
        <w:rPr>
          <w:sz w:val="24"/>
          <w:szCs w:val="24"/>
        </w:rPr>
        <w:t xml:space="preserve">) on </w:t>
      </w:r>
      <w:r w:rsidR="00F423B6">
        <w:rPr>
          <w:sz w:val="24"/>
          <w:szCs w:val="24"/>
        </w:rPr>
        <w:t xml:space="preserve">the </w:t>
      </w:r>
      <w:r w:rsidR="00F423B6" w:rsidRPr="00A71533">
        <w:rPr>
          <w:sz w:val="24"/>
          <w:szCs w:val="24"/>
        </w:rPr>
        <w:t>“Number of entering generations left”. The</w:t>
      </w:r>
      <w:r w:rsidR="00F423B6">
        <w:rPr>
          <w:sz w:val="24"/>
          <w:szCs w:val="24"/>
        </w:rPr>
        <w:t xml:space="preserve"> resulting</w:t>
      </w:r>
      <w:r w:rsidR="00F423B6" w:rsidRPr="00A71533">
        <w:rPr>
          <w:sz w:val="24"/>
          <w:szCs w:val="24"/>
        </w:rPr>
        <w:t xml:space="preserve"> coefficients of </w:t>
      </w:r>
      <w:r w:rsidR="00F423B6">
        <w:rPr>
          <w:sz w:val="24"/>
          <w:szCs w:val="24"/>
        </w:rPr>
        <w:t>“</w:t>
      </w:r>
      <w:r w:rsidR="00F423B6" w:rsidRPr="00A71533">
        <w:rPr>
          <w:sz w:val="24"/>
          <w:szCs w:val="24"/>
        </w:rPr>
        <w:t>Number of entering generations left</w:t>
      </w:r>
      <w:r w:rsidR="00F423B6">
        <w:rPr>
          <w:sz w:val="24"/>
          <w:szCs w:val="24"/>
        </w:rPr>
        <w:t>”</w:t>
      </w:r>
      <w:r w:rsidR="00F423B6" w:rsidRPr="00A71533">
        <w:rPr>
          <w:sz w:val="24"/>
          <w:szCs w:val="24"/>
        </w:rPr>
        <w:t xml:space="preserve"> are always positive</w:t>
      </w:r>
      <w:r w:rsidR="00591F1A">
        <w:rPr>
          <w:sz w:val="24"/>
          <w:szCs w:val="24"/>
        </w:rPr>
        <w:t xml:space="preserve"> (see Table D</w:t>
      </w:r>
      <w:r w:rsidR="0008412C">
        <w:rPr>
          <w:sz w:val="24"/>
          <w:szCs w:val="24"/>
        </w:rPr>
        <w:t>5)</w:t>
      </w:r>
      <w:r w:rsidR="00F423B6" w:rsidRPr="00A71533">
        <w:rPr>
          <w:sz w:val="24"/>
          <w:szCs w:val="24"/>
        </w:rPr>
        <w:t xml:space="preserve">, </w:t>
      </w:r>
      <w:r w:rsidR="00F423B6">
        <w:rPr>
          <w:sz w:val="24"/>
          <w:szCs w:val="24"/>
        </w:rPr>
        <w:t>showing that predictions are less accurate (and</w:t>
      </w:r>
      <w:r w:rsidR="00F423B6" w:rsidRPr="00A71533">
        <w:rPr>
          <w:sz w:val="24"/>
          <w:szCs w:val="24"/>
        </w:rPr>
        <w:t xml:space="preserve"> prices </w:t>
      </w:r>
      <w:r w:rsidR="00F423B6">
        <w:rPr>
          <w:sz w:val="24"/>
          <w:szCs w:val="24"/>
        </w:rPr>
        <w:t xml:space="preserve">thus </w:t>
      </w:r>
      <w:r w:rsidR="00F423B6" w:rsidRPr="00A71533">
        <w:rPr>
          <w:sz w:val="24"/>
          <w:szCs w:val="24"/>
        </w:rPr>
        <w:t>harder to predict</w:t>
      </w:r>
      <w:r w:rsidR="00F423B6">
        <w:rPr>
          <w:sz w:val="24"/>
          <w:szCs w:val="24"/>
        </w:rPr>
        <w:t>)</w:t>
      </w:r>
      <w:r w:rsidR="00F423B6" w:rsidRPr="00A71533">
        <w:rPr>
          <w:sz w:val="24"/>
          <w:szCs w:val="24"/>
        </w:rPr>
        <w:t xml:space="preserve"> </w:t>
      </w:r>
      <w:r w:rsidR="00F423B6">
        <w:rPr>
          <w:sz w:val="24"/>
          <w:szCs w:val="24"/>
        </w:rPr>
        <w:t xml:space="preserve">with a higher </w:t>
      </w:r>
      <w:r w:rsidR="00F423B6" w:rsidRPr="00A71533">
        <w:rPr>
          <w:sz w:val="24"/>
          <w:szCs w:val="24"/>
        </w:rPr>
        <w:t xml:space="preserve">number of generations </w:t>
      </w:r>
      <w:r w:rsidR="00F423B6">
        <w:rPr>
          <w:sz w:val="24"/>
          <w:szCs w:val="24"/>
        </w:rPr>
        <w:t>left</w:t>
      </w:r>
      <w:r w:rsidR="00F423B6" w:rsidRPr="00A71533">
        <w:rPr>
          <w:sz w:val="24"/>
          <w:szCs w:val="24"/>
        </w:rPr>
        <w:t xml:space="preserve">. </w:t>
      </w:r>
      <w:r w:rsidR="00F423B6">
        <w:rPr>
          <w:sz w:val="24"/>
          <w:szCs w:val="24"/>
        </w:rPr>
        <w:t>Furthermore</w:t>
      </w:r>
      <w:r w:rsidR="00F423B6" w:rsidRPr="00A71533">
        <w:rPr>
          <w:sz w:val="24"/>
          <w:szCs w:val="24"/>
        </w:rPr>
        <w:t xml:space="preserve">, the regression results on </w:t>
      </w:r>
      <w:r w:rsidR="00F423B6">
        <w:rPr>
          <w:sz w:val="24"/>
          <w:szCs w:val="24"/>
        </w:rPr>
        <w:t>“</w:t>
      </w:r>
      <w:r w:rsidR="00F423B6" w:rsidRPr="00A71533">
        <w:rPr>
          <w:sz w:val="24"/>
          <w:szCs w:val="24"/>
        </w:rPr>
        <w:t>Number of per</w:t>
      </w:r>
      <w:r w:rsidR="00F423B6" w:rsidRPr="00A71533">
        <w:rPr>
          <w:sz w:val="24"/>
          <w:szCs w:val="24"/>
        </w:rPr>
        <w:t>i</w:t>
      </w:r>
      <w:r w:rsidR="00F423B6" w:rsidRPr="00A71533">
        <w:rPr>
          <w:sz w:val="24"/>
          <w:szCs w:val="24"/>
        </w:rPr>
        <w:lastRenderedPageBreak/>
        <w:t>ods left</w:t>
      </w:r>
      <w:r w:rsidR="00F423B6">
        <w:rPr>
          <w:sz w:val="24"/>
          <w:szCs w:val="24"/>
        </w:rPr>
        <w:t>”</w:t>
      </w:r>
      <w:r w:rsidR="00F423B6" w:rsidRPr="00A71533">
        <w:rPr>
          <w:sz w:val="24"/>
          <w:szCs w:val="24"/>
        </w:rPr>
        <w:t xml:space="preserve"> show that the coefficients are always positive, which means that prices are harder to predict </w:t>
      </w:r>
      <w:r w:rsidR="00F423B6">
        <w:rPr>
          <w:sz w:val="24"/>
          <w:szCs w:val="24"/>
        </w:rPr>
        <w:t>at the beginning of the session compared to later period</w:t>
      </w:r>
      <w:r w:rsidR="00F423B6" w:rsidRPr="00A71533">
        <w:rPr>
          <w:sz w:val="24"/>
          <w:szCs w:val="24"/>
        </w:rPr>
        <w:t>s</w:t>
      </w:r>
      <w:r w:rsidR="00F423B6">
        <w:rPr>
          <w:sz w:val="24"/>
          <w:szCs w:val="24"/>
        </w:rPr>
        <w:t>.</w:t>
      </w:r>
    </w:p>
    <w:p w14:paraId="2A4CBF10" w14:textId="77777777" w:rsidR="00E97BCB" w:rsidRDefault="00E97BCB" w:rsidP="00F423B6">
      <w:pPr>
        <w:spacing w:after="120" w:line="480" w:lineRule="auto"/>
        <w:ind w:firstLine="720"/>
        <w:jc w:val="both"/>
        <w:rPr>
          <w:sz w:val="24"/>
          <w:szCs w:val="24"/>
        </w:rPr>
      </w:pPr>
    </w:p>
    <w:p w14:paraId="1E1E630D" w14:textId="019AA0BD" w:rsidR="00F423B6" w:rsidRPr="00DA7109" w:rsidRDefault="00F423B6" w:rsidP="00DA7109">
      <w:pPr>
        <w:spacing w:line="480" w:lineRule="auto"/>
        <w:jc w:val="center"/>
        <w:rPr>
          <w:b/>
          <w:sz w:val="24"/>
          <w:lang w:eastAsia="ja-JP"/>
        </w:rPr>
      </w:pPr>
      <w:r w:rsidRPr="00DA7109">
        <w:rPr>
          <w:b/>
          <w:sz w:val="24"/>
          <w:lang w:eastAsia="ja-JP"/>
        </w:rPr>
        <w:t>Table D</w:t>
      </w:r>
      <w:r w:rsidR="002B74C4">
        <w:rPr>
          <w:b/>
          <w:sz w:val="24"/>
          <w:lang w:eastAsia="ja-JP"/>
        </w:rPr>
        <w:t>5</w:t>
      </w:r>
      <w:r w:rsidRPr="00DA7109">
        <w:rPr>
          <w:b/>
          <w:sz w:val="24"/>
          <w:lang w:eastAsia="ja-JP"/>
        </w:rPr>
        <w:t>:</w:t>
      </w:r>
      <w:r w:rsidR="00DA7109" w:rsidRPr="00DA7109">
        <w:rPr>
          <w:b/>
          <w:sz w:val="24"/>
          <w:lang w:eastAsia="ja-JP"/>
        </w:rPr>
        <w:t xml:space="preserve"> </w:t>
      </w:r>
      <w:r w:rsidR="00591F1A">
        <w:rPr>
          <w:b/>
          <w:sz w:val="24"/>
          <w:lang w:eastAsia="ja-JP"/>
        </w:rPr>
        <w:t>P</w:t>
      </w:r>
      <w:r w:rsidR="00591F1A" w:rsidRPr="00DA7109">
        <w:rPr>
          <w:b/>
          <w:sz w:val="24"/>
          <w:lang w:eastAsia="ja-JP"/>
        </w:rPr>
        <w:t xml:space="preserve">rediction </w:t>
      </w:r>
      <w:r w:rsidR="00591F1A">
        <w:rPr>
          <w:b/>
          <w:sz w:val="24"/>
          <w:lang w:eastAsia="ja-JP"/>
        </w:rPr>
        <w:t>A</w:t>
      </w:r>
      <w:r w:rsidR="00BF2F75" w:rsidRPr="00DA7109">
        <w:rPr>
          <w:b/>
          <w:sz w:val="24"/>
          <w:lang w:eastAsia="ja-JP"/>
        </w:rPr>
        <w:t>ccuracy</w:t>
      </w:r>
      <w:r w:rsidR="00DA7109" w:rsidRPr="00DA7109">
        <w:rPr>
          <w:b/>
          <w:sz w:val="24"/>
          <w:lang w:eastAsia="ja-JP"/>
        </w:rPr>
        <w:t xml:space="preserve"> (regression analysis)</w:t>
      </w:r>
    </w:p>
    <w:tbl>
      <w:tblPr>
        <w:tblW w:w="6520" w:type="dxa"/>
        <w:jc w:val="center"/>
        <w:tblCellMar>
          <w:left w:w="70" w:type="dxa"/>
          <w:right w:w="70" w:type="dxa"/>
        </w:tblCellMar>
        <w:tblLook w:val="04A0" w:firstRow="1" w:lastRow="0" w:firstColumn="1" w:lastColumn="0" w:noHBand="0" w:noVBand="1"/>
      </w:tblPr>
      <w:tblGrid>
        <w:gridCol w:w="1790"/>
        <w:gridCol w:w="782"/>
        <w:gridCol w:w="470"/>
        <w:gridCol w:w="195"/>
        <w:gridCol w:w="782"/>
        <w:gridCol w:w="470"/>
        <w:gridCol w:w="195"/>
        <w:gridCol w:w="782"/>
        <w:gridCol w:w="470"/>
        <w:gridCol w:w="195"/>
        <w:gridCol w:w="782"/>
        <w:gridCol w:w="470"/>
        <w:gridCol w:w="195"/>
      </w:tblGrid>
      <w:tr w:rsidR="00DA7109" w:rsidRPr="00DA7109" w14:paraId="7DA1213D" w14:textId="77777777" w:rsidTr="00DA7109">
        <w:trPr>
          <w:trHeight w:val="405"/>
          <w:jc w:val="center"/>
        </w:trPr>
        <w:tc>
          <w:tcPr>
            <w:tcW w:w="6520" w:type="dxa"/>
            <w:gridSpan w:val="13"/>
            <w:tcBorders>
              <w:top w:val="nil"/>
              <w:left w:val="single" w:sz="4" w:space="0" w:color="FFFFFF"/>
              <w:bottom w:val="single" w:sz="4" w:space="0" w:color="auto"/>
              <w:right w:val="single" w:sz="4" w:space="0" w:color="FFFFFF"/>
            </w:tcBorders>
            <w:shd w:val="clear" w:color="auto" w:fill="auto"/>
            <w:noWrap/>
            <w:vAlign w:val="center"/>
            <w:hideMark/>
          </w:tcPr>
          <w:p w14:paraId="1A3EFDF3" w14:textId="77777777" w:rsidR="00DA7109" w:rsidRPr="00DA7109" w:rsidRDefault="00DA7109" w:rsidP="00DA7109">
            <w:pPr>
              <w:rPr>
                <w:rFonts w:eastAsia="Times New Roman"/>
                <w:b/>
                <w:bCs/>
                <w:sz w:val="24"/>
                <w:szCs w:val="24"/>
                <w:lang w:eastAsia="de-DE"/>
              </w:rPr>
            </w:pPr>
            <w:r w:rsidRPr="00DA7109">
              <w:rPr>
                <w:rFonts w:eastAsia="Times New Roman"/>
                <w:b/>
                <w:bCs/>
                <w:sz w:val="24"/>
                <w:szCs w:val="24"/>
                <w:lang w:eastAsia="de-DE"/>
              </w:rPr>
              <w:t>Panel A: High Liquidity Sessions</w:t>
            </w:r>
          </w:p>
        </w:tc>
      </w:tr>
      <w:tr w:rsidR="00DA7109" w:rsidRPr="00DA7109" w14:paraId="295F134D" w14:textId="77777777" w:rsidTr="00DA7109">
        <w:trPr>
          <w:trHeight w:val="230"/>
          <w:jc w:val="center"/>
        </w:trPr>
        <w:tc>
          <w:tcPr>
            <w:tcW w:w="1790" w:type="dxa"/>
            <w:vMerge w:val="restart"/>
            <w:tcBorders>
              <w:top w:val="nil"/>
              <w:left w:val="single" w:sz="4" w:space="0" w:color="FFFFFF"/>
              <w:bottom w:val="single" w:sz="4" w:space="0" w:color="000000"/>
              <w:right w:val="single" w:sz="4" w:space="0" w:color="auto"/>
            </w:tcBorders>
            <w:shd w:val="clear" w:color="auto" w:fill="auto"/>
            <w:noWrap/>
            <w:vAlign w:val="center"/>
            <w:hideMark/>
          </w:tcPr>
          <w:p w14:paraId="29850E12" w14:textId="77777777" w:rsidR="00DA7109" w:rsidRPr="00DA7109" w:rsidRDefault="00DA7109" w:rsidP="00DA7109">
            <w:pPr>
              <w:rPr>
                <w:rFonts w:eastAsia="Times New Roman"/>
                <w:lang w:val="de-DE" w:eastAsia="de-DE"/>
              </w:rPr>
            </w:pPr>
            <w:proofErr w:type="spellStart"/>
            <w:r w:rsidRPr="00DA7109">
              <w:rPr>
                <w:rFonts w:eastAsia="Times New Roman"/>
                <w:lang w:val="de-DE" w:eastAsia="de-DE"/>
              </w:rPr>
              <w:t>dependent</w:t>
            </w:r>
            <w:proofErr w:type="spellEnd"/>
            <w:r w:rsidRPr="00DA7109">
              <w:rPr>
                <w:rFonts w:eastAsia="Times New Roman"/>
                <w:lang w:val="de-DE" w:eastAsia="de-DE"/>
              </w:rPr>
              <w:t xml:space="preserve"> variables</w:t>
            </w:r>
          </w:p>
        </w:tc>
        <w:tc>
          <w:tcPr>
            <w:tcW w:w="2376" w:type="dxa"/>
            <w:gridSpan w:val="6"/>
            <w:vMerge w:val="restart"/>
            <w:tcBorders>
              <w:top w:val="nil"/>
              <w:left w:val="nil"/>
              <w:bottom w:val="single" w:sz="4" w:space="0" w:color="000000"/>
              <w:right w:val="single" w:sz="4" w:space="0" w:color="000000"/>
            </w:tcBorders>
            <w:shd w:val="clear" w:color="auto" w:fill="auto"/>
            <w:noWrap/>
            <w:vAlign w:val="center"/>
            <w:hideMark/>
          </w:tcPr>
          <w:p w14:paraId="70798FCB" w14:textId="77777777" w:rsidR="00DA7109" w:rsidRPr="00DA7109" w:rsidRDefault="00DA7109" w:rsidP="00DA7109">
            <w:pPr>
              <w:jc w:val="center"/>
              <w:rPr>
                <w:rFonts w:eastAsia="Times New Roman"/>
                <w:i/>
                <w:iCs/>
                <w:sz w:val="22"/>
                <w:szCs w:val="22"/>
                <w:lang w:val="de-DE" w:eastAsia="de-DE"/>
              </w:rPr>
            </w:pPr>
            <w:proofErr w:type="spellStart"/>
            <w:r w:rsidRPr="00DA7109">
              <w:rPr>
                <w:rFonts w:eastAsia="Times New Roman"/>
                <w:i/>
                <w:iCs/>
                <w:sz w:val="22"/>
                <w:szCs w:val="22"/>
                <w:lang w:val="de-DE" w:eastAsia="de-DE"/>
              </w:rPr>
              <w:t>Abs</w:t>
            </w:r>
            <w:proofErr w:type="spellEnd"/>
            <w:r w:rsidRPr="00DA7109">
              <w:rPr>
                <w:rFonts w:eastAsia="Times New Roman"/>
                <w:i/>
                <w:iCs/>
                <w:sz w:val="22"/>
                <w:szCs w:val="22"/>
                <w:lang w:val="de-DE" w:eastAsia="de-DE"/>
              </w:rPr>
              <w:t>(EP-P)/P</w:t>
            </w:r>
          </w:p>
        </w:tc>
        <w:tc>
          <w:tcPr>
            <w:tcW w:w="2354" w:type="dxa"/>
            <w:gridSpan w:val="6"/>
            <w:vMerge w:val="restart"/>
            <w:tcBorders>
              <w:top w:val="nil"/>
              <w:left w:val="nil"/>
              <w:bottom w:val="single" w:sz="4" w:space="0" w:color="000000"/>
              <w:right w:val="single" w:sz="4" w:space="0" w:color="FFFFFF"/>
            </w:tcBorders>
            <w:shd w:val="clear" w:color="auto" w:fill="auto"/>
            <w:noWrap/>
            <w:vAlign w:val="center"/>
            <w:hideMark/>
          </w:tcPr>
          <w:p w14:paraId="028E54FD" w14:textId="77777777" w:rsidR="00DA7109" w:rsidRPr="00DA7109" w:rsidRDefault="00DA7109" w:rsidP="00DA7109">
            <w:pPr>
              <w:jc w:val="center"/>
              <w:rPr>
                <w:rFonts w:eastAsia="Times New Roman"/>
                <w:i/>
                <w:iCs/>
                <w:sz w:val="22"/>
                <w:szCs w:val="22"/>
                <w:lang w:val="de-DE" w:eastAsia="de-DE"/>
              </w:rPr>
            </w:pPr>
            <w:proofErr w:type="spellStart"/>
            <w:r w:rsidRPr="00DA7109">
              <w:rPr>
                <w:rFonts w:eastAsia="Times New Roman"/>
                <w:i/>
                <w:iCs/>
                <w:sz w:val="22"/>
                <w:szCs w:val="22"/>
                <w:lang w:val="de-DE" w:eastAsia="de-DE"/>
              </w:rPr>
              <w:t>Abs</w:t>
            </w:r>
            <w:proofErr w:type="spellEnd"/>
            <w:r w:rsidRPr="00DA7109">
              <w:rPr>
                <w:rFonts w:eastAsia="Times New Roman"/>
                <w:i/>
                <w:iCs/>
                <w:sz w:val="22"/>
                <w:szCs w:val="22"/>
                <w:lang w:val="de-DE" w:eastAsia="de-DE"/>
              </w:rPr>
              <w:t>(EP-P)/50</w:t>
            </w:r>
          </w:p>
        </w:tc>
      </w:tr>
      <w:tr w:rsidR="00DA7109" w:rsidRPr="00DA7109" w14:paraId="33A03896" w14:textId="77777777" w:rsidTr="00DA7109">
        <w:trPr>
          <w:trHeight w:val="230"/>
          <w:jc w:val="center"/>
        </w:trPr>
        <w:tc>
          <w:tcPr>
            <w:tcW w:w="1790" w:type="dxa"/>
            <w:vMerge/>
            <w:tcBorders>
              <w:top w:val="nil"/>
              <w:left w:val="single" w:sz="4" w:space="0" w:color="FFFFFF"/>
              <w:bottom w:val="single" w:sz="4" w:space="0" w:color="000000"/>
              <w:right w:val="single" w:sz="4" w:space="0" w:color="auto"/>
            </w:tcBorders>
            <w:vAlign w:val="center"/>
            <w:hideMark/>
          </w:tcPr>
          <w:p w14:paraId="3F743CF4" w14:textId="77777777" w:rsidR="00DA7109" w:rsidRPr="00DA7109" w:rsidRDefault="00DA7109" w:rsidP="00DA7109">
            <w:pPr>
              <w:rPr>
                <w:rFonts w:eastAsia="Times New Roman"/>
                <w:lang w:val="de-DE" w:eastAsia="de-DE"/>
              </w:rPr>
            </w:pPr>
          </w:p>
        </w:tc>
        <w:tc>
          <w:tcPr>
            <w:tcW w:w="2376" w:type="dxa"/>
            <w:gridSpan w:val="6"/>
            <w:vMerge/>
            <w:tcBorders>
              <w:top w:val="nil"/>
              <w:left w:val="nil"/>
              <w:bottom w:val="single" w:sz="4" w:space="0" w:color="000000"/>
              <w:right w:val="single" w:sz="4" w:space="0" w:color="000000"/>
            </w:tcBorders>
            <w:vAlign w:val="center"/>
            <w:hideMark/>
          </w:tcPr>
          <w:p w14:paraId="69532E29" w14:textId="77777777" w:rsidR="00DA7109" w:rsidRPr="00DA7109" w:rsidRDefault="00DA7109" w:rsidP="00DA7109">
            <w:pPr>
              <w:rPr>
                <w:rFonts w:eastAsia="Times New Roman"/>
                <w:i/>
                <w:iCs/>
                <w:sz w:val="22"/>
                <w:szCs w:val="22"/>
                <w:lang w:val="de-DE" w:eastAsia="de-DE"/>
              </w:rPr>
            </w:pPr>
          </w:p>
        </w:tc>
        <w:tc>
          <w:tcPr>
            <w:tcW w:w="2354" w:type="dxa"/>
            <w:gridSpan w:val="6"/>
            <w:vMerge/>
            <w:tcBorders>
              <w:top w:val="nil"/>
              <w:left w:val="nil"/>
              <w:bottom w:val="single" w:sz="4" w:space="0" w:color="000000"/>
              <w:right w:val="single" w:sz="4" w:space="0" w:color="FFFFFF"/>
            </w:tcBorders>
            <w:vAlign w:val="center"/>
            <w:hideMark/>
          </w:tcPr>
          <w:p w14:paraId="371ECCB6" w14:textId="77777777" w:rsidR="00DA7109" w:rsidRPr="00DA7109" w:rsidRDefault="00DA7109" w:rsidP="00DA7109">
            <w:pPr>
              <w:rPr>
                <w:rFonts w:eastAsia="Times New Roman"/>
                <w:i/>
                <w:iCs/>
                <w:sz w:val="22"/>
                <w:szCs w:val="22"/>
                <w:lang w:val="de-DE" w:eastAsia="de-DE"/>
              </w:rPr>
            </w:pPr>
          </w:p>
        </w:tc>
      </w:tr>
      <w:tr w:rsidR="00DA7109" w:rsidRPr="00DA7109" w14:paraId="79BE31D9" w14:textId="77777777" w:rsidTr="00DA7109">
        <w:trPr>
          <w:trHeight w:val="150"/>
          <w:jc w:val="center"/>
        </w:trPr>
        <w:tc>
          <w:tcPr>
            <w:tcW w:w="1790" w:type="dxa"/>
            <w:tcBorders>
              <w:top w:val="nil"/>
              <w:left w:val="single" w:sz="4" w:space="0" w:color="FFFFFF"/>
              <w:bottom w:val="single" w:sz="4" w:space="0" w:color="FFFFFF"/>
              <w:right w:val="single" w:sz="4" w:space="0" w:color="auto"/>
            </w:tcBorders>
            <w:shd w:val="clear" w:color="auto" w:fill="auto"/>
            <w:noWrap/>
            <w:vAlign w:val="bottom"/>
            <w:hideMark/>
          </w:tcPr>
          <w:p w14:paraId="24A79D7F" w14:textId="77777777" w:rsidR="00DA7109" w:rsidRPr="00DA7109" w:rsidRDefault="00DA7109" w:rsidP="00DA7109">
            <w:pPr>
              <w:rPr>
                <w:rFonts w:eastAsia="Times New Roman"/>
                <w:lang w:val="de-DE" w:eastAsia="de-DE"/>
              </w:rPr>
            </w:pPr>
            <w:r w:rsidRPr="00DA7109">
              <w:rPr>
                <w:rFonts w:eastAsia="Times New Roman"/>
                <w:lang w:val="de-DE" w:eastAsia="de-DE"/>
              </w:rPr>
              <w:t> </w:t>
            </w:r>
          </w:p>
        </w:tc>
        <w:tc>
          <w:tcPr>
            <w:tcW w:w="728" w:type="dxa"/>
            <w:tcBorders>
              <w:top w:val="nil"/>
              <w:left w:val="nil"/>
              <w:bottom w:val="single" w:sz="4" w:space="0" w:color="FFFFFF"/>
              <w:right w:val="nil"/>
            </w:tcBorders>
            <w:shd w:val="clear" w:color="auto" w:fill="auto"/>
            <w:vAlign w:val="bottom"/>
            <w:hideMark/>
          </w:tcPr>
          <w:p w14:paraId="4D51E428"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360" w:type="dxa"/>
            <w:tcBorders>
              <w:top w:val="nil"/>
              <w:left w:val="nil"/>
              <w:bottom w:val="single" w:sz="4" w:space="0" w:color="FFFFFF"/>
              <w:right w:val="nil"/>
            </w:tcBorders>
            <w:shd w:val="clear" w:color="auto" w:fill="auto"/>
            <w:vAlign w:val="bottom"/>
            <w:hideMark/>
          </w:tcPr>
          <w:p w14:paraId="59AAB642"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100" w:type="dxa"/>
            <w:tcBorders>
              <w:top w:val="nil"/>
              <w:left w:val="nil"/>
              <w:bottom w:val="single" w:sz="4" w:space="0" w:color="FFFFFF"/>
              <w:right w:val="nil"/>
            </w:tcBorders>
            <w:shd w:val="clear" w:color="auto" w:fill="auto"/>
            <w:vAlign w:val="bottom"/>
            <w:hideMark/>
          </w:tcPr>
          <w:p w14:paraId="051EF91E"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722" w:type="dxa"/>
            <w:tcBorders>
              <w:top w:val="nil"/>
              <w:left w:val="nil"/>
              <w:bottom w:val="single" w:sz="4" w:space="0" w:color="FFFFFF"/>
              <w:right w:val="nil"/>
            </w:tcBorders>
            <w:shd w:val="clear" w:color="auto" w:fill="auto"/>
            <w:vAlign w:val="bottom"/>
            <w:hideMark/>
          </w:tcPr>
          <w:p w14:paraId="1047A009"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360" w:type="dxa"/>
            <w:tcBorders>
              <w:top w:val="nil"/>
              <w:left w:val="nil"/>
              <w:bottom w:val="single" w:sz="4" w:space="0" w:color="FFFFFF"/>
              <w:right w:val="nil"/>
            </w:tcBorders>
            <w:shd w:val="clear" w:color="auto" w:fill="auto"/>
            <w:vAlign w:val="bottom"/>
            <w:hideMark/>
          </w:tcPr>
          <w:p w14:paraId="26D32C39"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106" w:type="dxa"/>
            <w:tcBorders>
              <w:top w:val="nil"/>
              <w:left w:val="nil"/>
              <w:bottom w:val="single" w:sz="4" w:space="0" w:color="FFFFFF"/>
              <w:right w:val="single" w:sz="4" w:space="0" w:color="auto"/>
            </w:tcBorders>
            <w:shd w:val="clear" w:color="auto" w:fill="auto"/>
            <w:vAlign w:val="bottom"/>
            <w:hideMark/>
          </w:tcPr>
          <w:p w14:paraId="0E544DF8"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717" w:type="dxa"/>
            <w:tcBorders>
              <w:top w:val="nil"/>
              <w:left w:val="nil"/>
              <w:bottom w:val="single" w:sz="4" w:space="0" w:color="FFFFFF"/>
              <w:right w:val="single" w:sz="4" w:space="0" w:color="FFFFFF"/>
            </w:tcBorders>
            <w:shd w:val="clear" w:color="auto" w:fill="auto"/>
            <w:vAlign w:val="bottom"/>
            <w:hideMark/>
          </w:tcPr>
          <w:p w14:paraId="533FCC9A"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360" w:type="dxa"/>
            <w:tcBorders>
              <w:top w:val="nil"/>
              <w:left w:val="nil"/>
              <w:bottom w:val="single" w:sz="4" w:space="0" w:color="FFFFFF"/>
              <w:right w:val="single" w:sz="4" w:space="0" w:color="FFFFFF"/>
            </w:tcBorders>
            <w:shd w:val="clear" w:color="auto" w:fill="auto"/>
            <w:vAlign w:val="bottom"/>
            <w:hideMark/>
          </w:tcPr>
          <w:p w14:paraId="519921E9"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100" w:type="dxa"/>
            <w:tcBorders>
              <w:top w:val="nil"/>
              <w:left w:val="nil"/>
              <w:bottom w:val="single" w:sz="4" w:space="0" w:color="FFFFFF"/>
              <w:right w:val="single" w:sz="4" w:space="0" w:color="FFFFFF"/>
            </w:tcBorders>
            <w:shd w:val="clear" w:color="auto" w:fill="auto"/>
            <w:vAlign w:val="bottom"/>
            <w:hideMark/>
          </w:tcPr>
          <w:p w14:paraId="7AB6CC0C"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712" w:type="dxa"/>
            <w:tcBorders>
              <w:top w:val="nil"/>
              <w:left w:val="nil"/>
              <w:bottom w:val="single" w:sz="4" w:space="0" w:color="FFFFFF"/>
              <w:right w:val="single" w:sz="4" w:space="0" w:color="FFFFFF"/>
            </w:tcBorders>
            <w:shd w:val="clear" w:color="auto" w:fill="auto"/>
            <w:vAlign w:val="bottom"/>
            <w:hideMark/>
          </w:tcPr>
          <w:p w14:paraId="51BED17C"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360" w:type="dxa"/>
            <w:tcBorders>
              <w:top w:val="nil"/>
              <w:left w:val="nil"/>
              <w:bottom w:val="single" w:sz="4" w:space="0" w:color="FFFFFF"/>
              <w:right w:val="single" w:sz="4" w:space="0" w:color="FFFFFF"/>
            </w:tcBorders>
            <w:shd w:val="clear" w:color="auto" w:fill="auto"/>
            <w:vAlign w:val="bottom"/>
            <w:hideMark/>
          </w:tcPr>
          <w:p w14:paraId="207755E5"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105" w:type="dxa"/>
            <w:tcBorders>
              <w:top w:val="nil"/>
              <w:left w:val="nil"/>
              <w:bottom w:val="single" w:sz="4" w:space="0" w:color="FFFFFF"/>
              <w:right w:val="single" w:sz="4" w:space="0" w:color="FFFFFF"/>
            </w:tcBorders>
            <w:shd w:val="clear" w:color="auto" w:fill="auto"/>
            <w:vAlign w:val="bottom"/>
            <w:hideMark/>
          </w:tcPr>
          <w:p w14:paraId="1D26EF7C"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r>
      <w:tr w:rsidR="00DA7109" w:rsidRPr="00DA7109" w14:paraId="32FC856F" w14:textId="77777777" w:rsidTr="00DA7109">
        <w:trPr>
          <w:trHeight w:val="360"/>
          <w:jc w:val="center"/>
        </w:trPr>
        <w:tc>
          <w:tcPr>
            <w:tcW w:w="1790" w:type="dxa"/>
            <w:vMerge w:val="restart"/>
            <w:tcBorders>
              <w:top w:val="nil"/>
              <w:left w:val="single" w:sz="4" w:space="0" w:color="FFFFFF"/>
              <w:bottom w:val="single" w:sz="4" w:space="0" w:color="FFFFFF"/>
              <w:right w:val="single" w:sz="4" w:space="0" w:color="auto"/>
            </w:tcBorders>
            <w:shd w:val="clear" w:color="auto" w:fill="auto"/>
            <w:vAlign w:val="center"/>
            <w:hideMark/>
          </w:tcPr>
          <w:p w14:paraId="108B4ED1" w14:textId="77777777" w:rsidR="00DA7109" w:rsidRPr="00DA7109" w:rsidRDefault="00DA7109" w:rsidP="00DA7109">
            <w:pPr>
              <w:rPr>
                <w:rFonts w:eastAsia="Times New Roman"/>
                <w:i/>
                <w:iCs/>
                <w:sz w:val="22"/>
                <w:szCs w:val="22"/>
                <w:lang w:val="de-DE" w:eastAsia="de-DE"/>
              </w:rPr>
            </w:pPr>
            <w:proofErr w:type="spellStart"/>
            <w:r w:rsidRPr="00DA7109">
              <w:rPr>
                <w:rFonts w:eastAsia="Times New Roman"/>
                <w:i/>
                <w:iCs/>
                <w:sz w:val="22"/>
                <w:szCs w:val="22"/>
                <w:lang w:val="de-DE" w:eastAsia="de-DE"/>
              </w:rPr>
              <w:t>Intercept</w:t>
            </w:r>
            <w:proofErr w:type="spellEnd"/>
          </w:p>
        </w:tc>
        <w:tc>
          <w:tcPr>
            <w:tcW w:w="728" w:type="dxa"/>
            <w:tcBorders>
              <w:top w:val="nil"/>
              <w:left w:val="nil"/>
              <w:bottom w:val="single" w:sz="4" w:space="0" w:color="FFFFFF"/>
              <w:right w:val="nil"/>
            </w:tcBorders>
            <w:shd w:val="clear" w:color="auto" w:fill="auto"/>
            <w:noWrap/>
            <w:vAlign w:val="bottom"/>
            <w:hideMark/>
          </w:tcPr>
          <w:p w14:paraId="4B5B5A81"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0.250</w:t>
            </w:r>
          </w:p>
        </w:tc>
        <w:tc>
          <w:tcPr>
            <w:tcW w:w="460" w:type="dxa"/>
            <w:gridSpan w:val="2"/>
            <w:tcBorders>
              <w:top w:val="single" w:sz="4" w:space="0" w:color="FFFFFF"/>
              <w:left w:val="nil"/>
              <w:bottom w:val="single" w:sz="4" w:space="0" w:color="FFFFFF"/>
              <w:right w:val="nil"/>
            </w:tcBorders>
            <w:shd w:val="clear" w:color="auto" w:fill="auto"/>
            <w:noWrap/>
            <w:vAlign w:val="bottom"/>
            <w:hideMark/>
          </w:tcPr>
          <w:p w14:paraId="0AABD1A5"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722" w:type="dxa"/>
            <w:tcBorders>
              <w:top w:val="nil"/>
              <w:left w:val="nil"/>
              <w:bottom w:val="single" w:sz="4" w:space="0" w:color="FFFFFF"/>
              <w:right w:val="nil"/>
            </w:tcBorders>
            <w:shd w:val="clear" w:color="auto" w:fill="auto"/>
            <w:noWrap/>
            <w:vAlign w:val="bottom"/>
            <w:hideMark/>
          </w:tcPr>
          <w:p w14:paraId="7C96650E"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0.197</w:t>
            </w:r>
          </w:p>
        </w:tc>
        <w:tc>
          <w:tcPr>
            <w:tcW w:w="360" w:type="dxa"/>
            <w:tcBorders>
              <w:top w:val="nil"/>
              <w:left w:val="nil"/>
              <w:bottom w:val="single" w:sz="4" w:space="0" w:color="FFFFFF"/>
              <w:right w:val="nil"/>
            </w:tcBorders>
            <w:shd w:val="clear" w:color="auto" w:fill="auto"/>
            <w:noWrap/>
            <w:vAlign w:val="bottom"/>
            <w:hideMark/>
          </w:tcPr>
          <w:p w14:paraId="30AFBA2E"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6" w:type="dxa"/>
            <w:tcBorders>
              <w:top w:val="nil"/>
              <w:left w:val="nil"/>
              <w:bottom w:val="single" w:sz="4" w:space="0" w:color="FFFFFF"/>
              <w:right w:val="single" w:sz="4" w:space="0" w:color="auto"/>
            </w:tcBorders>
            <w:shd w:val="clear" w:color="auto" w:fill="auto"/>
            <w:noWrap/>
            <w:vAlign w:val="bottom"/>
            <w:hideMark/>
          </w:tcPr>
          <w:p w14:paraId="6086465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vAlign w:val="bottom"/>
            <w:hideMark/>
          </w:tcPr>
          <w:p w14:paraId="1A46147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0.230</w:t>
            </w:r>
          </w:p>
        </w:tc>
        <w:tc>
          <w:tcPr>
            <w:tcW w:w="360" w:type="dxa"/>
            <w:tcBorders>
              <w:top w:val="nil"/>
              <w:left w:val="nil"/>
              <w:bottom w:val="single" w:sz="4" w:space="0" w:color="FFFFFF"/>
              <w:right w:val="single" w:sz="4" w:space="0" w:color="FFFFFF"/>
            </w:tcBorders>
            <w:shd w:val="clear" w:color="auto" w:fill="auto"/>
            <w:noWrap/>
            <w:vAlign w:val="bottom"/>
            <w:hideMark/>
          </w:tcPr>
          <w:p w14:paraId="0D8CA374"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0" w:type="dxa"/>
            <w:tcBorders>
              <w:top w:val="nil"/>
              <w:left w:val="nil"/>
              <w:bottom w:val="single" w:sz="4" w:space="0" w:color="FFFFFF"/>
              <w:right w:val="single" w:sz="4" w:space="0" w:color="FFFFFF"/>
            </w:tcBorders>
            <w:shd w:val="clear" w:color="auto" w:fill="auto"/>
            <w:noWrap/>
            <w:vAlign w:val="bottom"/>
            <w:hideMark/>
          </w:tcPr>
          <w:p w14:paraId="67675AC7"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vAlign w:val="bottom"/>
            <w:hideMark/>
          </w:tcPr>
          <w:p w14:paraId="031262A2"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0.130</w:t>
            </w:r>
          </w:p>
        </w:tc>
        <w:tc>
          <w:tcPr>
            <w:tcW w:w="360" w:type="dxa"/>
            <w:tcBorders>
              <w:top w:val="nil"/>
              <w:left w:val="nil"/>
              <w:bottom w:val="single" w:sz="4" w:space="0" w:color="FFFFFF"/>
              <w:right w:val="single" w:sz="4" w:space="0" w:color="FFFFFF"/>
            </w:tcBorders>
            <w:shd w:val="clear" w:color="auto" w:fill="auto"/>
            <w:noWrap/>
            <w:vAlign w:val="bottom"/>
            <w:hideMark/>
          </w:tcPr>
          <w:p w14:paraId="735E8843"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5" w:type="dxa"/>
            <w:tcBorders>
              <w:top w:val="nil"/>
              <w:left w:val="nil"/>
              <w:bottom w:val="single" w:sz="4" w:space="0" w:color="FFFFFF"/>
              <w:right w:val="single" w:sz="4" w:space="0" w:color="FFFFFF"/>
            </w:tcBorders>
            <w:shd w:val="clear" w:color="auto" w:fill="auto"/>
            <w:noWrap/>
            <w:vAlign w:val="bottom"/>
            <w:hideMark/>
          </w:tcPr>
          <w:p w14:paraId="0C9E6104"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72F05BCF" w14:textId="77777777" w:rsidTr="00DA7109">
        <w:trPr>
          <w:trHeight w:val="360"/>
          <w:jc w:val="center"/>
        </w:trPr>
        <w:tc>
          <w:tcPr>
            <w:tcW w:w="1790" w:type="dxa"/>
            <w:vMerge/>
            <w:tcBorders>
              <w:top w:val="nil"/>
              <w:left w:val="single" w:sz="4" w:space="0" w:color="FFFFFF"/>
              <w:bottom w:val="single" w:sz="4" w:space="0" w:color="FFFFFF"/>
              <w:right w:val="single" w:sz="4" w:space="0" w:color="auto"/>
            </w:tcBorders>
            <w:vAlign w:val="center"/>
            <w:hideMark/>
          </w:tcPr>
          <w:p w14:paraId="1C97C8E5" w14:textId="77777777" w:rsidR="00DA7109" w:rsidRPr="00DA7109" w:rsidRDefault="00DA7109" w:rsidP="00DA7109">
            <w:pPr>
              <w:rPr>
                <w:rFonts w:eastAsia="Times New Roman"/>
                <w:i/>
                <w:iCs/>
                <w:sz w:val="22"/>
                <w:szCs w:val="22"/>
                <w:lang w:val="de-DE" w:eastAsia="de-DE"/>
              </w:rPr>
            </w:pPr>
          </w:p>
        </w:tc>
        <w:tc>
          <w:tcPr>
            <w:tcW w:w="728" w:type="dxa"/>
            <w:tcBorders>
              <w:top w:val="nil"/>
              <w:left w:val="nil"/>
              <w:bottom w:val="single" w:sz="4" w:space="0" w:color="FFFFFF"/>
              <w:right w:val="nil"/>
            </w:tcBorders>
            <w:shd w:val="clear" w:color="auto" w:fill="auto"/>
            <w:noWrap/>
            <w:hideMark/>
          </w:tcPr>
          <w:p w14:paraId="0602BD4E"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(0.048)</w:t>
            </w:r>
          </w:p>
        </w:tc>
        <w:tc>
          <w:tcPr>
            <w:tcW w:w="360" w:type="dxa"/>
            <w:tcBorders>
              <w:top w:val="nil"/>
              <w:left w:val="nil"/>
              <w:bottom w:val="single" w:sz="4" w:space="0" w:color="FFFFFF"/>
              <w:right w:val="nil"/>
            </w:tcBorders>
            <w:shd w:val="clear" w:color="auto" w:fill="auto"/>
            <w:noWrap/>
            <w:hideMark/>
          </w:tcPr>
          <w:p w14:paraId="32251115"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nil"/>
            </w:tcBorders>
            <w:shd w:val="clear" w:color="auto" w:fill="auto"/>
            <w:noWrap/>
            <w:hideMark/>
          </w:tcPr>
          <w:p w14:paraId="530D31DD"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nil"/>
            </w:tcBorders>
            <w:shd w:val="clear" w:color="auto" w:fill="auto"/>
            <w:noWrap/>
            <w:hideMark/>
          </w:tcPr>
          <w:p w14:paraId="3C3EBFF4"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(0.011)</w:t>
            </w:r>
          </w:p>
        </w:tc>
        <w:tc>
          <w:tcPr>
            <w:tcW w:w="360" w:type="dxa"/>
            <w:tcBorders>
              <w:top w:val="nil"/>
              <w:left w:val="nil"/>
              <w:bottom w:val="single" w:sz="4" w:space="0" w:color="FFFFFF"/>
              <w:right w:val="nil"/>
            </w:tcBorders>
            <w:shd w:val="clear" w:color="auto" w:fill="auto"/>
            <w:noWrap/>
            <w:hideMark/>
          </w:tcPr>
          <w:p w14:paraId="4E56D738"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hideMark/>
          </w:tcPr>
          <w:p w14:paraId="748B688A"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2336773D"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(0.037)</w:t>
            </w:r>
          </w:p>
        </w:tc>
        <w:tc>
          <w:tcPr>
            <w:tcW w:w="360" w:type="dxa"/>
            <w:tcBorders>
              <w:top w:val="nil"/>
              <w:left w:val="nil"/>
              <w:bottom w:val="single" w:sz="4" w:space="0" w:color="FFFFFF"/>
              <w:right w:val="single" w:sz="4" w:space="0" w:color="FFFFFF"/>
            </w:tcBorders>
            <w:shd w:val="clear" w:color="auto" w:fill="auto"/>
            <w:noWrap/>
            <w:hideMark/>
          </w:tcPr>
          <w:p w14:paraId="7B89116F"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546ECAF4"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396CE7C1"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(0.051)</w:t>
            </w:r>
          </w:p>
        </w:tc>
        <w:tc>
          <w:tcPr>
            <w:tcW w:w="360" w:type="dxa"/>
            <w:tcBorders>
              <w:top w:val="nil"/>
              <w:left w:val="nil"/>
              <w:bottom w:val="single" w:sz="4" w:space="0" w:color="FFFFFF"/>
              <w:right w:val="single" w:sz="4" w:space="0" w:color="FFFFFF"/>
            </w:tcBorders>
            <w:shd w:val="clear" w:color="auto" w:fill="auto"/>
            <w:noWrap/>
            <w:hideMark/>
          </w:tcPr>
          <w:p w14:paraId="2203AD48"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hideMark/>
          </w:tcPr>
          <w:p w14:paraId="021B78A7"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2ABE1097" w14:textId="77777777" w:rsidTr="00DA7109">
        <w:trPr>
          <w:trHeight w:val="150"/>
          <w:jc w:val="center"/>
        </w:trPr>
        <w:tc>
          <w:tcPr>
            <w:tcW w:w="1790" w:type="dxa"/>
            <w:tcBorders>
              <w:top w:val="nil"/>
              <w:left w:val="single" w:sz="4" w:space="0" w:color="FFFFFF"/>
              <w:bottom w:val="single" w:sz="4" w:space="0" w:color="FFFFFF"/>
              <w:right w:val="single" w:sz="4" w:space="0" w:color="auto"/>
            </w:tcBorders>
            <w:shd w:val="clear" w:color="auto" w:fill="auto"/>
            <w:vAlign w:val="center"/>
            <w:hideMark/>
          </w:tcPr>
          <w:p w14:paraId="09FEF670" w14:textId="77777777" w:rsidR="00DA7109" w:rsidRPr="00DA7109" w:rsidRDefault="00DA7109" w:rsidP="00DA7109">
            <w:pPr>
              <w:rPr>
                <w:rFonts w:eastAsia="Times New Roman"/>
                <w:i/>
                <w:iCs/>
                <w:sz w:val="22"/>
                <w:szCs w:val="22"/>
                <w:lang w:val="de-DE" w:eastAsia="de-DE"/>
              </w:rPr>
            </w:pPr>
            <w:r w:rsidRPr="00DA7109">
              <w:rPr>
                <w:rFonts w:eastAsia="Times New Roman"/>
                <w:i/>
                <w:iCs/>
                <w:sz w:val="22"/>
                <w:szCs w:val="22"/>
                <w:lang w:val="de-DE" w:eastAsia="de-DE"/>
              </w:rPr>
              <w:t> </w:t>
            </w:r>
          </w:p>
        </w:tc>
        <w:tc>
          <w:tcPr>
            <w:tcW w:w="728" w:type="dxa"/>
            <w:tcBorders>
              <w:top w:val="nil"/>
              <w:left w:val="nil"/>
              <w:bottom w:val="single" w:sz="4" w:space="0" w:color="FFFFFF"/>
              <w:right w:val="nil"/>
            </w:tcBorders>
            <w:shd w:val="clear" w:color="auto" w:fill="auto"/>
            <w:noWrap/>
            <w:hideMark/>
          </w:tcPr>
          <w:p w14:paraId="1540CFD3"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nil"/>
            </w:tcBorders>
            <w:shd w:val="clear" w:color="auto" w:fill="auto"/>
            <w:noWrap/>
            <w:hideMark/>
          </w:tcPr>
          <w:p w14:paraId="7271A0C6"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nil"/>
            </w:tcBorders>
            <w:shd w:val="clear" w:color="auto" w:fill="auto"/>
            <w:noWrap/>
            <w:hideMark/>
          </w:tcPr>
          <w:p w14:paraId="0C31C4F1"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nil"/>
            </w:tcBorders>
            <w:shd w:val="clear" w:color="auto" w:fill="auto"/>
            <w:noWrap/>
            <w:hideMark/>
          </w:tcPr>
          <w:p w14:paraId="6C5D1283"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nil"/>
            </w:tcBorders>
            <w:shd w:val="clear" w:color="auto" w:fill="auto"/>
            <w:noWrap/>
            <w:hideMark/>
          </w:tcPr>
          <w:p w14:paraId="499C17F0"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hideMark/>
          </w:tcPr>
          <w:p w14:paraId="044F1ED8"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6A5EF0F9"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574F7C9D"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1F6C6C0D"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1D7A0079"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6C70DBF3"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hideMark/>
          </w:tcPr>
          <w:p w14:paraId="40B2E9BF"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03532D64" w14:textId="77777777" w:rsidTr="00DA7109">
        <w:trPr>
          <w:trHeight w:val="360"/>
          <w:jc w:val="center"/>
        </w:trPr>
        <w:tc>
          <w:tcPr>
            <w:tcW w:w="1790" w:type="dxa"/>
            <w:vMerge w:val="restart"/>
            <w:tcBorders>
              <w:top w:val="nil"/>
              <w:left w:val="single" w:sz="4" w:space="0" w:color="FFFFFF"/>
              <w:bottom w:val="single" w:sz="4" w:space="0" w:color="FFFFFF"/>
              <w:right w:val="single" w:sz="4" w:space="0" w:color="auto"/>
            </w:tcBorders>
            <w:shd w:val="clear" w:color="auto" w:fill="auto"/>
            <w:vAlign w:val="center"/>
            <w:hideMark/>
          </w:tcPr>
          <w:p w14:paraId="588F4047" w14:textId="77777777" w:rsidR="00DA7109" w:rsidRPr="00DA7109" w:rsidRDefault="00DA7109" w:rsidP="00DA7109">
            <w:pPr>
              <w:rPr>
                <w:rFonts w:eastAsia="Times New Roman"/>
                <w:i/>
                <w:iCs/>
                <w:sz w:val="22"/>
                <w:szCs w:val="22"/>
                <w:lang w:eastAsia="de-DE"/>
              </w:rPr>
            </w:pPr>
            <w:r w:rsidRPr="00DA7109">
              <w:rPr>
                <w:rFonts w:eastAsia="Times New Roman"/>
                <w:i/>
                <w:iCs/>
                <w:sz w:val="22"/>
                <w:szCs w:val="22"/>
                <w:lang w:eastAsia="de-DE"/>
              </w:rPr>
              <w:t>Number of Ente</w:t>
            </w:r>
            <w:r w:rsidRPr="00DA7109">
              <w:rPr>
                <w:rFonts w:eastAsia="Times New Roman"/>
                <w:i/>
                <w:iCs/>
                <w:sz w:val="22"/>
                <w:szCs w:val="22"/>
                <w:lang w:eastAsia="de-DE"/>
              </w:rPr>
              <w:t>r</w:t>
            </w:r>
            <w:r w:rsidRPr="00DA7109">
              <w:rPr>
                <w:rFonts w:eastAsia="Times New Roman"/>
                <w:i/>
                <w:iCs/>
                <w:sz w:val="22"/>
                <w:szCs w:val="22"/>
                <w:lang w:eastAsia="de-DE"/>
              </w:rPr>
              <w:t>ing generations Left</w:t>
            </w:r>
          </w:p>
        </w:tc>
        <w:tc>
          <w:tcPr>
            <w:tcW w:w="728" w:type="dxa"/>
            <w:tcBorders>
              <w:top w:val="nil"/>
              <w:left w:val="nil"/>
              <w:bottom w:val="single" w:sz="4" w:space="0" w:color="FFFFFF"/>
              <w:right w:val="nil"/>
            </w:tcBorders>
            <w:shd w:val="clear" w:color="auto" w:fill="auto"/>
            <w:noWrap/>
            <w:vAlign w:val="bottom"/>
            <w:hideMark/>
          </w:tcPr>
          <w:p w14:paraId="0AA1D251"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0.016</w:t>
            </w:r>
          </w:p>
        </w:tc>
        <w:tc>
          <w:tcPr>
            <w:tcW w:w="360" w:type="dxa"/>
            <w:tcBorders>
              <w:top w:val="nil"/>
              <w:left w:val="nil"/>
              <w:bottom w:val="single" w:sz="4" w:space="0" w:color="FFFFFF"/>
              <w:right w:val="nil"/>
            </w:tcBorders>
            <w:shd w:val="clear" w:color="auto" w:fill="auto"/>
            <w:noWrap/>
            <w:vAlign w:val="bottom"/>
            <w:hideMark/>
          </w:tcPr>
          <w:p w14:paraId="7D0E1DD3"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nil"/>
            </w:tcBorders>
            <w:shd w:val="clear" w:color="auto" w:fill="auto"/>
            <w:noWrap/>
            <w:vAlign w:val="bottom"/>
            <w:hideMark/>
          </w:tcPr>
          <w:p w14:paraId="219B34E5"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nil"/>
            </w:tcBorders>
            <w:shd w:val="clear" w:color="auto" w:fill="auto"/>
            <w:noWrap/>
            <w:vAlign w:val="bottom"/>
            <w:hideMark/>
          </w:tcPr>
          <w:p w14:paraId="5A48F7CD"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nil"/>
            </w:tcBorders>
            <w:shd w:val="clear" w:color="auto" w:fill="auto"/>
            <w:noWrap/>
            <w:vAlign w:val="bottom"/>
            <w:hideMark/>
          </w:tcPr>
          <w:p w14:paraId="3C575FAB"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vAlign w:val="bottom"/>
            <w:hideMark/>
          </w:tcPr>
          <w:p w14:paraId="7EFE080C"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vAlign w:val="bottom"/>
            <w:hideMark/>
          </w:tcPr>
          <w:p w14:paraId="7287A7E5"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0.046</w:t>
            </w:r>
          </w:p>
        </w:tc>
        <w:tc>
          <w:tcPr>
            <w:tcW w:w="360" w:type="dxa"/>
            <w:tcBorders>
              <w:top w:val="nil"/>
              <w:left w:val="nil"/>
              <w:bottom w:val="single" w:sz="4" w:space="0" w:color="FFFFFF"/>
              <w:right w:val="single" w:sz="4" w:space="0" w:color="FFFFFF"/>
            </w:tcBorders>
            <w:shd w:val="clear" w:color="auto" w:fill="auto"/>
            <w:noWrap/>
            <w:vAlign w:val="bottom"/>
            <w:hideMark/>
          </w:tcPr>
          <w:p w14:paraId="5940FFFD"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0" w:type="dxa"/>
            <w:tcBorders>
              <w:top w:val="nil"/>
              <w:left w:val="nil"/>
              <w:bottom w:val="single" w:sz="4" w:space="0" w:color="FFFFFF"/>
              <w:right w:val="single" w:sz="4" w:space="0" w:color="FFFFFF"/>
            </w:tcBorders>
            <w:shd w:val="clear" w:color="auto" w:fill="auto"/>
            <w:noWrap/>
            <w:vAlign w:val="bottom"/>
            <w:hideMark/>
          </w:tcPr>
          <w:p w14:paraId="2DA97A3B"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vAlign w:val="bottom"/>
            <w:hideMark/>
          </w:tcPr>
          <w:p w14:paraId="59C303C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vAlign w:val="bottom"/>
            <w:hideMark/>
          </w:tcPr>
          <w:p w14:paraId="29758533"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vAlign w:val="bottom"/>
            <w:hideMark/>
          </w:tcPr>
          <w:p w14:paraId="1C83B212"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46FE1D47" w14:textId="77777777" w:rsidTr="00DA7109">
        <w:trPr>
          <w:trHeight w:val="495"/>
          <w:jc w:val="center"/>
        </w:trPr>
        <w:tc>
          <w:tcPr>
            <w:tcW w:w="1790" w:type="dxa"/>
            <w:vMerge/>
            <w:tcBorders>
              <w:top w:val="nil"/>
              <w:left w:val="single" w:sz="4" w:space="0" w:color="FFFFFF"/>
              <w:bottom w:val="single" w:sz="4" w:space="0" w:color="FFFFFF"/>
              <w:right w:val="single" w:sz="4" w:space="0" w:color="auto"/>
            </w:tcBorders>
            <w:vAlign w:val="center"/>
            <w:hideMark/>
          </w:tcPr>
          <w:p w14:paraId="2901086E" w14:textId="77777777" w:rsidR="00DA7109" w:rsidRPr="00DA7109" w:rsidRDefault="00DA7109" w:rsidP="00DA7109">
            <w:pPr>
              <w:rPr>
                <w:rFonts w:eastAsia="Times New Roman"/>
                <w:i/>
                <w:iCs/>
                <w:sz w:val="22"/>
                <w:szCs w:val="22"/>
                <w:lang w:val="de-DE" w:eastAsia="de-DE"/>
              </w:rPr>
            </w:pPr>
          </w:p>
        </w:tc>
        <w:tc>
          <w:tcPr>
            <w:tcW w:w="728" w:type="dxa"/>
            <w:tcBorders>
              <w:top w:val="nil"/>
              <w:left w:val="nil"/>
              <w:bottom w:val="single" w:sz="4" w:space="0" w:color="FFFFFF"/>
              <w:right w:val="nil"/>
            </w:tcBorders>
            <w:shd w:val="clear" w:color="auto" w:fill="auto"/>
            <w:noWrap/>
            <w:hideMark/>
          </w:tcPr>
          <w:p w14:paraId="27AD3929"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(0.018)</w:t>
            </w:r>
          </w:p>
        </w:tc>
        <w:tc>
          <w:tcPr>
            <w:tcW w:w="360" w:type="dxa"/>
            <w:tcBorders>
              <w:top w:val="nil"/>
              <w:left w:val="nil"/>
              <w:bottom w:val="single" w:sz="4" w:space="0" w:color="FFFFFF"/>
              <w:right w:val="nil"/>
            </w:tcBorders>
            <w:shd w:val="clear" w:color="auto" w:fill="auto"/>
            <w:noWrap/>
            <w:hideMark/>
          </w:tcPr>
          <w:p w14:paraId="3B76922B"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nil"/>
            </w:tcBorders>
            <w:shd w:val="clear" w:color="auto" w:fill="auto"/>
            <w:noWrap/>
            <w:hideMark/>
          </w:tcPr>
          <w:p w14:paraId="4ED23EE8"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nil"/>
            </w:tcBorders>
            <w:shd w:val="clear" w:color="auto" w:fill="auto"/>
            <w:noWrap/>
            <w:hideMark/>
          </w:tcPr>
          <w:p w14:paraId="72C42877"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nil"/>
            </w:tcBorders>
            <w:shd w:val="clear" w:color="auto" w:fill="auto"/>
            <w:noWrap/>
            <w:hideMark/>
          </w:tcPr>
          <w:p w14:paraId="6A51436E"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vAlign w:val="bottom"/>
            <w:hideMark/>
          </w:tcPr>
          <w:p w14:paraId="4A94C9DF"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491153F7"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(0.026)</w:t>
            </w:r>
          </w:p>
        </w:tc>
        <w:tc>
          <w:tcPr>
            <w:tcW w:w="360" w:type="dxa"/>
            <w:tcBorders>
              <w:top w:val="nil"/>
              <w:left w:val="nil"/>
              <w:bottom w:val="single" w:sz="4" w:space="0" w:color="FFFFFF"/>
              <w:right w:val="single" w:sz="4" w:space="0" w:color="FFFFFF"/>
            </w:tcBorders>
            <w:shd w:val="clear" w:color="auto" w:fill="auto"/>
            <w:noWrap/>
            <w:hideMark/>
          </w:tcPr>
          <w:p w14:paraId="38CF106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7AB55246"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1922483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5339E290"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vAlign w:val="bottom"/>
            <w:hideMark/>
          </w:tcPr>
          <w:p w14:paraId="6EB59410"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310A786A" w14:textId="77777777" w:rsidTr="00DA7109">
        <w:trPr>
          <w:trHeight w:val="150"/>
          <w:jc w:val="center"/>
        </w:trPr>
        <w:tc>
          <w:tcPr>
            <w:tcW w:w="1790" w:type="dxa"/>
            <w:tcBorders>
              <w:top w:val="nil"/>
              <w:left w:val="single" w:sz="4" w:space="0" w:color="FFFFFF"/>
              <w:bottom w:val="single" w:sz="4" w:space="0" w:color="FFFFFF"/>
              <w:right w:val="single" w:sz="4" w:space="0" w:color="auto"/>
            </w:tcBorders>
            <w:shd w:val="clear" w:color="auto" w:fill="auto"/>
            <w:vAlign w:val="center"/>
            <w:hideMark/>
          </w:tcPr>
          <w:p w14:paraId="1DB60330" w14:textId="77777777" w:rsidR="00DA7109" w:rsidRPr="00DA7109" w:rsidRDefault="00DA7109" w:rsidP="00DA7109">
            <w:pPr>
              <w:rPr>
                <w:rFonts w:eastAsia="Times New Roman"/>
                <w:i/>
                <w:iCs/>
                <w:sz w:val="22"/>
                <w:szCs w:val="22"/>
                <w:lang w:val="de-DE" w:eastAsia="de-DE"/>
              </w:rPr>
            </w:pPr>
            <w:r w:rsidRPr="00DA7109">
              <w:rPr>
                <w:rFonts w:eastAsia="Times New Roman"/>
                <w:i/>
                <w:iCs/>
                <w:sz w:val="22"/>
                <w:szCs w:val="22"/>
                <w:lang w:val="de-DE" w:eastAsia="de-DE"/>
              </w:rPr>
              <w:t> </w:t>
            </w:r>
          </w:p>
        </w:tc>
        <w:tc>
          <w:tcPr>
            <w:tcW w:w="728" w:type="dxa"/>
            <w:tcBorders>
              <w:top w:val="nil"/>
              <w:left w:val="nil"/>
              <w:bottom w:val="single" w:sz="4" w:space="0" w:color="FFFFFF"/>
              <w:right w:val="nil"/>
            </w:tcBorders>
            <w:shd w:val="clear" w:color="auto" w:fill="auto"/>
            <w:noWrap/>
            <w:hideMark/>
          </w:tcPr>
          <w:p w14:paraId="6AA50C78"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nil"/>
            </w:tcBorders>
            <w:shd w:val="clear" w:color="auto" w:fill="auto"/>
            <w:noWrap/>
            <w:hideMark/>
          </w:tcPr>
          <w:p w14:paraId="58DC551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nil"/>
            </w:tcBorders>
            <w:shd w:val="clear" w:color="auto" w:fill="auto"/>
            <w:noWrap/>
            <w:hideMark/>
          </w:tcPr>
          <w:p w14:paraId="17B98371"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nil"/>
            </w:tcBorders>
            <w:shd w:val="clear" w:color="auto" w:fill="auto"/>
            <w:noWrap/>
            <w:hideMark/>
          </w:tcPr>
          <w:p w14:paraId="42F433FB"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nil"/>
            </w:tcBorders>
            <w:shd w:val="clear" w:color="auto" w:fill="auto"/>
            <w:noWrap/>
            <w:hideMark/>
          </w:tcPr>
          <w:p w14:paraId="2D7B0B4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vAlign w:val="bottom"/>
            <w:hideMark/>
          </w:tcPr>
          <w:p w14:paraId="646CC6F5"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3C19A43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3EBE559B"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26E703E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078DCB01"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65B1922B"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vAlign w:val="bottom"/>
            <w:hideMark/>
          </w:tcPr>
          <w:p w14:paraId="68416D4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4E26D2EF" w14:textId="77777777" w:rsidTr="00DA7109">
        <w:trPr>
          <w:trHeight w:val="360"/>
          <w:jc w:val="center"/>
        </w:trPr>
        <w:tc>
          <w:tcPr>
            <w:tcW w:w="1790" w:type="dxa"/>
            <w:vMerge w:val="restart"/>
            <w:tcBorders>
              <w:top w:val="nil"/>
              <w:left w:val="single" w:sz="4" w:space="0" w:color="FFFFFF"/>
              <w:bottom w:val="single" w:sz="4" w:space="0" w:color="FFFFFF"/>
              <w:right w:val="single" w:sz="4" w:space="0" w:color="auto"/>
            </w:tcBorders>
            <w:shd w:val="clear" w:color="auto" w:fill="auto"/>
            <w:vAlign w:val="center"/>
            <w:hideMark/>
          </w:tcPr>
          <w:p w14:paraId="79BA4DC0" w14:textId="77777777" w:rsidR="00DA7109" w:rsidRPr="00DA7109" w:rsidRDefault="00DA7109" w:rsidP="00DA7109">
            <w:pPr>
              <w:rPr>
                <w:rFonts w:eastAsia="Times New Roman"/>
                <w:i/>
                <w:iCs/>
                <w:sz w:val="22"/>
                <w:szCs w:val="22"/>
                <w:lang w:val="de-DE" w:eastAsia="de-DE"/>
              </w:rPr>
            </w:pPr>
            <w:proofErr w:type="spellStart"/>
            <w:r w:rsidRPr="00DA7109">
              <w:rPr>
                <w:rFonts w:eastAsia="Times New Roman"/>
                <w:i/>
                <w:iCs/>
                <w:sz w:val="22"/>
                <w:szCs w:val="22"/>
                <w:lang w:val="de-DE" w:eastAsia="de-DE"/>
              </w:rPr>
              <w:t>Number</w:t>
            </w:r>
            <w:proofErr w:type="spellEnd"/>
            <w:r w:rsidRPr="00DA7109">
              <w:rPr>
                <w:rFonts w:eastAsia="Times New Roman"/>
                <w:i/>
                <w:iCs/>
                <w:sz w:val="22"/>
                <w:szCs w:val="22"/>
                <w:lang w:val="de-DE" w:eastAsia="de-DE"/>
              </w:rPr>
              <w:t xml:space="preserve"> of </w:t>
            </w:r>
            <w:proofErr w:type="spellStart"/>
            <w:r w:rsidRPr="00DA7109">
              <w:rPr>
                <w:rFonts w:eastAsia="Times New Roman"/>
                <w:i/>
                <w:iCs/>
                <w:sz w:val="22"/>
                <w:szCs w:val="22"/>
                <w:lang w:val="de-DE" w:eastAsia="de-DE"/>
              </w:rPr>
              <w:t>Per</w:t>
            </w:r>
            <w:r w:rsidRPr="00DA7109">
              <w:rPr>
                <w:rFonts w:eastAsia="Times New Roman"/>
                <w:i/>
                <w:iCs/>
                <w:sz w:val="22"/>
                <w:szCs w:val="22"/>
                <w:lang w:val="de-DE" w:eastAsia="de-DE"/>
              </w:rPr>
              <w:t>i</w:t>
            </w:r>
            <w:r w:rsidRPr="00DA7109">
              <w:rPr>
                <w:rFonts w:eastAsia="Times New Roman"/>
                <w:i/>
                <w:iCs/>
                <w:sz w:val="22"/>
                <w:szCs w:val="22"/>
                <w:lang w:val="de-DE" w:eastAsia="de-DE"/>
              </w:rPr>
              <w:t>ods</w:t>
            </w:r>
            <w:proofErr w:type="spellEnd"/>
            <w:r w:rsidRPr="00DA7109">
              <w:rPr>
                <w:rFonts w:eastAsia="Times New Roman"/>
                <w:i/>
                <w:iCs/>
                <w:sz w:val="22"/>
                <w:szCs w:val="22"/>
                <w:lang w:val="de-DE" w:eastAsia="de-DE"/>
              </w:rPr>
              <w:t xml:space="preserve"> </w:t>
            </w:r>
            <w:proofErr w:type="spellStart"/>
            <w:r w:rsidRPr="00DA7109">
              <w:rPr>
                <w:rFonts w:eastAsia="Times New Roman"/>
                <w:i/>
                <w:iCs/>
                <w:sz w:val="22"/>
                <w:szCs w:val="22"/>
                <w:lang w:val="de-DE" w:eastAsia="de-DE"/>
              </w:rPr>
              <w:t>Left</w:t>
            </w:r>
            <w:proofErr w:type="spellEnd"/>
          </w:p>
        </w:tc>
        <w:tc>
          <w:tcPr>
            <w:tcW w:w="728" w:type="dxa"/>
            <w:tcBorders>
              <w:top w:val="nil"/>
              <w:left w:val="nil"/>
              <w:bottom w:val="single" w:sz="4" w:space="0" w:color="FFFFFF"/>
              <w:right w:val="nil"/>
            </w:tcBorders>
            <w:shd w:val="clear" w:color="auto" w:fill="auto"/>
            <w:noWrap/>
            <w:vAlign w:val="bottom"/>
            <w:hideMark/>
          </w:tcPr>
          <w:p w14:paraId="7B45B762"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nil"/>
            </w:tcBorders>
            <w:shd w:val="clear" w:color="auto" w:fill="auto"/>
            <w:noWrap/>
            <w:vAlign w:val="bottom"/>
            <w:hideMark/>
          </w:tcPr>
          <w:p w14:paraId="3C991586"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nil"/>
            </w:tcBorders>
            <w:shd w:val="clear" w:color="auto" w:fill="auto"/>
            <w:noWrap/>
            <w:vAlign w:val="bottom"/>
            <w:hideMark/>
          </w:tcPr>
          <w:p w14:paraId="57DB974F"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nil"/>
            </w:tcBorders>
            <w:shd w:val="clear" w:color="auto" w:fill="auto"/>
            <w:noWrap/>
            <w:vAlign w:val="bottom"/>
            <w:hideMark/>
          </w:tcPr>
          <w:p w14:paraId="1E48A58A"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0.010</w:t>
            </w:r>
          </w:p>
        </w:tc>
        <w:tc>
          <w:tcPr>
            <w:tcW w:w="360" w:type="dxa"/>
            <w:tcBorders>
              <w:top w:val="nil"/>
              <w:left w:val="nil"/>
              <w:bottom w:val="single" w:sz="4" w:space="0" w:color="FFFFFF"/>
              <w:right w:val="nil"/>
            </w:tcBorders>
            <w:shd w:val="clear" w:color="auto" w:fill="auto"/>
            <w:noWrap/>
            <w:vAlign w:val="bottom"/>
            <w:hideMark/>
          </w:tcPr>
          <w:p w14:paraId="640371ED"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vAlign w:val="bottom"/>
            <w:hideMark/>
          </w:tcPr>
          <w:p w14:paraId="73368648"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vAlign w:val="bottom"/>
            <w:hideMark/>
          </w:tcPr>
          <w:p w14:paraId="0DCA7BA9"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vAlign w:val="bottom"/>
            <w:hideMark/>
          </w:tcPr>
          <w:p w14:paraId="2BF6AD7B"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vAlign w:val="bottom"/>
            <w:hideMark/>
          </w:tcPr>
          <w:p w14:paraId="316A0C2B"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vAlign w:val="bottom"/>
            <w:hideMark/>
          </w:tcPr>
          <w:p w14:paraId="4C61A835"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0.021</w:t>
            </w:r>
          </w:p>
        </w:tc>
        <w:tc>
          <w:tcPr>
            <w:tcW w:w="360" w:type="dxa"/>
            <w:tcBorders>
              <w:top w:val="nil"/>
              <w:left w:val="nil"/>
              <w:bottom w:val="single" w:sz="4" w:space="0" w:color="FFFFFF"/>
              <w:right w:val="single" w:sz="4" w:space="0" w:color="FFFFFF"/>
            </w:tcBorders>
            <w:shd w:val="clear" w:color="auto" w:fill="auto"/>
            <w:noWrap/>
            <w:vAlign w:val="bottom"/>
            <w:hideMark/>
          </w:tcPr>
          <w:p w14:paraId="597EEA3F"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5" w:type="dxa"/>
            <w:tcBorders>
              <w:top w:val="nil"/>
              <w:left w:val="nil"/>
              <w:bottom w:val="single" w:sz="4" w:space="0" w:color="FFFFFF"/>
              <w:right w:val="single" w:sz="4" w:space="0" w:color="FFFFFF"/>
            </w:tcBorders>
            <w:shd w:val="clear" w:color="auto" w:fill="auto"/>
            <w:noWrap/>
            <w:vAlign w:val="bottom"/>
            <w:hideMark/>
          </w:tcPr>
          <w:p w14:paraId="74ED496D"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150B8A90" w14:textId="77777777" w:rsidTr="00DA7109">
        <w:trPr>
          <w:trHeight w:val="360"/>
          <w:jc w:val="center"/>
        </w:trPr>
        <w:tc>
          <w:tcPr>
            <w:tcW w:w="1790" w:type="dxa"/>
            <w:vMerge/>
            <w:tcBorders>
              <w:top w:val="nil"/>
              <w:left w:val="single" w:sz="4" w:space="0" w:color="FFFFFF"/>
              <w:bottom w:val="single" w:sz="4" w:space="0" w:color="FFFFFF"/>
              <w:right w:val="single" w:sz="4" w:space="0" w:color="auto"/>
            </w:tcBorders>
            <w:vAlign w:val="center"/>
            <w:hideMark/>
          </w:tcPr>
          <w:p w14:paraId="4276E9E0" w14:textId="77777777" w:rsidR="00DA7109" w:rsidRPr="00DA7109" w:rsidRDefault="00DA7109" w:rsidP="00DA7109">
            <w:pPr>
              <w:rPr>
                <w:rFonts w:eastAsia="Times New Roman"/>
                <w:i/>
                <w:iCs/>
                <w:sz w:val="22"/>
                <w:szCs w:val="22"/>
                <w:lang w:val="de-DE" w:eastAsia="de-DE"/>
              </w:rPr>
            </w:pPr>
          </w:p>
        </w:tc>
        <w:tc>
          <w:tcPr>
            <w:tcW w:w="728" w:type="dxa"/>
            <w:tcBorders>
              <w:top w:val="nil"/>
              <w:left w:val="nil"/>
              <w:bottom w:val="single" w:sz="4" w:space="0" w:color="FFFFFF"/>
              <w:right w:val="nil"/>
            </w:tcBorders>
            <w:shd w:val="clear" w:color="auto" w:fill="auto"/>
            <w:noWrap/>
            <w:hideMark/>
          </w:tcPr>
          <w:p w14:paraId="66F7020D"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nil"/>
            </w:tcBorders>
            <w:shd w:val="clear" w:color="auto" w:fill="auto"/>
            <w:noWrap/>
            <w:hideMark/>
          </w:tcPr>
          <w:p w14:paraId="2D16981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nil"/>
            </w:tcBorders>
            <w:shd w:val="clear" w:color="auto" w:fill="auto"/>
            <w:noWrap/>
            <w:hideMark/>
          </w:tcPr>
          <w:p w14:paraId="56D5B5B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nil"/>
            </w:tcBorders>
            <w:shd w:val="clear" w:color="auto" w:fill="auto"/>
            <w:noWrap/>
            <w:hideMark/>
          </w:tcPr>
          <w:p w14:paraId="5FA94E5A"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(0.007)</w:t>
            </w:r>
          </w:p>
        </w:tc>
        <w:tc>
          <w:tcPr>
            <w:tcW w:w="360" w:type="dxa"/>
            <w:tcBorders>
              <w:top w:val="nil"/>
              <w:left w:val="nil"/>
              <w:bottom w:val="single" w:sz="4" w:space="0" w:color="FFFFFF"/>
              <w:right w:val="nil"/>
            </w:tcBorders>
            <w:shd w:val="clear" w:color="auto" w:fill="auto"/>
            <w:noWrap/>
            <w:hideMark/>
          </w:tcPr>
          <w:p w14:paraId="7D2FABDB"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hideMark/>
          </w:tcPr>
          <w:p w14:paraId="28E0F69B"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5961707F"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0A25B053"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62EA211D"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4B0541E2"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(0.005)</w:t>
            </w:r>
          </w:p>
        </w:tc>
        <w:tc>
          <w:tcPr>
            <w:tcW w:w="360" w:type="dxa"/>
            <w:tcBorders>
              <w:top w:val="nil"/>
              <w:left w:val="nil"/>
              <w:bottom w:val="single" w:sz="4" w:space="0" w:color="FFFFFF"/>
              <w:right w:val="single" w:sz="4" w:space="0" w:color="FFFFFF"/>
            </w:tcBorders>
            <w:shd w:val="clear" w:color="auto" w:fill="auto"/>
            <w:noWrap/>
            <w:hideMark/>
          </w:tcPr>
          <w:p w14:paraId="23BD479B"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hideMark/>
          </w:tcPr>
          <w:p w14:paraId="2F70CA3E"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4022ED4B" w14:textId="77777777" w:rsidTr="00DA7109">
        <w:trPr>
          <w:trHeight w:val="150"/>
          <w:jc w:val="center"/>
        </w:trPr>
        <w:tc>
          <w:tcPr>
            <w:tcW w:w="1790" w:type="dxa"/>
            <w:tcBorders>
              <w:top w:val="nil"/>
              <w:left w:val="single" w:sz="4" w:space="0" w:color="FFFFFF"/>
              <w:bottom w:val="single" w:sz="4" w:space="0" w:color="FFFFFF"/>
              <w:right w:val="single" w:sz="4" w:space="0" w:color="auto"/>
            </w:tcBorders>
            <w:shd w:val="clear" w:color="auto" w:fill="auto"/>
            <w:vAlign w:val="center"/>
            <w:hideMark/>
          </w:tcPr>
          <w:p w14:paraId="76CF6836" w14:textId="77777777" w:rsidR="00DA7109" w:rsidRPr="00DA7109" w:rsidRDefault="00DA7109" w:rsidP="00DA7109">
            <w:pPr>
              <w:rPr>
                <w:rFonts w:eastAsia="Times New Roman"/>
                <w:i/>
                <w:iCs/>
                <w:sz w:val="22"/>
                <w:szCs w:val="22"/>
                <w:lang w:val="de-DE" w:eastAsia="de-DE"/>
              </w:rPr>
            </w:pPr>
            <w:r w:rsidRPr="00DA7109">
              <w:rPr>
                <w:rFonts w:eastAsia="Times New Roman"/>
                <w:i/>
                <w:iCs/>
                <w:sz w:val="22"/>
                <w:szCs w:val="22"/>
                <w:lang w:val="de-DE" w:eastAsia="de-DE"/>
              </w:rPr>
              <w:t> </w:t>
            </w:r>
          </w:p>
        </w:tc>
        <w:tc>
          <w:tcPr>
            <w:tcW w:w="728" w:type="dxa"/>
            <w:tcBorders>
              <w:top w:val="nil"/>
              <w:left w:val="nil"/>
              <w:bottom w:val="single" w:sz="4" w:space="0" w:color="FFFFFF"/>
              <w:right w:val="nil"/>
            </w:tcBorders>
            <w:shd w:val="clear" w:color="auto" w:fill="auto"/>
            <w:noWrap/>
            <w:hideMark/>
          </w:tcPr>
          <w:p w14:paraId="0DDDDEC6"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nil"/>
            </w:tcBorders>
            <w:shd w:val="clear" w:color="auto" w:fill="auto"/>
            <w:noWrap/>
            <w:hideMark/>
          </w:tcPr>
          <w:p w14:paraId="13B80ED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nil"/>
            </w:tcBorders>
            <w:shd w:val="clear" w:color="auto" w:fill="auto"/>
            <w:noWrap/>
            <w:hideMark/>
          </w:tcPr>
          <w:p w14:paraId="171E682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nil"/>
            </w:tcBorders>
            <w:shd w:val="clear" w:color="auto" w:fill="auto"/>
            <w:noWrap/>
            <w:hideMark/>
          </w:tcPr>
          <w:p w14:paraId="048EB1C2"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nil"/>
            </w:tcBorders>
            <w:shd w:val="clear" w:color="auto" w:fill="auto"/>
            <w:noWrap/>
            <w:hideMark/>
          </w:tcPr>
          <w:p w14:paraId="7146102D"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hideMark/>
          </w:tcPr>
          <w:p w14:paraId="27E7911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79B64492"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607182BC"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7DB13D23"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13835590"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307633E1"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hideMark/>
          </w:tcPr>
          <w:p w14:paraId="41B10BEA"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4B75FEA2" w14:textId="77777777" w:rsidTr="00DA7109">
        <w:trPr>
          <w:trHeight w:val="360"/>
          <w:jc w:val="center"/>
        </w:trPr>
        <w:tc>
          <w:tcPr>
            <w:tcW w:w="1790" w:type="dxa"/>
            <w:tcBorders>
              <w:top w:val="nil"/>
              <w:left w:val="single" w:sz="4" w:space="0" w:color="FFFFFF"/>
              <w:bottom w:val="nil"/>
              <w:right w:val="single" w:sz="4" w:space="0" w:color="auto"/>
            </w:tcBorders>
            <w:shd w:val="clear" w:color="auto" w:fill="auto"/>
            <w:vAlign w:val="bottom"/>
            <w:hideMark/>
          </w:tcPr>
          <w:p w14:paraId="16F6358F"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R</w:t>
            </w:r>
            <w:r w:rsidRPr="00DA7109">
              <w:rPr>
                <w:rFonts w:eastAsia="Times New Roman"/>
                <w:sz w:val="22"/>
                <w:szCs w:val="22"/>
                <w:vertAlign w:val="superscript"/>
                <w:lang w:val="de-DE" w:eastAsia="de-DE"/>
              </w:rPr>
              <w:t>2</w:t>
            </w:r>
          </w:p>
        </w:tc>
        <w:tc>
          <w:tcPr>
            <w:tcW w:w="1088" w:type="dxa"/>
            <w:gridSpan w:val="2"/>
            <w:tcBorders>
              <w:top w:val="single" w:sz="4" w:space="0" w:color="FFFFFF"/>
              <w:left w:val="nil"/>
              <w:bottom w:val="nil"/>
              <w:right w:val="nil"/>
            </w:tcBorders>
            <w:shd w:val="clear" w:color="auto" w:fill="auto"/>
            <w:noWrap/>
            <w:vAlign w:val="bottom"/>
            <w:hideMark/>
          </w:tcPr>
          <w:p w14:paraId="7E716438"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0.004</w:t>
            </w:r>
          </w:p>
        </w:tc>
        <w:tc>
          <w:tcPr>
            <w:tcW w:w="100" w:type="dxa"/>
            <w:tcBorders>
              <w:top w:val="nil"/>
              <w:left w:val="nil"/>
              <w:bottom w:val="nil"/>
              <w:right w:val="nil"/>
            </w:tcBorders>
            <w:shd w:val="clear" w:color="auto" w:fill="auto"/>
            <w:noWrap/>
            <w:vAlign w:val="bottom"/>
            <w:hideMark/>
          </w:tcPr>
          <w:p w14:paraId="5F1EBE2A"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1082" w:type="dxa"/>
            <w:gridSpan w:val="2"/>
            <w:tcBorders>
              <w:top w:val="single" w:sz="4" w:space="0" w:color="FFFFFF"/>
              <w:left w:val="nil"/>
              <w:bottom w:val="nil"/>
              <w:right w:val="nil"/>
            </w:tcBorders>
            <w:shd w:val="clear" w:color="auto" w:fill="auto"/>
            <w:noWrap/>
            <w:vAlign w:val="bottom"/>
            <w:hideMark/>
          </w:tcPr>
          <w:p w14:paraId="39723AFB"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0.008</w:t>
            </w:r>
          </w:p>
        </w:tc>
        <w:tc>
          <w:tcPr>
            <w:tcW w:w="106" w:type="dxa"/>
            <w:tcBorders>
              <w:top w:val="nil"/>
              <w:left w:val="nil"/>
              <w:bottom w:val="nil"/>
              <w:right w:val="single" w:sz="4" w:space="0" w:color="auto"/>
            </w:tcBorders>
            <w:shd w:val="clear" w:color="auto" w:fill="auto"/>
            <w:noWrap/>
            <w:vAlign w:val="bottom"/>
            <w:hideMark/>
          </w:tcPr>
          <w:p w14:paraId="6E4D9456"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1077" w:type="dxa"/>
            <w:gridSpan w:val="2"/>
            <w:tcBorders>
              <w:top w:val="single" w:sz="4" w:space="0" w:color="FFFFFF"/>
              <w:left w:val="nil"/>
              <w:bottom w:val="nil"/>
              <w:right w:val="single" w:sz="4" w:space="0" w:color="FFFFFF"/>
            </w:tcBorders>
            <w:shd w:val="clear" w:color="auto" w:fill="auto"/>
            <w:noWrap/>
            <w:vAlign w:val="bottom"/>
            <w:hideMark/>
          </w:tcPr>
          <w:p w14:paraId="31408953"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0.038</w:t>
            </w:r>
          </w:p>
        </w:tc>
        <w:tc>
          <w:tcPr>
            <w:tcW w:w="100" w:type="dxa"/>
            <w:tcBorders>
              <w:top w:val="nil"/>
              <w:left w:val="nil"/>
              <w:bottom w:val="nil"/>
              <w:right w:val="single" w:sz="4" w:space="0" w:color="FFFFFF"/>
            </w:tcBorders>
            <w:shd w:val="clear" w:color="auto" w:fill="auto"/>
            <w:noWrap/>
            <w:vAlign w:val="bottom"/>
            <w:hideMark/>
          </w:tcPr>
          <w:p w14:paraId="13E10627"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1072" w:type="dxa"/>
            <w:gridSpan w:val="2"/>
            <w:tcBorders>
              <w:top w:val="single" w:sz="4" w:space="0" w:color="FFFFFF"/>
              <w:left w:val="nil"/>
              <w:bottom w:val="nil"/>
              <w:right w:val="single" w:sz="4" w:space="0" w:color="FFFFFF"/>
            </w:tcBorders>
            <w:shd w:val="clear" w:color="auto" w:fill="auto"/>
            <w:noWrap/>
            <w:vAlign w:val="bottom"/>
            <w:hideMark/>
          </w:tcPr>
          <w:p w14:paraId="3AB5C735"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0.050</w:t>
            </w:r>
          </w:p>
        </w:tc>
        <w:tc>
          <w:tcPr>
            <w:tcW w:w="105" w:type="dxa"/>
            <w:tcBorders>
              <w:top w:val="nil"/>
              <w:left w:val="nil"/>
              <w:bottom w:val="nil"/>
              <w:right w:val="single" w:sz="4" w:space="0" w:color="FFFFFF"/>
            </w:tcBorders>
            <w:shd w:val="clear" w:color="auto" w:fill="auto"/>
            <w:noWrap/>
            <w:vAlign w:val="bottom"/>
            <w:hideMark/>
          </w:tcPr>
          <w:p w14:paraId="6AA80934"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6F2B5E4F" w14:textId="77777777" w:rsidTr="00DA7109">
        <w:trPr>
          <w:trHeight w:val="360"/>
          <w:jc w:val="center"/>
        </w:trPr>
        <w:tc>
          <w:tcPr>
            <w:tcW w:w="1790" w:type="dxa"/>
            <w:tcBorders>
              <w:top w:val="nil"/>
              <w:left w:val="nil"/>
              <w:bottom w:val="nil"/>
              <w:right w:val="single" w:sz="4" w:space="0" w:color="auto"/>
            </w:tcBorders>
            <w:shd w:val="clear" w:color="auto" w:fill="auto"/>
            <w:vAlign w:val="bottom"/>
            <w:hideMark/>
          </w:tcPr>
          <w:p w14:paraId="08B67887"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N</w:t>
            </w:r>
          </w:p>
        </w:tc>
        <w:tc>
          <w:tcPr>
            <w:tcW w:w="1088" w:type="dxa"/>
            <w:gridSpan w:val="2"/>
            <w:tcBorders>
              <w:top w:val="nil"/>
              <w:left w:val="nil"/>
              <w:bottom w:val="nil"/>
              <w:right w:val="nil"/>
            </w:tcBorders>
            <w:shd w:val="clear" w:color="auto" w:fill="auto"/>
            <w:noWrap/>
            <w:vAlign w:val="bottom"/>
            <w:hideMark/>
          </w:tcPr>
          <w:p w14:paraId="5B3A8731"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381</w:t>
            </w:r>
          </w:p>
        </w:tc>
        <w:tc>
          <w:tcPr>
            <w:tcW w:w="100" w:type="dxa"/>
            <w:tcBorders>
              <w:top w:val="nil"/>
              <w:left w:val="nil"/>
              <w:bottom w:val="nil"/>
              <w:right w:val="nil"/>
            </w:tcBorders>
            <w:shd w:val="clear" w:color="auto" w:fill="auto"/>
            <w:noWrap/>
            <w:vAlign w:val="bottom"/>
            <w:hideMark/>
          </w:tcPr>
          <w:p w14:paraId="6F614CD2" w14:textId="77777777" w:rsidR="00DA7109" w:rsidRPr="00DA7109" w:rsidRDefault="00DA7109" w:rsidP="00DA7109">
            <w:pPr>
              <w:jc w:val="center"/>
              <w:rPr>
                <w:rFonts w:eastAsia="Times New Roman"/>
                <w:sz w:val="22"/>
                <w:szCs w:val="22"/>
                <w:lang w:val="de-DE" w:eastAsia="de-DE"/>
              </w:rPr>
            </w:pPr>
          </w:p>
        </w:tc>
        <w:tc>
          <w:tcPr>
            <w:tcW w:w="1082" w:type="dxa"/>
            <w:gridSpan w:val="2"/>
            <w:tcBorders>
              <w:top w:val="nil"/>
              <w:left w:val="nil"/>
              <w:bottom w:val="nil"/>
              <w:right w:val="nil"/>
            </w:tcBorders>
            <w:shd w:val="clear" w:color="auto" w:fill="auto"/>
            <w:noWrap/>
            <w:vAlign w:val="bottom"/>
            <w:hideMark/>
          </w:tcPr>
          <w:p w14:paraId="02CD1552"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381</w:t>
            </w:r>
          </w:p>
        </w:tc>
        <w:tc>
          <w:tcPr>
            <w:tcW w:w="106" w:type="dxa"/>
            <w:tcBorders>
              <w:top w:val="nil"/>
              <w:left w:val="nil"/>
              <w:bottom w:val="nil"/>
              <w:right w:val="single" w:sz="4" w:space="0" w:color="auto"/>
            </w:tcBorders>
            <w:shd w:val="clear" w:color="auto" w:fill="auto"/>
            <w:noWrap/>
            <w:vAlign w:val="bottom"/>
            <w:hideMark/>
          </w:tcPr>
          <w:p w14:paraId="10B7962D"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1077" w:type="dxa"/>
            <w:gridSpan w:val="2"/>
            <w:tcBorders>
              <w:top w:val="nil"/>
              <w:left w:val="nil"/>
              <w:bottom w:val="nil"/>
              <w:right w:val="nil"/>
            </w:tcBorders>
            <w:shd w:val="clear" w:color="auto" w:fill="auto"/>
            <w:noWrap/>
            <w:vAlign w:val="bottom"/>
            <w:hideMark/>
          </w:tcPr>
          <w:p w14:paraId="6E08F658"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381</w:t>
            </w:r>
          </w:p>
        </w:tc>
        <w:tc>
          <w:tcPr>
            <w:tcW w:w="100" w:type="dxa"/>
            <w:tcBorders>
              <w:top w:val="nil"/>
              <w:left w:val="nil"/>
              <w:bottom w:val="nil"/>
              <w:right w:val="nil"/>
            </w:tcBorders>
            <w:shd w:val="clear" w:color="auto" w:fill="auto"/>
            <w:noWrap/>
            <w:vAlign w:val="bottom"/>
            <w:hideMark/>
          </w:tcPr>
          <w:p w14:paraId="68DF6F13" w14:textId="77777777" w:rsidR="00DA7109" w:rsidRPr="00DA7109" w:rsidRDefault="00DA7109" w:rsidP="00DA7109">
            <w:pPr>
              <w:jc w:val="center"/>
              <w:rPr>
                <w:rFonts w:eastAsia="Times New Roman"/>
                <w:sz w:val="22"/>
                <w:szCs w:val="22"/>
                <w:lang w:val="de-DE" w:eastAsia="de-DE"/>
              </w:rPr>
            </w:pPr>
          </w:p>
        </w:tc>
        <w:tc>
          <w:tcPr>
            <w:tcW w:w="1072" w:type="dxa"/>
            <w:gridSpan w:val="2"/>
            <w:tcBorders>
              <w:top w:val="nil"/>
              <w:left w:val="nil"/>
              <w:bottom w:val="nil"/>
              <w:right w:val="nil"/>
            </w:tcBorders>
            <w:shd w:val="clear" w:color="auto" w:fill="auto"/>
            <w:noWrap/>
            <w:vAlign w:val="bottom"/>
            <w:hideMark/>
          </w:tcPr>
          <w:p w14:paraId="5EB51553"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381</w:t>
            </w:r>
          </w:p>
        </w:tc>
        <w:tc>
          <w:tcPr>
            <w:tcW w:w="105" w:type="dxa"/>
            <w:tcBorders>
              <w:top w:val="nil"/>
              <w:left w:val="nil"/>
              <w:bottom w:val="nil"/>
              <w:right w:val="nil"/>
            </w:tcBorders>
            <w:shd w:val="clear" w:color="auto" w:fill="auto"/>
            <w:noWrap/>
            <w:vAlign w:val="bottom"/>
            <w:hideMark/>
          </w:tcPr>
          <w:p w14:paraId="640000CB" w14:textId="77777777" w:rsidR="00DA7109" w:rsidRPr="00DA7109" w:rsidRDefault="00DA7109" w:rsidP="00DA7109">
            <w:pPr>
              <w:jc w:val="center"/>
              <w:rPr>
                <w:rFonts w:eastAsia="Times New Roman"/>
                <w:sz w:val="22"/>
                <w:szCs w:val="22"/>
                <w:lang w:val="de-DE" w:eastAsia="de-DE"/>
              </w:rPr>
            </w:pPr>
          </w:p>
        </w:tc>
      </w:tr>
      <w:tr w:rsidR="00DA7109" w:rsidRPr="00DA7109" w14:paraId="54954905" w14:textId="77777777" w:rsidTr="00DA7109">
        <w:trPr>
          <w:trHeight w:val="270"/>
          <w:jc w:val="center"/>
        </w:trPr>
        <w:tc>
          <w:tcPr>
            <w:tcW w:w="1790" w:type="dxa"/>
            <w:tcBorders>
              <w:top w:val="nil"/>
              <w:left w:val="nil"/>
              <w:bottom w:val="nil"/>
              <w:right w:val="nil"/>
            </w:tcBorders>
            <w:shd w:val="clear" w:color="auto" w:fill="auto"/>
            <w:vAlign w:val="bottom"/>
            <w:hideMark/>
          </w:tcPr>
          <w:p w14:paraId="6DCDF27C" w14:textId="77777777" w:rsidR="00DA7109" w:rsidRPr="00DA7109" w:rsidRDefault="00DA7109" w:rsidP="00DA7109">
            <w:pPr>
              <w:rPr>
                <w:rFonts w:eastAsia="Times New Roman"/>
                <w:lang w:val="de-DE" w:eastAsia="de-DE"/>
              </w:rPr>
            </w:pPr>
          </w:p>
        </w:tc>
        <w:tc>
          <w:tcPr>
            <w:tcW w:w="728" w:type="dxa"/>
            <w:tcBorders>
              <w:top w:val="nil"/>
              <w:left w:val="nil"/>
              <w:bottom w:val="nil"/>
              <w:right w:val="nil"/>
            </w:tcBorders>
            <w:shd w:val="clear" w:color="auto" w:fill="auto"/>
            <w:vAlign w:val="bottom"/>
            <w:hideMark/>
          </w:tcPr>
          <w:p w14:paraId="10DC6D92" w14:textId="77777777" w:rsidR="00DA7109" w:rsidRPr="00DA7109" w:rsidRDefault="00DA7109" w:rsidP="00DA7109">
            <w:pPr>
              <w:rPr>
                <w:rFonts w:eastAsia="Times New Roman"/>
                <w:lang w:val="de-DE" w:eastAsia="de-DE"/>
              </w:rPr>
            </w:pPr>
          </w:p>
        </w:tc>
        <w:tc>
          <w:tcPr>
            <w:tcW w:w="360" w:type="dxa"/>
            <w:tcBorders>
              <w:top w:val="nil"/>
              <w:left w:val="nil"/>
              <w:bottom w:val="nil"/>
              <w:right w:val="nil"/>
            </w:tcBorders>
            <w:shd w:val="clear" w:color="auto" w:fill="auto"/>
            <w:vAlign w:val="bottom"/>
            <w:hideMark/>
          </w:tcPr>
          <w:p w14:paraId="73642A84" w14:textId="77777777" w:rsidR="00DA7109" w:rsidRPr="00DA7109" w:rsidRDefault="00DA7109" w:rsidP="00DA7109">
            <w:pPr>
              <w:rPr>
                <w:rFonts w:eastAsia="Times New Roman"/>
                <w:lang w:val="de-DE" w:eastAsia="de-DE"/>
              </w:rPr>
            </w:pPr>
          </w:p>
        </w:tc>
        <w:tc>
          <w:tcPr>
            <w:tcW w:w="100" w:type="dxa"/>
            <w:tcBorders>
              <w:top w:val="nil"/>
              <w:left w:val="nil"/>
              <w:bottom w:val="nil"/>
              <w:right w:val="nil"/>
            </w:tcBorders>
            <w:shd w:val="clear" w:color="auto" w:fill="auto"/>
            <w:vAlign w:val="bottom"/>
            <w:hideMark/>
          </w:tcPr>
          <w:p w14:paraId="64BFF7CC" w14:textId="77777777" w:rsidR="00DA7109" w:rsidRPr="00DA7109" w:rsidRDefault="00DA7109" w:rsidP="00DA7109">
            <w:pPr>
              <w:rPr>
                <w:rFonts w:eastAsia="Times New Roman"/>
                <w:lang w:val="de-DE" w:eastAsia="de-DE"/>
              </w:rPr>
            </w:pPr>
          </w:p>
        </w:tc>
        <w:tc>
          <w:tcPr>
            <w:tcW w:w="722" w:type="dxa"/>
            <w:tcBorders>
              <w:top w:val="nil"/>
              <w:left w:val="nil"/>
              <w:bottom w:val="nil"/>
              <w:right w:val="nil"/>
            </w:tcBorders>
            <w:shd w:val="clear" w:color="auto" w:fill="auto"/>
            <w:vAlign w:val="bottom"/>
            <w:hideMark/>
          </w:tcPr>
          <w:p w14:paraId="3392320A" w14:textId="77777777" w:rsidR="00DA7109" w:rsidRPr="00DA7109" w:rsidRDefault="00DA7109" w:rsidP="00DA7109">
            <w:pPr>
              <w:rPr>
                <w:rFonts w:eastAsia="Times New Roman"/>
                <w:lang w:val="de-DE" w:eastAsia="de-DE"/>
              </w:rPr>
            </w:pPr>
          </w:p>
        </w:tc>
        <w:tc>
          <w:tcPr>
            <w:tcW w:w="360" w:type="dxa"/>
            <w:tcBorders>
              <w:top w:val="nil"/>
              <w:left w:val="nil"/>
              <w:bottom w:val="nil"/>
              <w:right w:val="nil"/>
            </w:tcBorders>
            <w:shd w:val="clear" w:color="auto" w:fill="auto"/>
            <w:vAlign w:val="bottom"/>
            <w:hideMark/>
          </w:tcPr>
          <w:p w14:paraId="0A9676D0" w14:textId="77777777" w:rsidR="00DA7109" w:rsidRPr="00DA7109" w:rsidRDefault="00DA7109" w:rsidP="00DA7109">
            <w:pPr>
              <w:rPr>
                <w:rFonts w:eastAsia="Times New Roman"/>
                <w:lang w:val="de-DE" w:eastAsia="de-DE"/>
              </w:rPr>
            </w:pPr>
          </w:p>
        </w:tc>
        <w:tc>
          <w:tcPr>
            <w:tcW w:w="106" w:type="dxa"/>
            <w:tcBorders>
              <w:top w:val="nil"/>
              <w:left w:val="nil"/>
              <w:bottom w:val="nil"/>
              <w:right w:val="nil"/>
            </w:tcBorders>
            <w:shd w:val="clear" w:color="auto" w:fill="auto"/>
            <w:vAlign w:val="bottom"/>
            <w:hideMark/>
          </w:tcPr>
          <w:p w14:paraId="4958C07C" w14:textId="77777777" w:rsidR="00DA7109" w:rsidRPr="00DA7109" w:rsidRDefault="00DA7109" w:rsidP="00DA7109">
            <w:pPr>
              <w:rPr>
                <w:rFonts w:eastAsia="Times New Roman"/>
                <w:lang w:val="de-DE" w:eastAsia="de-DE"/>
              </w:rPr>
            </w:pPr>
          </w:p>
        </w:tc>
        <w:tc>
          <w:tcPr>
            <w:tcW w:w="717" w:type="dxa"/>
            <w:tcBorders>
              <w:top w:val="nil"/>
              <w:left w:val="nil"/>
              <w:bottom w:val="nil"/>
              <w:right w:val="nil"/>
            </w:tcBorders>
            <w:shd w:val="clear" w:color="auto" w:fill="auto"/>
            <w:vAlign w:val="bottom"/>
            <w:hideMark/>
          </w:tcPr>
          <w:p w14:paraId="6CDD345A" w14:textId="77777777" w:rsidR="00DA7109" w:rsidRPr="00DA7109" w:rsidRDefault="00DA7109" w:rsidP="00DA7109">
            <w:pPr>
              <w:rPr>
                <w:rFonts w:eastAsia="Times New Roman"/>
                <w:lang w:val="de-DE" w:eastAsia="de-DE"/>
              </w:rPr>
            </w:pPr>
          </w:p>
        </w:tc>
        <w:tc>
          <w:tcPr>
            <w:tcW w:w="360" w:type="dxa"/>
            <w:tcBorders>
              <w:top w:val="nil"/>
              <w:left w:val="nil"/>
              <w:bottom w:val="nil"/>
              <w:right w:val="nil"/>
            </w:tcBorders>
            <w:shd w:val="clear" w:color="auto" w:fill="auto"/>
            <w:noWrap/>
            <w:vAlign w:val="center"/>
            <w:hideMark/>
          </w:tcPr>
          <w:p w14:paraId="7D2E62B1" w14:textId="77777777" w:rsidR="00DA7109" w:rsidRPr="00DA7109" w:rsidRDefault="00DA7109" w:rsidP="00DA7109">
            <w:pPr>
              <w:rPr>
                <w:rFonts w:eastAsia="Times New Roman"/>
                <w:lang w:val="de-DE" w:eastAsia="de-DE"/>
              </w:rPr>
            </w:pPr>
          </w:p>
        </w:tc>
        <w:tc>
          <w:tcPr>
            <w:tcW w:w="100" w:type="dxa"/>
            <w:tcBorders>
              <w:top w:val="nil"/>
              <w:left w:val="nil"/>
              <w:bottom w:val="nil"/>
              <w:right w:val="nil"/>
            </w:tcBorders>
            <w:shd w:val="clear" w:color="auto" w:fill="auto"/>
            <w:noWrap/>
            <w:vAlign w:val="center"/>
            <w:hideMark/>
          </w:tcPr>
          <w:p w14:paraId="778D2632" w14:textId="77777777" w:rsidR="00DA7109" w:rsidRPr="00DA7109" w:rsidRDefault="00DA7109" w:rsidP="00DA7109">
            <w:pPr>
              <w:rPr>
                <w:rFonts w:eastAsia="Times New Roman"/>
                <w:lang w:val="de-DE" w:eastAsia="de-DE"/>
              </w:rPr>
            </w:pPr>
          </w:p>
        </w:tc>
        <w:tc>
          <w:tcPr>
            <w:tcW w:w="712" w:type="dxa"/>
            <w:tcBorders>
              <w:top w:val="nil"/>
              <w:left w:val="nil"/>
              <w:bottom w:val="nil"/>
              <w:right w:val="nil"/>
            </w:tcBorders>
            <w:shd w:val="clear" w:color="auto" w:fill="auto"/>
            <w:noWrap/>
            <w:vAlign w:val="center"/>
            <w:hideMark/>
          </w:tcPr>
          <w:p w14:paraId="7CFF3CC7" w14:textId="77777777" w:rsidR="00DA7109" w:rsidRPr="00DA7109" w:rsidRDefault="00DA7109" w:rsidP="00DA7109">
            <w:pPr>
              <w:rPr>
                <w:rFonts w:eastAsia="Times New Roman"/>
                <w:lang w:val="de-DE" w:eastAsia="de-DE"/>
              </w:rPr>
            </w:pPr>
          </w:p>
        </w:tc>
        <w:tc>
          <w:tcPr>
            <w:tcW w:w="360" w:type="dxa"/>
            <w:tcBorders>
              <w:top w:val="nil"/>
              <w:left w:val="nil"/>
              <w:bottom w:val="nil"/>
              <w:right w:val="nil"/>
            </w:tcBorders>
            <w:shd w:val="clear" w:color="auto" w:fill="auto"/>
            <w:noWrap/>
            <w:vAlign w:val="center"/>
            <w:hideMark/>
          </w:tcPr>
          <w:p w14:paraId="66CB9ECB" w14:textId="77777777" w:rsidR="00DA7109" w:rsidRPr="00DA7109" w:rsidRDefault="00DA7109" w:rsidP="00DA7109">
            <w:pPr>
              <w:rPr>
                <w:rFonts w:eastAsia="Times New Roman"/>
                <w:lang w:val="de-DE" w:eastAsia="de-DE"/>
              </w:rPr>
            </w:pPr>
          </w:p>
        </w:tc>
        <w:tc>
          <w:tcPr>
            <w:tcW w:w="105" w:type="dxa"/>
            <w:tcBorders>
              <w:top w:val="nil"/>
              <w:left w:val="nil"/>
              <w:bottom w:val="nil"/>
              <w:right w:val="nil"/>
            </w:tcBorders>
            <w:shd w:val="clear" w:color="auto" w:fill="auto"/>
            <w:noWrap/>
            <w:vAlign w:val="center"/>
            <w:hideMark/>
          </w:tcPr>
          <w:p w14:paraId="2C97BF5E" w14:textId="77777777" w:rsidR="00DA7109" w:rsidRPr="00DA7109" w:rsidRDefault="00DA7109" w:rsidP="00DA7109">
            <w:pPr>
              <w:rPr>
                <w:rFonts w:eastAsia="Times New Roman"/>
                <w:lang w:val="de-DE" w:eastAsia="de-DE"/>
              </w:rPr>
            </w:pPr>
          </w:p>
        </w:tc>
      </w:tr>
      <w:tr w:rsidR="00DA7109" w:rsidRPr="00DA7109" w14:paraId="0E857B10" w14:textId="77777777" w:rsidTr="00DA7109">
        <w:trPr>
          <w:trHeight w:val="390"/>
          <w:jc w:val="center"/>
        </w:trPr>
        <w:tc>
          <w:tcPr>
            <w:tcW w:w="6520" w:type="dxa"/>
            <w:gridSpan w:val="13"/>
            <w:tcBorders>
              <w:top w:val="nil"/>
              <w:left w:val="single" w:sz="4" w:space="0" w:color="FFFFFF"/>
              <w:bottom w:val="single" w:sz="4" w:space="0" w:color="auto"/>
              <w:right w:val="single" w:sz="4" w:space="0" w:color="FFFFFF"/>
            </w:tcBorders>
            <w:shd w:val="clear" w:color="auto" w:fill="auto"/>
            <w:noWrap/>
            <w:vAlign w:val="center"/>
            <w:hideMark/>
          </w:tcPr>
          <w:p w14:paraId="7E1F36C7" w14:textId="77777777" w:rsidR="00DA7109" w:rsidRPr="00DA7109" w:rsidRDefault="00DA7109" w:rsidP="00DA7109">
            <w:pPr>
              <w:rPr>
                <w:rFonts w:eastAsia="Times New Roman"/>
                <w:b/>
                <w:bCs/>
                <w:sz w:val="24"/>
                <w:szCs w:val="24"/>
                <w:lang w:eastAsia="de-DE"/>
              </w:rPr>
            </w:pPr>
            <w:r w:rsidRPr="00DA7109">
              <w:rPr>
                <w:rFonts w:eastAsia="Times New Roman"/>
                <w:b/>
                <w:bCs/>
                <w:sz w:val="24"/>
                <w:szCs w:val="24"/>
                <w:lang w:eastAsia="de-DE"/>
              </w:rPr>
              <w:t>Panel B: Low Liquidity Sessions</w:t>
            </w:r>
          </w:p>
        </w:tc>
      </w:tr>
      <w:tr w:rsidR="00DA7109" w:rsidRPr="00DA7109" w14:paraId="097EDE6A" w14:textId="77777777" w:rsidTr="00DA7109">
        <w:trPr>
          <w:trHeight w:val="230"/>
          <w:jc w:val="center"/>
        </w:trPr>
        <w:tc>
          <w:tcPr>
            <w:tcW w:w="1790" w:type="dxa"/>
            <w:vMerge w:val="restart"/>
            <w:tcBorders>
              <w:top w:val="nil"/>
              <w:left w:val="single" w:sz="4" w:space="0" w:color="FFFFFF"/>
              <w:bottom w:val="single" w:sz="4" w:space="0" w:color="000000"/>
              <w:right w:val="single" w:sz="4" w:space="0" w:color="auto"/>
            </w:tcBorders>
            <w:shd w:val="clear" w:color="auto" w:fill="auto"/>
            <w:noWrap/>
            <w:vAlign w:val="center"/>
            <w:hideMark/>
          </w:tcPr>
          <w:p w14:paraId="31CED793" w14:textId="77777777" w:rsidR="00DA7109" w:rsidRPr="00DA7109" w:rsidRDefault="00DA7109" w:rsidP="00DA7109">
            <w:pPr>
              <w:rPr>
                <w:rFonts w:eastAsia="Times New Roman"/>
                <w:lang w:val="de-DE" w:eastAsia="de-DE"/>
              </w:rPr>
            </w:pPr>
            <w:proofErr w:type="spellStart"/>
            <w:r w:rsidRPr="00DA7109">
              <w:rPr>
                <w:rFonts w:eastAsia="Times New Roman"/>
                <w:lang w:val="de-DE" w:eastAsia="de-DE"/>
              </w:rPr>
              <w:t>dependent</w:t>
            </w:r>
            <w:proofErr w:type="spellEnd"/>
            <w:r w:rsidRPr="00DA7109">
              <w:rPr>
                <w:rFonts w:eastAsia="Times New Roman"/>
                <w:lang w:val="de-DE" w:eastAsia="de-DE"/>
              </w:rPr>
              <w:t xml:space="preserve"> variables</w:t>
            </w:r>
          </w:p>
        </w:tc>
        <w:tc>
          <w:tcPr>
            <w:tcW w:w="2376" w:type="dxa"/>
            <w:gridSpan w:val="6"/>
            <w:vMerge w:val="restart"/>
            <w:tcBorders>
              <w:top w:val="nil"/>
              <w:left w:val="single" w:sz="4" w:space="0" w:color="auto"/>
              <w:bottom w:val="single" w:sz="4" w:space="0" w:color="000000"/>
              <w:right w:val="single" w:sz="4" w:space="0" w:color="000000"/>
            </w:tcBorders>
            <w:shd w:val="clear" w:color="auto" w:fill="auto"/>
            <w:noWrap/>
            <w:vAlign w:val="center"/>
            <w:hideMark/>
          </w:tcPr>
          <w:p w14:paraId="6730F62C" w14:textId="77777777" w:rsidR="00DA7109" w:rsidRPr="00DA7109" w:rsidRDefault="00DA7109" w:rsidP="00DA7109">
            <w:pPr>
              <w:jc w:val="center"/>
              <w:rPr>
                <w:rFonts w:eastAsia="Times New Roman"/>
                <w:i/>
                <w:iCs/>
                <w:sz w:val="22"/>
                <w:szCs w:val="22"/>
                <w:lang w:val="de-DE" w:eastAsia="de-DE"/>
              </w:rPr>
            </w:pPr>
            <w:proofErr w:type="spellStart"/>
            <w:r w:rsidRPr="00DA7109">
              <w:rPr>
                <w:rFonts w:eastAsia="Times New Roman"/>
                <w:i/>
                <w:iCs/>
                <w:sz w:val="22"/>
                <w:szCs w:val="22"/>
                <w:lang w:val="de-DE" w:eastAsia="de-DE"/>
              </w:rPr>
              <w:t>Abs</w:t>
            </w:r>
            <w:proofErr w:type="spellEnd"/>
            <w:r w:rsidRPr="00DA7109">
              <w:rPr>
                <w:rFonts w:eastAsia="Times New Roman"/>
                <w:i/>
                <w:iCs/>
                <w:sz w:val="22"/>
                <w:szCs w:val="22"/>
                <w:lang w:val="de-DE" w:eastAsia="de-DE"/>
              </w:rPr>
              <w:t>(EP-P)/P</w:t>
            </w:r>
          </w:p>
        </w:tc>
        <w:tc>
          <w:tcPr>
            <w:tcW w:w="2354" w:type="dxa"/>
            <w:gridSpan w:val="6"/>
            <w:vMerge w:val="restart"/>
            <w:tcBorders>
              <w:top w:val="nil"/>
              <w:left w:val="nil"/>
              <w:bottom w:val="single" w:sz="4" w:space="0" w:color="000000"/>
              <w:right w:val="single" w:sz="4" w:space="0" w:color="FFFFFF"/>
            </w:tcBorders>
            <w:shd w:val="clear" w:color="auto" w:fill="auto"/>
            <w:noWrap/>
            <w:vAlign w:val="center"/>
            <w:hideMark/>
          </w:tcPr>
          <w:p w14:paraId="5C60D2AB" w14:textId="77777777" w:rsidR="00DA7109" w:rsidRPr="00DA7109" w:rsidRDefault="00DA7109" w:rsidP="00DA7109">
            <w:pPr>
              <w:jc w:val="center"/>
              <w:rPr>
                <w:rFonts w:eastAsia="Times New Roman"/>
                <w:i/>
                <w:iCs/>
                <w:sz w:val="22"/>
                <w:szCs w:val="22"/>
                <w:lang w:val="de-DE" w:eastAsia="de-DE"/>
              </w:rPr>
            </w:pPr>
            <w:proofErr w:type="spellStart"/>
            <w:r w:rsidRPr="00DA7109">
              <w:rPr>
                <w:rFonts w:eastAsia="Times New Roman"/>
                <w:i/>
                <w:iCs/>
                <w:sz w:val="22"/>
                <w:szCs w:val="22"/>
                <w:lang w:val="de-DE" w:eastAsia="de-DE"/>
              </w:rPr>
              <w:t>Abs</w:t>
            </w:r>
            <w:proofErr w:type="spellEnd"/>
            <w:r w:rsidRPr="00DA7109">
              <w:rPr>
                <w:rFonts w:eastAsia="Times New Roman"/>
                <w:i/>
                <w:iCs/>
                <w:sz w:val="22"/>
                <w:szCs w:val="22"/>
                <w:lang w:val="de-DE" w:eastAsia="de-DE"/>
              </w:rPr>
              <w:t>(EP-P)/50</w:t>
            </w:r>
          </w:p>
        </w:tc>
      </w:tr>
      <w:tr w:rsidR="00DA7109" w:rsidRPr="00DA7109" w14:paraId="0F333DDE" w14:textId="77777777" w:rsidTr="00DA7109">
        <w:trPr>
          <w:trHeight w:val="230"/>
          <w:jc w:val="center"/>
        </w:trPr>
        <w:tc>
          <w:tcPr>
            <w:tcW w:w="1790" w:type="dxa"/>
            <w:vMerge/>
            <w:tcBorders>
              <w:top w:val="nil"/>
              <w:left w:val="single" w:sz="4" w:space="0" w:color="FFFFFF"/>
              <w:bottom w:val="single" w:sz="4" w:space="0" w:color="000000"/>
              <w:right w:val="single" w:sz="4" w:space="0" w:color="auto"/>
            </w:tcBorders>
            <w:vAlign w:val="center"/>
            <w:hideMark/>
          </w:tcPr>
          <w:p w14:paraId="63273863" w14:textId="77777777" w:rsidR="00DA7109" w:rsidRPr="00DA7109" w:rsidRDefault="00DA7109" w:rsidP="00DA7109">
            <w:pPr>
              <w:rPr>
                <w:rFonts w:eastAsia="Times New Roman"/>
                <w:lang w:val="de-DE" w:eastAsia="de-DE"/>
              </w:rPr>
            </w:pPr>
          </w:p>
        </w:tc>
        <w:tc>
          <w:tcPr>
            <w:tcW w:w="2376" w:type="dxa"/>
            <w:gridSpan w:val="6"/>
            <w:vMerge/>
            <w:tcBorders>
              <w:top w:val="nil"/>
              <w:left w:val="single" w:sz="4" w:space="0" w:color="auto"/>
              <w:bottom w:val="single" w:sz="4" w:space="0" w:color="000000"/>
              <w:right w:val="single" w:sz="4" w:space="0" w:color="000000"/>
            </w:tcBorders>
            <w:vAlign w:val="center"/>
            <w:hideMark/>
          </w:tcPr>
          <w:p w14:paraId="72AB0A6C" w14:textId="77777777" w:rsidR="00DA7109" w:rsidRPr="00DA7109" w:rsidRDefault="00DA7109" w:rsidP="00DA7109">
            <w:pPr>
              <w:rPr>
                <w:rFonts w:eastAsia="Times New Roman"/>
                <w:i/>
                <w:iCs/>
                <w:sz w:val="22"/>
                <w:szCs w:val="22"/>
                <w:lang w:val="de-DE" w:eastAsia="de-DE"/>
              </w:rPr>
            </w:pPr>
          </w:p>
        </w:tc>
        <w:tc>
          <w:tcPr>
            <w:tcW w:w="2354" w:type="dxa"/>
            <w:gridSpan w:val="6"/>
            <w:vMerge/>
            <w:tcBorders>
              <w:top w:val="nil"/>
              <w:left w:val="nil"/>
              <w:bottom w:val="single" w:sz="4" w:space="0" w:color="000000"/>
              <w:right w:val="single" w:sz="4" w:space="0" w:color="FFFFFF"/>
            </w:tcBorders>
            <w:vAlign w:val="center"/>
            <w:hideMark/>
          </w:tcPr>
          <w:p w14:paraId="26BBD6FC" w14:textId="77777777" w:rsidR="00DA7109" w:rsidRPr="00DA7109" w:rsidRDefault="00DA7109" w:rsidP="00DA7109">
            <w:pPr>
              <w:rPr>
                <w:rFonts w:eastAsia="Times New Roman"/>
                <w:i/>
                <w:iCs/>
                <w:sz w:val="22"/>
                <w:szCs w:val="22"/>
                <w:lang w:val="de-DE" w:eastAsia="de-DE"/>
              </w:rPr>
            </w:pPr>
          </w:p>
        </w:tc>
      </w:tr>
      <w:tr w:rsidR="00DA7109" w:rsidRPr="00DA7109" w14:paraId="2FF897FB" w14:textId="77777777" w:rsidTr="00DA7109">
        <w:trPr>
          <w:trHeight w:val="150"/>
          <w:jc w:val="center"/>
        </w:trPr>
        <w:tc>
          <w:tcPr>
            <w:tcW w:w="1790" w:type="dxa"/>
            <w:tcBorders>
              <w:top w:val="nil"/>
              <w:left w:val="single" w:sz="4" w:space="0" w:color="FFFFFF"/>
              <w:bottom w:val="single" w:sz="4" w:space="0" w:color="FFFFFF"/>
              <w:right w:val="single" w:sz="4" w:space="0" w:color="auto"/>
            </w:tcBorders>
            <w:shd w:val="clear" w:color="auto" w:fill="auto"/>
            <w:noWrap/>
            <w:vAlign w:val="bottom"/>
            <w:hideMark/>
          </w:tcPr>
          <w:p w14:paraId="3BD92997" w14:textId="77777777" w:rsidR="00DA7109" w:rsidRPr="00DA7109" w:rsidRDefault="00DA7109" w:rsidP="00DA7109">
            <w:pPr>
              <w:rPr>
                <w:rFonts w:eastAsia="Times New Roman"/>
                <w:lang w:val="de-DE" w:eastAsia="de-DE"/>
              </w:rPr>
            </w:pPr>
            <w:r w:rsidRPr="00DA7109">
              <w:rPr>
                <w:rFonts w:eastAsia="Times New Roman"/>
                <w:lang w:val="de-DE" w:eastAsia="de-DE"/>
              </w:rPr>
              <w:t> </w:t>
            </w:r>
          </w:p>
        </w:tc>
        <w:tc>
          <w:tcPr>
            <w:tcW w:w="728" w:type="dxa"/>
            <w:tcBorders>
              <w:top w:val="nil"/>
              <w:left w:val="nil"/>
              <w:bottom w:val="single" w:sz="4" w:space="0" w:color="FFFFFF"/>
              <w:right w:val="single" w:sz="4" w:space="0" w:color="FFFFFF"/>
            </w:tcBorders>
            <w:shd w:val="clear" w:color="auto" w:fill="auto"/>
            <w:vAlign w:val="bottom"/>
            <w:hideMark/>
          </w:tcPr>
          <w:p w14:paraId="151D6BB0"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360" w:type="dxa"/>
            <w:tcBorders>
              <w:top w:val="nil"/>
              <w:left w:val="nil"/>
              <w:bottom w:val="single" w:sz="4" w:space="0" w:color="FFFFFF"/>
              <w:right w:val="single" w:sz="4" w:space="0" w:color="FFFFFF"/>
            </w:tcBorders>
            <w:shd w:val="clear" w:color="auto" w:fill="auto"/>
            <w:vAlign w:val="bottom"/>
            <w:hideMark/>
          </w:tcPr>
          <w:p w14:paraId="24B8ECA5"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100" w:type="dxa"/>
            <w:tcBorders>
              <w:top w:val="nil"/>
              <w:left w:val="nil"/>
              <w:bottom w:val="single" w:sz="4" w:space="0" w:color="FFFFFF"/>
              <w:right w:val="single" w:sz="4" w:space="0" w:color="FFFFFF"/>
            </w:tcBorders>
            <w:shd w:val="clear" w:color="auto" w:fill="auto"/>
            <w:vAlign w:val="bottom"/>
            <w:hideMark/>
          </w:tcPr>
          <w:p w14:paraId="655B4823"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722" w:type="dxa"/>
            <w:tcBorders>
              <w:top w:val="nil"/>
              <w:left w:val="nil"/>
              <w:bottom w:val="single" w:sz="4" w:space="0" w:color="FFFFFF"/>
              <w:right w:val="single" w:sz="4" w:space="0" w:color="FFFFFF"/>
            </w:tcBorders>
            <w:shd w:val="clear" w:color="auto" w:fill="auto"/>
            <w:vAlign w:val="bottom"/>
            <w:hideMark/>
          </w:tcPr>
          <w:p w14:paraId="79EB4A84"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360" w:type="dxa"/>
            <w:tcBorders>
              <w:top w:val="nil"/>
              <w:left w:val="nil"/>
              <w:bottom w:val="single" w:sz="4" w:space="0" w:color="FFFFFF"/>
              <w:right w:val="single" w:sz="4" w:space="0" w:color="FFFFFF"/>
            </w:tcBorders>
            <w:shd w:val="clear" w:color="auto" w:fill="auto"/>
            <w:vAlign w:val="bottom"/>
            <w:hideMark/>
          </w:tcPr>
          <w:p w14:paraId="5296A80E"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106" w:type="dxa"/>
            <w:tcBorders>
              <w:top w:val="nil"/>
              <w:left w:val="nil"/>
              <w:bottom w:val="single" w:sz="4" w:space="0" w:color="FFFFFF"/>
              <w:right w:val="single" w:sz="4" w:space="0" w:color="auto"/>
            </w:tcBorders>
            <w:shd w:val="clear" w:color="auto" w:fill="auto"/>
            <w:vAlign w:val="bottom"/>
            <w:hideMark/>
          </w:tcPr>
          <w:p w14:paraId="78BA15E5"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717" w:type="dxa"/>
            <w:tcBorders>
              <w:top w:val="nil"/>
              <w:left w:val="nil"/>
              <w:bottom w:val="single" w:sz="4" w:space="0" w:color="FFFFFF"/>
              <w:right w:val="single" w:sz="4" w:space="0" w:color="FFFFFF"/>
            </w:tcBorders>
            <w:shd w:val="clear" w:color="auto" w:fill="auto"/>
            <w:vAlign w:val="bottom"/>
            <w:hideMark/>
          </w:tcPr>
          <w:p w14:paraId="15E6F937"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360" w:type="dxa"/>
            <w:tcBorders>
              <w:top w:val="nil"/>
              <w:left w:val="nil"/>
              <w:bottom w:val="single" w:sz="4" w:space="0" w:color="FFFFFF"/>
              <w:right w:val="single" w:sz="4" w:space="0" w:color="FFFFFF"/>
            </w:tcBorders>
            <w:shd w:val="clear" w:color="auto" w:fill="auto"/>
            <w:vAlign w:val="bottom"/>
            <w:hideMark/>
          </w:tcPr>
          <w:p w14:paraId="58F372BE"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100" w:type="dxa"/>
            <w:tcBorders>
              <w:top w:val="nil"/>
              <w:left w:val="nil"/>
              <w:bottom w:val="single" w:sz="4" w:space="0" w:color="FFFFFF"/>
              <w:right w:val="single" w:sz="4" w:space="0" w:color="FFFFFF"/>
            </w:tcBorders>
            <w:shd w:val="clear" w:color="auto" w:fill="auto"/>
            <w:vAlign w:val="bottom"/>
            <w:hideMark/>
          </w:tcPr>
          <w:p w14:paraId="0E85D2F8"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712" w:type="dxa"/>
            <w:tcBorders>
              <w:top w:val="nil"/>
              <w:left w:val="nil"/>
              <w:bottom w:val="single" w:sz="4" w:space="0" w:color="FFFFFF"/>
              <w:right w:val="single" w:sz="4" w:space="0" w:color="FFFFFF"/>
            </w:tcBorders>
            <w:shd w:val="clear" w:color="auto" w:fill="auto"/>
            <w:vAlign w:val="bottom"/>
            <w:hideMark/>
          </w:tcPr>
          <w:p w14:paraId="3EFB35CE"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360" w:type="dxa"/>
            <w:tcBorders>
              <w:top w:val="nil"/>
              <w:left w:val="nil"/>
              <w:bottom w:val="single" w:sz="4" w:space="0" w:color="FFFFFF"/>
              <w:right w:val="single" w:sz="4" w:space="0" w:color="FFFFFF"/>
            </w:tcBorders>
            <w:shd w:val="clear" w:color="auto" w:fill="auto"/>
            <w:vAlign w:val="bottom"/>
            <w:hideMark/>
          </w:tcPr>
          <w:p w14:paraId="464C0524"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c>
          <w:tcPr>
            <w:tcW w:w="105" w:type="dxa"/>
            <w:tcBorders>
              <w:top w:val="nil"/>
              <w:left w:val="nil"/>
              <w:bottom w:val="single" w:sz="4" w:space="0" w:color="FFFFFF"/>
              <w:right w:val="single" w:sz="4" w:space="0" w:color="FFFFFF"/>
            </w:tcBorders>
            <w:shd w:val="clear" w:color="auto" w:fill="auto"/>
            <w:vAlign w:val="bottom"/>
            <w:hideMark/>
          </w:tcPr>
          <w:p w14:paraId="6D6DFFBB" w14:textId="77777777" w:rsidR="00DA7109" w:rsidRPr="00DA7109" w:rsidRDefault="00DA7109" w:rsidP="00DA7109">
            <w:pPr>
              <w:jc w:val="center"/>
              <w:rPr>
                <w:rFonts w:eastAsia="Times New Roman"/>
                <w:lang w:val="de-DE" w:eastAsia="de-DE"/>
              </w:rPr>
            </w:pPr>
            <w:r w:rsidRPr="00DA7109">
              <w:rPr>
                <w:rFonts w:eastAsia="Times New Roman"/>
                <w:lang w:val="de-DE" w:eastAsia="de-DE"/>
              </w:rPr>
              <w:t> </w:t>
            </w:r>
          </w:p>
        </w:tc>
      </w:tr>
      <w:tr w:rsidR="00DA7109" w:rsidRPr="00DA7109" w14:paraId="58E0D870" w14:textId="77777777" w:rsidTr="00DA7109">
        <w:trPr>
          <w:trHeight w:val="360"/>
          <w:jc w:val="center"/>
        </w:trPr>
        <w:tc>
          <w:tcPr>
            <w:tcW w:w="1790" w:type="dxa"/>
            <w:vMerge w:val="restart"/>
            <w:tcBorders>
              <w:top w:val="nil"/>
              <w:left w:val="single" w:sz="4" w:space="0" w:color="FFFFFF"/>
              <w:bottom w:val="single" w:sz="4" w:space="0" w:color="FFFFFF"/>
              <w:right w:val="single" w:sz="4" w:space="0" w:color="auto"/>
            </w:tcBorders>
            <w:shd w:val="clear" w:color="auto" w:fill="auto"/>
            <w:vAlign w:val="center"/>
            <w:hideMark/>
          </w:tcPr>
          <w:p w14:paraId="6EEB3326" w14:textId="77777777" w:rsidR="00DA7109" w:rsidRPr="00DA7109" w:rsidRDefault="00DA7109" w:rsidP="00DA7109">
            <w:pPr>
              <w:rPr>
                <w:rFonts w:eastAsia="Times New Roman"/>
                <w:i/>
                <w:iCs/>
                <w:sz w:val="22"/>
                <w:szCs w:val="22"/>
                <w:lang w:val="de-DE" w:eastAsia="de-DE"/>
              </w:rPr>
            </w:pPr>
            <w:proofErr w:type="spellStart"/>
            <w:r w:rsidRPr="00DA7109">
              <w:rPr>
                <w:rFonts w:eastAsia="Times New Roman"/>
                <w:i/>
                <w:iCs/>
                <w:sz w:val="22"/>
                <w:szCs w:val="22"/>
                <w:lang w:val="de-DE" w:eastAsia="de-DE"/>
              </w:rPr>
              <w:t>Intercept</w:t>
            </w:r>
            <w:proofErr w:type="spellEnd"/>
          </w:p>
        </w:tc>
        <w:tc>
          <w:tcPr>
            <w:tcW w:w="728" w:type="dxa"/>
            <w:tcBorders>
              <w:top w:val="nil"/>
              <w:left w:val="nil"/>
              <w:bottom w:val="single" w:sz="4" w:space="0" w:color="FFFFFF"/>
              <w:right w:val="single" w:sz="4" w:space="0" w:color="FFFFFF"/>
            </w:tcBorders>
            <w:shd w:val="clear" w:color="auto" w:fill="auto"/>
            <w:noWrap/>
            <w:vAlign w:val="bottom"/>
            <w:hideMark/>
          </w:tcPr>
          <w:p w14:paraId="50163722"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0.224</w:t>
            </w:r>
          </w:p>
        </w:tc>
        <w:tc>
          <w:tcPr>
            <w:tcW w:w="360" w:type="dxa"/>
            <w:tcBorders>
              <w:top w:val="nil"/>
              <w:left w:val="nil"/>
              <w:bottom w:val="single" w:sz="4" w:space="0" w:color="FFFFFF"/>
              <w:right w:val="single" w:sz="4" w:space="0" w:color="FFFFFF"/>
            </w:tcBorders>
            <w:shd w:val="clear" w:color="auto" w:fill="auto"/>
            <w:noWrap/>
            <w:vAlign w:val="bottom"/>
            <w:hideMark/>
          </w:tcPr>
          <w:p w14:paraId="7F4DF6C7"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0" w:type="dxa"/>
            <w:tcBorders>
              <w:top w:val="nil"/>
              <w:left w:val="nil"/>
              <w:bottom w:val="single" w:sz="4" w:space="0" w:color="FFFFFF"/>
              <w:right w:val="single" w:sz="4" w:space="0" w:color="FFFFFF"/>
            </w:tcBorders>
            <w:shd w:val="clear" w:color="auto" w:fill="auto"/>
            <w:noWrap/>
            <w:vAlign w:val="bottom"/>
            <w:hideMark/>
          </w:tcPr>
          <w:p w14:paraId="6D0131EB"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single" w:sz="4" w:space="0" w:color="FFFFFF"/>
            </w:tcBorders>
            <w:shd w:val="clear" w:color="auto" w:fill="auto"/>
            <w:noWrap/>
            <w:vAlign w:val="bottom"/>
            <w:hideMark/>
          </w:tcPr>
          <w:p w14:paraId="61E4E780"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0.184</w:t>
            </w:r>
          </w:p>
        </w:tc>
        <w:tc>
          <w:tcPr>
            <w:tcW w:w="360" w:type="dxa"/>
            <w:tcBorders>
              <w:top w:val="nil"/>
              <w:left w:val="nil"/>
              <w:bottom w:val="single" w:sz="4" w:space="0" w:color="FFFFFF"/>
              <w:right w:val="single" w:sz="4" w:space="0" w:color="FFFFFF"/>
            </w:tcBorders>
            <w:shd w:val="clear" w:color="auto" w:fill="auto"/>
            <w:noWrap/>
            <w:vAlign w:val="bottom"/>
            <w:hideMark/>
          </w:tcPr>
          <w:p w14:paraId="2591FF54"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6" w:type="dxa"/>
            <w:tcBorders>
              <w:top w:val="nil"/>
              <w:left w:val="nil"/>
              <w:bottom w:val="single" w:sz="4" w:space="0" w:color="FFFFFF"/>
              <w:right w:val="single" w:sz="4" w:space="0" w:color="auto"/>
            </w:tcBorders>
            <w:shd w:val="clear" w:color="auto" w:fill="auto"/>
            <w:noWrap/>
            <w:vAlign w:val="bottom"/>
            <w:hideMark/>
          </w:tcPr>
          <w:p w14:paraId="6CFD0D95"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vAlign w:val="bottom"/>
            <w:hideMark/>
          </w:tcPr>
          <w:p w14:paraId="42FF05B0"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0.106</w:t>
            </w:r>
          </w:p>
        </w:tc>
        <w:tc>
          <w:tcPr>
            <w:tcW w:w="360" w:type="dxa"/>
            <w:tcBorders>
              <w:top w:val="nil"/>
              <w:left w:val="nil"/>
              <w:bottom w:val="single" w:sz="4" w:space="0" w:color="FFFFFF"/>
              <w:right w:val="single" w:sz="4" w:space="0" w:color="FFFFFF"/>
            </w:tcBorders>
            <w:shd w:val="clear" w:color="auto" w:fill="auto"/>
            <w:noWrap/>
            <w:vAlign w:val="bottom"/>
            <w:hideMark/>
          </w:tcPr>
          <w:p w14:paraId="4C8A14D1"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0" w:type="dxa"/>
            <w:tcBorders>
              <w:top w:val="nil"/>
              <w:left w:val="nil"/>
              <w:bottom w:val="single" w:sz="4" w:space="0" w:color="FFFFFF"/>
              <w:right w:val="single" w:sz="4" w:space="0" w:color="FFFFFF"/>
            </w:tcBorders>
            <w:shd w:val="clear" w:color="auto" w:fill="auto"/>
            <w:noWrap/>
            <w:vAlign w:val="bottom"/>
            <w:hideMark/>
          </w:tcPr>
          <w:p w14:paraId="684D74A2"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vAlign w:val="bottom"/>
            <w:hideMark/>
          </w:tcPr>
          <w:p w14:paraId="7E805B77"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0.060</w:t>
            </w:r>
          </w:p>
        </w:tc>
        <w:tc>
          <w:tcPr>
            <w:tcW w:w="360" w:type="dxa"/>
            <w:tcBorders>
              <w:top w:val="nil"/>
              <w:left w:val="nil"/>
              <w:bottom w:val="single" w:sz="4" w:space="0" w:color="FFFFFF"/>
              <w:right w:val="single" w:sz="4" w:space="0" w:color="FFFFFF"/>
            </w:tcBorders>
            <w:shd w:val="clear" w:color="auto" w:fill="auto"/>
            <w:noWrap/>
            <w:vAlign w:val="bottom"/>
            <w:hideMark/>
          </w:tcPr>
          <w:p w14:paraId="1D41E4A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5" w:type="dxa"/>
            <w:tcBorders>
              <w:top w:val="nil"/>
              <w:left w:val="nil"/>
              <w:bottom w:val="single" w:sz="4" w:space="0" w:color="FFFFFF"/>
              <w:right w:val="single" w:sz="4" w:space="0" w:color="FFFFFF"/>
            </w:tcBorders>
            <w:shd w:val="clear" w:color="auto" w:fill="auto"/>
            <w:noWrap/>
            <w:vAlign w:val="bottom"/>
            <w:hideMark/>
          </w:tcPr>
          <w:p w14:paraId="03EDE7C3"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01256F11" w14:textId="77777777" w:rsidTr="00DA7109">
        <w:trPr>
          <w:trHeight w:val="360"/>
          <w:jc w:val="center"/>
        </w:trPr>
        <w:tc>
          <w:tcPr>
            <w:tcW w:w="1790" w:type="dxa"/>
            <w:vMerge/>
            <w:tcBorders>
              <w:top w:val="nil"/>
              <w:left w:val="single" w:sz="4" w:space="0" w:color="FFFFFF"/>
              <w:bottom w:val="single" w:sz="4" w:space="0" w:color="FFFFFF"/>
              <w:right w:val="single" w:sz="4" w:space="0" w:color="auto"/>
            </w:tcBorders>
            <w:vAlign w:val="center"/>
            <w:hideMark/>
          </w:tcPr>
          <w:p w14:paraId="44DC2E28" w14:textId="77777777" w:rsidR="00DA7109" w:rsidRPr="00DA7109" w:rsidRDefault="00DA7109" w:rsidP="00DA7109">
            <w:pPr>
              <w:rPr>
                <w:rFonts w:eastAsia="Times New Roman"/>
                <w:i/>
                <w:iCs/>
                <w:sz w:val="22"/>
                <w:szCs w:val="22"/>
                <w:lang w:val="de-DE" w:eastAsia="de-DE"/>
              </w:rPr>
            </w:pPr>
          </w:p>
        </w:tc>
        <w:tc>
          <w:tcPr>
            <w:tcW w:w="728" w:type="dxa"/>
            <w:tcBorders>
              <w:top w:val="nil"/>
              <w:left w:val="nil"/>
              <w:bottom w:val="single" w:sz="4" w:space="0" w:color="FFFFFF"/>
              <w:right w:val="single" w:sz="4" w:space="0" w:color="FFFFFF"/>
            </w:tcBorders>
            <w:shd w:val="clear" w:color="auto" w:fill="auto"/>
            <w:noWrap/>
            <w:hideMark/>
          </w:tcPr>
          <w:p w14:paraId="4DE39CD5"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(0.045)</w:t>
            </w:r>
          </w:p>
        </w:tc>
        <w:tc>
          <w:tcPr>
            <w:tcW w:w="360" w:type="dxa"/>
            <w:tcBorders>
              <w:top w:val="nil"/>
              <w:left w:val="nil"/>
              <w:bottom w:val="single" w:sz="4" w:space="0" w:color="FFFFFF"/>
              <w:right w:val="single" w:sz="4" w:space="0" w:color="FFFFFF"/>
            </w:tcBorders>
            <w:shd w:val="clear" w:color="auto" w:fill="auto"/>
            <w:noWrap/>
            <w:hideMark/>
          </w:tcPr>
          <w:p w14:paraId="30046B3A"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34924D5D"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single" w:sz="4" w:space="0" w:color="FFFFFF"/>
            </w:tcBorders>
            <w:shd w:val="clear" w:color="auto" w:fill="auto"/>
            <w:noWrap/>
            <w:hideMark/>
          </w:tcPr>
          <w:p w14:paraId="6BAEB296"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(0.051)</w:t>
            </w:r>
          </w:p>
        </w:tc>
        <w:tc>
          <w:tcPr>
            <w:tcW w:w="360" w:type="dxa"/>
            <w:tcBorders>
              <w:top w:val="nil"/>
              <w:left w:val="nil"/>
              <w:bottom w:val="single" w:sz="4" w:space="0" w:color="FFFFFF"/>
              <w:right w:val="single" w:sz="4" w:space="0" w:color="FFFFFF"/>
            </w:tcBorders>
            <w:shd w:val="clear" w:color="auto" w:fill="auto"/>
            <w:noWrap/>
            <w:hideMark/>
          </w:tcPr>
          <w:p w14:paraId="2806217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hideMark/>
          </w:tcPr>
          <w:p w14:paraId="0E3EF7E6"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20B8FD56"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(0.015)</w:t>
            </w:r>
          </w:p>
        </w:tc>
        <w:tc>
          <w:tcPr>
            <w:tcW w:w="360" w:type="dxa"/>
            <w:tcBorders>
              <w:top w:val="nil"/>
              <w:left w:val="nil"/>
              <w:bottom w:val="single" w:sz="4" w:space="0" w:color="FFFFFF"/>
              <w:right w:val="single" w:sz="4" w:space="0" w:color="FFFFFF"/>
            </w:tcBorders>
            <w:shd w:val="clear" w:color="auto" w:fill="auto"/>
            <w:noWrap/>
            <w:hideMark/>
          </w:tcPr>
          <w:p w14:paraId="73DB8A5B"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4857B527"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67CD68D1"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(0.014)</w:t>
            </w:r>
          </w:p>
        </w:tc>
        <w:tc>
          <w:tcPr>
            <w:tcW w:w="360" w:type="dxa"/>
            <w:tcBorders>
              <w:top w:val="nil"/>
              <w:left w:val="nil"/>
              <w:bottom w:val="single" w:sz="4" w:space="0" w:color="FFFFFF"/>
              <w:right w:val="single" w:sz="4" w:space="0" w:color="FFFFFF"/>
            </w:tcBorders>
            <w:shd w:val="clear" w:color="auto" w:fill="auto"/>
            <w:noWrap/>
            <w:hideMark/>
          </w:tcPr>
          <w:p w14:paraId="4E3AF6FC"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hideMark/>
          </w:tcPr>
          <w:p w14:paraId="47221250"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6BA58C44" w14:textId="77777777" w:rsidTr="00DA7109">
        <w:trPr>
          <w:trHeight w:val="150"/>
          <w:jc w:val="center"/>
        </w:trPr>
        <w:tc>
          <w:tcPr>
            <w:tcW w:w="1790" w:type="dxa"/>
            <w:tcBorders>
              <w:top w:val="nil"/>
              <w:left w:val="single" w:sz="4" w:space="0" w:color="FFFFFF"/>
              <w:bottom w:val="single" w:sz="4" w:space="0" w:color="FFFFFF"/>
              <w:right w:val="single" w:sz="4" w:space="0" w:color="auto"/>
            </w:tcBorders>
            <w:shd w:val="clear" w:color="auto" w:fill="auto"/>
            <w:vAlign w:val="center"/>
            <w:hideMark/>
          </w:tcPr>
          <w:p w14:paraId="14229726" w14:textId="77777777" w:rsidR="00DA7109" w:rsidRPr="00DA7109" w:rsidRDefault="00DA7109" w:rsidP="00DA7109">
            <w:pPr>
              <w:rPr>
                <w:rFonts w:eastAsia="Times New Roman"/>
                <w:i/>
                <w:iCs/>
                <w:sz w:val="22"/>
                <w:szCs w:val="22"/>
                <w:lang w:val="de-DE" w:eastAsia="de-DE"/>
              </w:rPr>
            </w:pPr>
            <w:r w:rsidRPr="00DA7109">
              <w:rPr>
                <w:rFonts w:eastAsia="Times New Roman"/>
                <w:i/>
                <w:iCs/>
                <w:sz w:val="22"/>
                <w:szCs w:val="22"/>
                <w:lang w:val="de-DE" w:eastAsia="de-DE"/>
              </w:rPr>
              <w:t> </w:t>
            </w:r>
          </w:p>
        </w:tc>
        <w:tc>
          <w:tcPr>
            <w:tcW w:w="728" w:type="dxa"/>
            <w:tcBorders>
              <w:top w:val="nil"/>
              <w:left w:val="nil"/>
              <w:bottom w:val="single" w:sz="4" w:space="0" w:color="FFFFFF"/>
              <w:right w:val="single" w:sz="4" w:space="0" w:color="FFFFFF"/>
            </w:tcBorders>
            <w:shd w:val="clear" w:color="auto" w:fill="auto"/>
            <w:noWrap/>
            <w:hideMark/>
          </w:tcPr>
          <w:p w14:paraId="0E0D5A96"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3158D9F0"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38AD992D"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single" w:sz="4" w:space="0" w:color="FFFFFF"/>
            </w:tcBorders>
            <w:shd w:val="clear" w:color="auto" w:fill="auto"/>
            <w:noWrap/>
            <w:hideMark/>
          </w:tcPr>
          <w:p w14:paraId="76DA3264"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2BCC232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hideMark/>
          </w:tcPr>
          <w:p w14:paraId="516DA70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76AE5850"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197EF6EA"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36D3409B"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61624CBA"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13267448"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hideMark/>
          </w:tcPr>
          <w:p w14:paraId="4547B989"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626CF61B" w14:textId="77777777" w:rsidTr="00DA7109">
        <w:trPr>
          <w:trHeight w:val="360"/>
          <w:jc w:val="center"/>
        </w:trPr>
        <w:tc>
          <w:tcPr>
            <w:tcW w:w="1790" w:type="dxa"/>
            <w:vMerge w:val="restart"/>
            <w:tcBorders>
              <w:top w:val="nil"/>
              <w:left w:val="single" w:sz="4" w:space="0" w:color="FFFFFF"/>
              <w:bottom w:val="single" w:sz="4" w:space="0" w:color="FFFFFF"/>
              <w:right w:val="single" w:sz="4" w:space="0" w:color="auto"/>
            </w:tcBorders>
            <w:shd w:val="clear" w:color="auto" w:fill="auto"/>
            <w:vAlign w:val="center"/>
            <w:hideMark/>
          </w:tcPr>
          <w:p w14:paraId="49030231" w14:textId="77777777" w:rsidR="00DA7109" w:rsidRPr="00DA7109" w:rsidRDefault="00DA7109" w:rsidP="00DA7109">
            <w:pPr>
              <w:rPr>
                <w:rFonts w:eastAsia="Times New Roman"/>
                <w:i/>
                <w:iCs/>
                <w:sz w:val="22"/>
                <w:szCs w:val="22"/>
                <w:lang w:eastAsia="de-DE"/>
              </w:rPr>
            </w:pPr>
            <w:r w:rsidRPr="00DA7109">
              <w:rPr>
                <w:rFonts w:eastAsia="Times New Roman"/>
                <w:i/>
                <w:iCs/>
                <w:sz w:val="22"/>
                <w:szCs w:val="22"/>
                <w:lang w:eastAsia="de-DE"/>
              </w:rPr>
              <w:t>Number of Ente</w:t>
            </w:r>
            <w:r w:rsidRPr="00DA7109">
              <w:rPr>
                <w:rFonts w:eastAsia="Times New Roman"/>
                <w:i/>
                <w:iCs/>
                <w:sz w:val="22"/>
                <w:szCs w:val="22"/>
                <w:lang w:eastAsia="de-DE"/>
              </w:rPr>
              <w:t>r</w:t>
            </w:r>
            <w:r w:rsidRPr="00DA7109">
              <w:rPr>
                <w:rFonts w:eastAsia="Times New Roman"/>
                <w:i/>
                <w:iCs/>
                <w:sz w:val="22"/>
                <w:szCs w:val="22"/>
                <w:lang w:eastAsia="de-DE"/>
              </w:rPr>
              <w:t>ing generations Left</w:t>
            </w:r>
          </w:p>
        </w:tc>
        <w:tc>
          <w:tcPr>
            <w:tcW w:w="728" w:type="dxa"/>
            <w:tcBorders>
              <w:top w:val="nil"/>
              <w:left w:val="nil"/>
              <w:bottom w:val="single" w:sz="4" w:space="0" w:color="FFFFFF"/>
              <w:right w:val="single" w:sz="4" w:space="0" w:color="FFFFFF"/>
            </w:tcBorders>
            <w:shd w:val="clear" w:color="auto" w:fill="auto"/>
            <w:noWrap/>
            <w:vAlign w:val="bottom"/>
            <w:hideMark/>
          </w:tcPr>
          <w:p w14:paraId="1377E473"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0.041</w:t>
            </w:r>
          </w:p>
        </w:tc>
        <w:tc>
          <w:tcPr>
            <w:tcW w:w="360" w:type="dxa"/>
            <w:tcBorders>
              <w:top w:val="nil"/>
              <w:left w:val="nil"/>
              <w:bottom w:val="single" w:sz="4" w:space="0" w:color="FFFFFF"/>
              <w:right w:val="single" w:sz="4" w:space="0" w:color="FFFFFF"/>
            </w:tcBorders>
            <w:shd w:val="clear" w:color="auto" w:fill="auto"/>
            <w:noWrap/>
            <w:vAlign w:val="bottom"/>
            <w:hideMark/>
          </w:tcPr>
          <w:p w14:paraId="7983D0A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0" w:type="dxa"/>
            <w:tcBorders>
              <w:top w:val="nil"/>
              <w:left w:val="nil"/>
              <w:bottom w:val="single" w:sz="4" w:space="0" w:color="FFFFFF"/>
              <w:right w:val="single" w:sz="4" w:space="0" w:color="FFFFFF"/>
            </w:tcBorders>
            <w:shd w:val="clear" w:color="auto" w:fill="auto"/>
            <w:noWrap/>
            <w:vAlign w:val="bottom"/>
            <w:hideMark/>
          </w:tcPr>
          <w:p w14:paraId="50E8EF23"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single" w:sz="4" w:space="0" w:color="FFFFFF"/>
            </w:tcBorders>
            <w:shd w:val="clear" w:color="auto" w:fill="auto"/>
            <w:noWrap/>
            <w:vAlign w:val="bottom"/>
            <w:hideMark/>
          </w:tcPr>
          <w:p w14:paraId="132AE26A"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vAlign w:val="bottom"/>
            <w:hideMark/>
          </w:tcPr>
          <w:p w14:paraId="6F3CC808"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vAlign w:val="bottom"/>
            <w:hideMark/>
          </w:tcPr>
          <w:p w14:paraId="09D2DEB5"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vAlign w:val="bottom"/>
            <w:hideMark/>
          </w:tcPr>
          <w:p w14:paraId="79B68CB5"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0.020</w:t>
            </w:r>
          </w:p>
        </w:tc>
        <w:tc>
          <w:tcPr>
            <w:tcW w:w="360" w:type="dxa"/>
            <w:tcBorders>
              <w:top w:val="nil"/>
              <w:left w:val="nil"/>
              <w:bottom w:val="single" w:sz="4" w:space="0" w:color="FFFFFF"/>
              <w:right w:val="single" w:sz="4" w:space="0" w:color="FFFFFF"/>
            </w:tcBorders>
            <w:shd w:val="clear" w:color="auto" w:fill="auto"/>
            <w:noWrap/>
            <w:vAlign w:val="bottom"/>
            <w:hideMark/>
          </w:tcPr>
          <w:p w14:paraId="6B40FC7A"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0" w:type="dxa"/>
            <w:tcBorders>
              <w:top w:val="nil"/>
              <w:left w:val="nil"/>
              <w:bottom w:val="single" w:sz="4" w:space="0" w:color="FFFFFF"/>
              <w:right w:val="single" w:sz="4" w:space="0" w:color="FFFFFF"/>
            </w:tcBorders>
            <w:shd w:val="clear" w:color="auto" w:fill="auto"/>
            <w:noWrap/>
            <w:vAlign w:val="bottom"/>
            <w:hideMark/>
          </w:tcPr>
          <w:p w14:paraId="3722D6E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vAlign w:val="bottom"/>
            <w:hideMark/>
          </w:tcPr>
          <w:p w14:paraId="4E9BE64A"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vAlign w:val="bottom"/>
            <w:hideMark/>
          </w:tcPr>
          <w:p w14:paraId="4DDE7475"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vAlign w:val="bottom"/>
            <w:hideMark/>
          </w:tcPr>
          <w:p w14:paraId="6A268298"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263D51E7" w14:textId="77777777" w:rsidTr="00DA7109">
        <w:trPr>
          <w:trHeight w:val="525"/>
          <w:jc w:val="center"/>
        </w:trPr>
        <w:tc>
          <w:tcPr>
            <w:tcW w:w="1790" w:type="dxa"/>
            <w:vMerge/>
            <w:tcBorders>
              <w:top w:val="nil"/>
              <w:left w:val="single" w:sz="4" w:space="0" w:color="FFFFFF"/>
              <w:bottom w:val="single" w:sz="4" w:space="0" w:color="FFFFFF"/>
              <w:right w:val="single" w:sz="4" w:space="0" w:color="auto"/>
            </w:tcBorders>
            <w:vAlign w:val="center"/>
            <w:hideMark/>
          </w:tcPr>
          <w:p w14:paraId="092A5170" w14:textId="77777777" w:rsidR="00DA7109" w:rsidRPr="00DA7109" w:rsidRDefault="00DA7109" w:rsidP="00DA7109">
            <w:pPr>
              <w:rPr>
                <w:rFonts w:eastAsia="Times New Roman"/>
                <w:i/>
                <w:iCs/>
                <w:sz w:val="22"/>
                <w:szCs w:val="22"/>
                <w:lang w:val="de-DE" w:eastAsia="de-DE"/>
              </w:rPr>
            </w:pPr>
          </w:p>
        </w:tc>
        <w:tc>
          <w:tcPr>
            <w:tcW w:w="728" w:type="dxa"/>
            <w:tcBorders>
              <w:top w:val="nil"/>
              <w:left w:val="nil"/>
              <w:bottom w:val="single" w:sz="4" w:space="0" w:color="FFFFFF"/>
              <w:right w:val="single" w:sz="4" w:space="0" w:color="FFFFFF"/>
            </w:tcBorders>
            <w:shd w:val="clear" w:color="auto" w:fill="auto"/>
            <w:noWrap/>
            <w:hideMark/>
          </w:tcPr>
          <w:p w14:paraId="3782F12E"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(0.017)</w:t>
            </w:r>
          </w:p>
        </w:tc>
        <w:tc>
          <w:tcPr>
            <w:tcW w:w="360" w:type="dxa"/>
            <w:tcBorders>
              <w:top w:val="nil"/>
              <w:left w:val="nil"/>
              <w:bottom w:val="single" w:sz="4" w:space="0" w:color="FFFFFF"/>
              <w:right w:val="single" w:sz="4" w:space="0" w:color="FFFFFF"/>
            </w:tcBorders>
            <w:shd w:val="clear" w:color="auto" w:fill="auto"/>
            <w:noWrap/>
            <w:hideMark/>
          </w:tcPr>
          <w:p w14:paraId="356B5418"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7185E326"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single" w:sz="4" w:space="0" w:color="FFFFFF"/>
            </w:tcBorders>
            <w:shd w:val="clear" w:color="auto" w:fill="auto"/>
            <w:noWrap/>
            <w:hideMark/>
          </w:tcPr>
          <w:p w14:paraId="38681F1E"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0D7E948C"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vAlign w:val="bottom"/>
            <w:hideMark/>
          </w:tcPr>
          <w:p w14:paraId="4C157FBF"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6FD2A7C3"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(0.006)</w:t>
            </w:r>
          </w:p>
        </w:tc>
        <w:tc>
          <w:tcPr>
            <w:tcW w:w="360" w:type="dxa"/>
            <w:tcBorders>
              <w:top w:val="nil"/>
              <w:left w:val="nil"/>
              <w:bottom w:val="single" w:sz="4" w:space="0" w:color="FFFFFF"/>
              <w:right w:val="single" w:sz="4" w:space="0" w:color="FFFFFF"/>
            </w:tcBorders>
            <w:shd w:val="clear" w:color="auto" w:fill="auto"/>
            <w:noWrap/>
            <w:hideMark/>
          </w:tcPr>
          <w:p w14:paraId="7F7ADAD3"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2729BB94"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070DD80A"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39259EBF"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vAlign w:val="bottom"/>
            <w:hideMark/>
          </w:tcPr>
          <w:p w14:paraId="7347D82E"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6476DD44" w14:textId="77777777" w:rsidTr="00DA7109">
        <w:trPr>
          <w:trHeight w:val="150"/>
          <w:jc w:val="center"/>
        </w:trPr>
        <w:tc>
          <w:tcPr>
            <w:tcW w:w="1790" w:type="dxa"/>
            <w:tcBorders>
              <w:top w:val="nil"/>
              <w:left w:val="single" w:sz="4" w:space="0" w:color="FFFFFF"/>
              <w:bottom w:val="single" w:sz="4" w:space="0" w:color="FFFFFF"/>
              <w:right w:val="single" w:sz="4" w:space="0" w:color="auto"/>
            </w:tcBorders>
            <w:shd w:val="clear" w:color="auto" w:fill="auto"/>
            <w:vAlign w:val="center"/>
            <w:hideMark/>
          </w:tcPr>
          <w:p w14:paraId="197BC1B1" w14:textId="77777777" w:rsidR="00DA7109" w:rsidRPr="00DA7109" w:rsidRDefault="00DA7109" w:rsidP="00DA7109">
            <w:pPr>
              <w:rPr>
                <w:rFonts w:eastAsia="Times New Roman"/>
                <w:i/>
                <w:iCs/>
                <w:sz w:val="22"/>
                <w:szCs w:val="22"/>
                <w:lang w:val="de-DE" w:eastAsia="de-DE"/>
              </w:rPr>
            </w:pPr>
            <w:r w:rsidRPr="00DA7109">
              <w:rPr>
                <w:rFonts w:eastAsia="Times New Roman"/>
                <w:i/>
                <w:iCs/>
                <w:sz w:val="22"/>
                <w:szCs w:val="22"/>
                <w:lang w:val="de-DE" w:eastAsia="de-DE"/>
              </w:rPr>
              <w:t> </w:t>
            </w:r>
          </w:p>
        </w:tc>
        <w:tc>
          <w:tcPr>
            <w:tcW w:w="728" w:type="dxa"/>
            <w:tcBorders>
              <w:top w:val="nil"/>
              <w:left w:val="nil"/>
              <w:bottom w:val="single" w:sz="4" w:space="0" w:color="FFFFFF"/>
              <w:right w:val="single" w:sz="4" w:space="0" w:color="FFFFFF"/>
            </w:tcBorders>
            <w:shd w:val="clear" w:color="auto" w:fill="auto"/>
            <w:noWrap/>
            <w:hideMark/>
          </w:tcPr>
          <w:p w14:paraId="3BC274A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2E02CE5D"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3CB3A47F"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single" w:sz="4" w:space="0" w:color="FFFFFF"/>
            </w:tcBorders>
            <w:shd w:val="clear" w:color="auto" w:fill="auto"/>
            <w:noWrap/>
            <w:hideMark/>
          </w:tcPr>
          <w:p w14:paraId="52BA6664"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53F6E464"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vAlign w:val="bottom"/>
            <w:hideMark/>
          </w:tcPr>
          <w:p w14:paraId="41A4B6E8"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6709AF4E"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7997390C"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397468E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41E98DAF"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37ED40A6"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vAlign w:val="bottom"/>
            <w:hideMark/>
          </w:tcPr>
          <w:p w14:paraId="23D6047C"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02063D26" w14:textId="77777777" w:rsidTr="00DA7109">
        <w:trPr>
          <w:trHeight w:val="360"/>
          <w:jc w:val="center"/>
        </w:trPr>
        <w:tc>
          <w:tcPr>
            <w:tcW w:w="1790" w:type="dxa"/>
            <w:vMerge w:val="restart"/>
            <w:tcBorders>
              <w:top w:val="nil"/>
              <w:left w:val="single" w:sz="4" w:space="0" w:color="FFFFFF"/>
              <w:bottom w:val="single" w:sz="4" w:space="0" w:color="FFFFFF"/>
              <w:right w:val="single" w:sz="4" w:space="0" w:color="auto"/>
            </w:tcBorders>
            <w:shd w:val="clear" w:color="auto" w:fill="auto"/>
            <w:vAlign w:val="center"/>
            <w:hideMark/>
          </w:tcPr>
          <w:p w14:paraId="3F1359D6" w14:textId="77777777" w:rsidR="00DA7109" w:rsidRPr="00DA7109" w:rsidRDefault="00DA7109" w:rsidP="00DA7109">
            <w:pPr>
              <w:rPr>
                <w:rFonts w:eastAsia="Times New Roman"/>
                <w:i/>
                <w:iCs/>
                <w:sz w:val="22"/>
                <w:szCs w:val="22"/>
                <w:lang w:val="de-DE" w:eastAsia="de-DE"/>
              </w:rPr>
            </w:pPr>
            <w:proofErr w:type="spellStart"/>
            <w:r w:rsidRPr="00DA7109">
              <w:rPr>
                <w:rFonts w:eastAsia="Times New Roman"/>
                <w:i/>
                <w:iCs/>
                <w:sz w:val="22"/>
                <w:szCs w:val="22"/>
                <w:lang w:val="de-DE" w:eastAsia="de-DE"/>
              </w:rPr>
              <w:t>Number</w:t>
            </w:r>
            <w:proofErr w:type="spellEnd"/>
            <w:r w:rsidRPr="00DA7109">
              <w:rPr>
                <w:rFonts w:eastAsia="Times New Roman"/>
                <w:i/>
                <w:iCs/>
                <w:sz w:val="22"/>
                <w:szCs w:val="22"/>
                <w:lang w:val="de-DE" w:eastAsia="de-DE"/>
              </w:rPr>
              <w:t xml:space="preserve"> of </w:t>
            </w:r>
            <w:proofErr w:type="spellStart"/>
            <w:r w:rsidRPr="00DA7109">
              <w:rPr>
                <w:rFonts w:eastAsia="Times New Roman"/>
                <w:i/>
                <w:iCs/>
                <w:sz w:val="22"/>
                <w:szCs w:val="22"/>
                <w:lang w:val="de-DE" w:eastAsia="de-DE"/>
              </w:rPr>
              <w:t>Per</w:t>
            </w:r>
            <w:r w:rsidRPr="00DA7109">
              <w:rPr>
                <w:rFonts w:eastAsia="Times New Roman"/>
                <w:i/>
                <w:iCs/>
                <w:sz w:val="22"/>
                <w:szCs w:val="22"/>
                <w:lang w:val="de-DE" w:eastAsia="de-DE"/>
              </w:rPr>
              <w:t>i</w:t>
            </w:r>
            <w:r w:rsidRPr="00DA7109">
              <w:rPr>
                <w:rFonts w:eastAsia="Times New Roman"/>
                <w:i/>
                <w:iCs/>
                <w:sz w:val="22"/>
                <w:szCs w:val="22"/>
                <w:lang w:val="de-DE" w:eastAsia="de-DE"/>
              </w:rPr>
              <w:t>ods</w:t>
            </w:r>
            <w:proofErr w:type="spellEnd"/>
            <w:r w:rsidRPr="00DA7109">
              <w:rPr>
                <w:rFonts w:eastAsia="Times New Roman"/>
                <w:i/>
                <w:iCs/>
                <w:sz w:val="22"/>
                <w:szCs w:val="22"/>
                <w:lang w:val="de-DE" w:eastAsia="de-DE"/>
              </w:rPr>
              <w:t xml:space="preserve"> </w:t>
            </w:r>
            <w:proofErr w:type="spellStart"/>
            <w:r w:rsidRPr="00DA7109">
              <w:rPr>
                <w:rFonts w:eastAsia="Times New Roman"/>
                <w:i/>
                <w:iCs/>
                <w:sz w:val="22"/>
                <w:szCs w:val="22"/>
                <w:lang w:val="de-DE" w:eastAsia="de-DE"/>
              </w:rPr>
              <w:t>Left</w:t>
            </w:r>
            <w:proofErr w:type="spellEnd"/>
          </w:p>
        </w:tc>
        <w:tc>
          <w:tcPr>
            <w:tcW w:w="728" w:type="dxa"/>
            <w:tcBorders>
              <w:top w:val="nil"/>
              <w:left w:val="nil"/>
              <w:bottom w:val="single" w:sz="4" w:space="0" w:color="FFFFFF"/>
              <w:right w:val="single" w:sz="4" w:space="0" w:color="FFFFFF"/>
            </w:tcBorders>
            <w:shd w:val="clear" w:color="auto" w:fill="auto"/>
            <w:noWrap/>
            <w:vAlign w:val="bottom"/>
            <w:hideMark/>
          </w:tcPr>
          <w:p w14:paraId="646A424D"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vAlign w:val="bottom"/>
            <w:hideMark/>
          </w:tcPr>
          <w:p w14:paraId="5B7E82D3"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vAlign w:val="bottom"/>
            <w:hideMark/>
          </w:tcPr>
          <w:p w14:paraId="1F6DC65A"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single" w:sz="4" w:space="0" w:color="FFFFFF"/>
            </w:tcBorders>
            <w:shd w:val="clear" w:color="auto" w:fill="auto"/>
            <w:noWrap/>
            <w:vAlign w:val="bottom"/>
            <w:hideMark/>
          </w:tcPr>
          <w:p w14:paraId="515F1B2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0.013</w:t>
            </w:r>
          </w:p>
        </w:tc>
        <w:tc>
          <w:tcPr>
            <w:tcW w:w="360" w:type="dxa"/>
            <w:tcBorders>
              <w:top w:val="nil"/>
              <w:left w:val="nil"/>
              <w:bottom w:val="single" w:sz="4" w:space="0" w:color="FFFFFF"/>
              <w:right w:val="single" w:sz="4" w:space="0" w:color="FFFFFF"/>
            </w:tcBorders>
            <w:shd w:val="clear" w:color="auto" w:fill="auto"/>
            <w:noWrap/>
            <w:vAlign w:val="bottom"/>
            <w:hideMark/>
          </w:tcPr>
          <w:p w14:paraId="48A254D4"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6" w:type="dxa"/>
            <w:tcBorders>
              <w:top w:val="nil"/>
              <w:left w:val="nil"/>
              <w:bottom w:val="single" w:sz="4" w:space="0" w:color="FFFFFF"/>
              <w:right w:val="single" w:sz="4" w:space="0" w:color="auto"/>
            </w:tcBorders>
            <w:shd w:val="clear" w:color="auto" w:fill="auto"/>
            <w:noWrap/>
            <w:vAlign w:val="bottom"/>
            <w:hideMark/>
          </w:tcPr>
          <w:p w14:paraId="169D2DC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vAlign w:val="bottom"/>
            <w:hideMark/>
          </w:tcPr>
          <w:p w14:paraId="26F2AA5A"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vAlign w:val="bottom"/>
            <w:hideMark/>
          </w:tcPr>
          <w:p w14:paraId="467DFDDC"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vAlign w:val="bottom"/>
            <w:hideMark/>
          </w:tcPr>
          <w:p w14:paraId="6A80BF7B"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vAlign w:val="bottom"/>
            <w:hideMark/>
          </w:tcPr>
          <w:p w14:paraId="683EB45D"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0.010</w:t>
            </w:r>
          </w:p>
        </w:tc>
        <w:tc>
          <w:tcPr>
            <w:tcW w:w="360" w:type="dxa"/>
            <w:tcBorders>
              <w:top w:val="nil"/>
              <w:left w:val="nil"/>
              <w:bottom w:val="single" w:sz="4" w:space="0" w:color="FFFFFF"/>
              <w:right w:val="single" w:sz="4" w:space="0" w:color="FFFFFF"/>
            </w:tcBorders>
            <w:shd w:val="clear" w:color="auto" w:fill="auto"/>
            <w:noWrap/>
            <w:vAlign w:val="bottom"/>
            <w:hideMark/>
          </w:tcPr>
          <w:p w14:paraId="489A3617"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w:t>
            </w:r>
          </w:p>
        </w:tc>
        <w:tc>
          <w:tcPr>
            <w:tcW w:w="105" w:type="dxa"/>
            <w:tcBorders>
              <w:top w:val="nil"/>
              <w:left w:val="nil"/>
              <w:bottom w:val="single" w:sz="4" w:space="0" w:color="FFFFFF"/>
              <w:right w:val="single" w:sz="4" w:space="0" w:color="FFFFFF"/>
            </w:tcBorders>
            <w:shd w:val="clear" w:color="auto" w:fill="auto"/>
            <w:noWrap/>
            <w:vAlign w:val="bottom"/>
            <w:hideMark/>
          </w:tcPr>
          <w:p w14:paraId="5F19F62E"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7493EF26" w14:textId="77777777" w:rsidTr="00DA7109">
        <w:trPr>
          <w:trHeight w:val="360"/>
          <w:jc w:val="center"/>
        </w:trPr>
        <w:tc>
          <w:tcPr>
            <w:tcW w:w="1790" w:type="dxa"/>
            <w:vMerge/>
            <w:tcBorders>
              <w:top w:val="nil"/>
              <w:left w:val="single" w:sz="4" w:space="0" w:color="FFFFFF"/>
              <w:bottom w:val="single" w:sz="4" w:space="0" w:color="FFFFFF"/>
              <w:right w:val="single" w:sz="4" w:space="0" w:color="auto"/>
            </w:tcBorders>
            <w:vAlign w:val="center"/>
            <w:hideMark/>
          </w:tcPr>
          <w:p w14:paraId="446486A3" w14:textId="77777777" w:rsidR="00DA7109" w:rsidRPr="00DA7109" w:rsidRDefault="00DA7109" w:rsidP="00DA7109">
            <w:pPr>
              <w:rPr>
                <w:rFonts w:eastAsia="Times New Roman"/>
                <w:i/>
                <w:iCs/>
                <w:sz w:val="22"/>
                <w:szCs w:val="22"/>
                <w:lang w:val="de-DE" w:eastAsia="de-DE"/>
              </w:rPr>
            </w:pPr>
          </w:p>
        </w:tc>
        <w:tc>
          <w:tcPr>
            <w:tcW w:w="728" w:type="dxa"/>
            <w:tcBorders>
              <w:top w:val="nil"/>
              <w:left w:val="nil"/>
              <w:bottom w:val="single" w:sz="4" w:space="0" w:color="FFFFFF"/>
              <w:right w:val="single" w:sz="4" w:space="0" w:color="FFFFFF"/>
            </w:tcBorders>
            <w:shd w:val="clear" w:color="auto" w:fill="auto"/>
            <w:noWrap/>
            <w:hideMark/>
          </w:tcPr>
          <w:p w14:paraId="5F8DFF05"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657D518F"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13AEC6A0"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single" w:sz="4" w:space="0" w:color="FFFFFF"/>
            </w:tcBorders>
            <w:shd w:val="clear" w:color="auto" w:fill="auto"/>
            <w:noWrap/>
            <w:hideMark/>
          </w:tcPr>
          <w:p w14:paraId="33069C47"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(0.006)</w:t>
            </w:r>
          </w:p>
        </w:tc>
        <w:tc>
          <w:tcPr>
            <w:tcW w:w="360" w:type="dxa"/>
            <w:tcBorders>
              <w:top w:val="nil"/>
              <w:left w:val="nil"/>
              <w:bottom w:val="single" w:sz="4" w:space="0" w:color="FFFFFF"/>
              <w:right w:val="single" w:sz="4" w:space="0" w:color="FFFFFF"/>
            </w:tcBorders>
            <w:shd w:val="clear" w:color="auto" w:fill="auto"/>
            <w:noWrap/>
            <w:hideMark/>
          </w:tcPr>
          <w:p w14:paraId="1FA61375"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6" w:type="dxa"/>
            <w:tcBorders>
              <w:top w:val="nil"/>
              <w:left w:val="nil"/>
              <w:bottom w:val="single" w:sz="4" w:space="0" w:color="FFFFFF"/>
              <w:right w:val="single" w:sz="4" w:space="0" w:color="auto"/>
            </w:tcBorders>
            <w:shd w:val="clear" w:color="auto" w:fill="auto"/>
            <w:noWrap/>
            <w:hideMark/>
          </w:tcPr>
          <w:p w14:paraId="414523CE"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noWrap/>
            <w:hideMark/>
          </w:tcPr>
          <w:p w14:paraId="147B6770"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noWrap/>
            <w:hideMark/>
          </w:tcPr>
          <w:p w14:paraId="5D3BDFBE"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noWrap/>
            <w:hideMark/>
          </w:tcPr>
          <w:p w14:paraId="5D0374BB"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noWrap/>
            <w:hideMark/>
          </w:tcPr>
          <w:p w14:paraId="68A21BAC" w14:textId="77777777" w:rsidR="00DA7109" w:rsidRPr="00DA7109" w:rsidRDefault="00DA7109" w:rsidP="00DA7109">
            <w:pPr>
              <w:jc w:val="right"/>
              <w:rPr>
                <w:rFonts w:eastAsia="Times New Roman"/>
                <w:sz w:val="22"/>
                <w:szCs w:val="22"/>
                <w:lang w:val="de-DE" w:eastAsia="de-DE"/>
              </w:rPr>
            </w:pPr>
            <w:r w:rsidRPr="00DA7109">
              <w:rPr>
                <w:rFonts w:eastAsia="Times New Roman"/>
                <w:sz w:val="22"/>
                <w:szCs w:val="22"/>
                <w:lang w:val="de-DE" w:eastAsia="de-DE"/>
              </w:rPr>
              <w:t>(0.002)</w:t>
            </w:r>
          </w:p>
        </w:tc>
        <w:tc>
          <w:tcPr>
            <w:tcW w:w="360" w:type="dxa"/>
            <w:tcBorders>
              <w:top w:val="nil"/>
              <w:left w:val="nil"/>
              <w:bottom w:val="single" w:sz="4" w:space="0" w:color="FFFFFF"/>
              <w:right w:val="single" w:sz="4" w:space="0" w:color="FFFFFF"/>
            </w:tcBorders>
            <w:shd w:val="clear" w:color="auto" w:fill="auto"/>
            <w:noWrap/>
            <w:hideMark/>
          </w:tcPr>
          <w:p w14:paraId="2E0C8B5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noWrap/>
            <w:hideMark/>
          </w:tcPr>
          <w:p w14:paraId="324AA475"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7A13D0B6" w14:textId="77777777" w:rsidTr="00DA7109">
        <w:trPr>
          <w:trHeight w:val="150"/>
          <w:jc w:val="center"/>
        </w:trPr>
        <w:tc>
          <w:tcPr>
            <w:tcW w:w="1790" w:type="dxa"/>
            <w:tcBorders>
              <w:top w:val="nil"/>
              <w:left w:val="single" w:sz="4" w:space="0" w:color="FFFFFF"/>
              <w:bottom w:val="single" w:sz="4" w:space="0" w:color="FFFFFF"/>
              <w:right w:val="single" w:sz="4" w:space="0" w:color="auto"/>
            </w:tcBorders>
            <w:shd w:val="clear" w:color="auto" w:fill="auto"/>
            <w:vAlign w:val="center"/>
            <w:hideMark/>
          </w:tcPr>
          <w:p w14:paraId="6A4A6C0E" w14:textId="77777777" w:rsidR="00DA7109" w:rsidRPr="00DA7109" w:rsidRDefault="00DA7109" w:rsidP="00DA7109">
            <w:pPr>
              <w:rPr>
                <w:rFonts w:eastAsia="Times New Roman"/>
                <w:i/>
                <w:iCs/>
                <w:sz w:val="22"/>
                <w:szCs w:val="22"/>
                <w:lang w:val="de-DE" w:eastAsia="de-DE"/>
              </w:rPr>
            </w:pPr>
            <w:r w:rsidRPr="00DA7109">
              <w:rPr>
                <w:rFonts w:eastAsia="Times New Roman"/>
                <w:i/>
                <w:iCs/>
                <w:sz w:val="22"/>
                <w:szCs w:val="22"/>
                <w:lang w:val="de-DE" w:eastAsia="de-DE"/>
              </w:rPr>
              <w:t> </w:t>
            </w:r>
          </w:p>
        </w:tc>
        <w:tc>
          <w:tcPr>
            <w:tcW w:w="728" w:type="dxa"/>
            <w:tcBorders>
              <w:top w:val="nil"/>
              <w:left w:val="nil"/>
              <w:bottom w:val="single" w:sz="4" w:space="0" w:color="FFFFFF"/>
              <w:right w:val="single" w:sz="4" w:space="0" w:color="FFFFFF"/>
            </w:tcBorders>
            <w:shd w:val="clear" w:color="auto" w:fill="auto"/>
            <w:vAlign w:val="bottom"/>
            <w:hideMark/>
          </w:tcPr>
          <w:p w14:paraId="44203A9D"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vAlign w:val="bottom"/>
            <w:hideMark/>
          </w:tcPr>
          <w:p w14:paraId="23757799" w14:textId="77777777" w:rsidR="00DA7109" w:rsidRPr="00DA7109" w:rsidRDefault="00DA7109" w:rsidP="00DA7109">
            <w:pPr>
              <w:jc w:val="center"/>
              <w:rPr>
                <w:rFonts w:ascii="MS PGothic" w:eastAsia="MS PGothic" w:hAnsi="MS PGothic"/>
                <w:sz w:val="22"/>
                <w:szCs w:val="22"/>
                <w:lang w:val="de-DE" w:eastAsia="de-DE"/>
              </w:rPr>
            </w:pPr>
            <w:r w:rsidRPr="00DA7109">
              <w:rPr>
                <w:rFonts w:ascii="MS PGothic" w:eastAsia="MS PGothic" w:hAnsi="MS PGothic" w:hint="eastAsia"/>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vAlign w:val="bottom"/>
            <w:hideMark/>
          </w:tcPr>
          <w:p w14:paraId="6C79E4E6"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22" w:type="dxa"/>
            <w:tcBorders>
              <w:top w:val="nil"/>
              <w:left w:val="nil"/>
              <w:bottom w:val="single" w:sz="4" w:space="0" w:color="FFFFFF"/>
              <w:right w:val="single" w:sz="4" w:space="0" w:color="FFFFFF"/>
            </w:tcBorders>
            <w:shd w:val="clear" w:color="auto" w:fill="auto"/>
            <w:vAlign w:val="bottom"/>
            <w:hideMark/>
          </w:tcPr>
          <w:p w14:paraId="1B4F2DDD"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vAlign w:val="bottom"/>
            <w:hideMark/>
          </w:tcPr>
          <w:p w14:paraId="479F36C0" w14:textId="77777777" w:rsidR="00DA7109" w:rsidRPr="00DA7109" w:rsidRDefault="00DA7109" w:rsidP="00DA7109">
            <w:pPr>
              <w:jc w:val="center"/>
              <w:rPr>
                <w:rFonts w:ascii="MS PGothic" w:eastAsia="MS PGothic" w:hAnsi="MS PGothic"/>
                <w:sz w:val="22"/>
                <w:szCs w:val="22"/>
                <w:lang w:val="de-DE" w:eastAsia="de-DE"/>
              </w:rPr>
            </w:pPr>
            <w:r w:rsidRPr="00DA7109">
              <w:rPr>
                <w:rFonts w:ascii="MS PGothic" w:eastAsia="MS PGothic" w:hAnsi="MS PGothic" w:hint="eastAsia"/>
                <w:sz w:val="22"/>
                <w:szCs w:val="22"/>
                <w:lang w:val="de-DE" w:eastAsia="de-DE"/>
              </w:rPr>
              <w:t> </w:t>
            </w:r>
          </w:p>
        </w:tc>
        <w:tc>
          <w:tcPr>
            <w:tcW w:w="106" w:type="dxa"/>
            <w:tcBorders>
              <w:top w:val="nil"/>
              <w:left w:val="nil"/>
              <w:bottom w:val="single" w:sz="4" w:space="0" w:color="FFFFFF"/>
              <w:right w:val="single" w:sz="4" w:space="0" w:color="auto"/>
            </w:tcBorders>
            <w:shd w:val="clear" w:color="auto" w:fill="auto"/>
            <w:vAlign w:val="bottom"/>
            <w:hideMark/>
          </w:tcPr>
          <w:p w14:paraId="420437D2"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7" w:type="dxa"/>
            <w:tcBorders>
              <w:top w:val="nil"/>
              <w:left w:val="nil"/>
              <w:bottom w:val="single" w:sz="4" w:space="0" w:color="FFFFFF"/>
              <w:right w:val="single" w:sz="4" w:space="0" w:color="FFFFFF"/>
            </w:tcBorders>
            <w:shd w:val="clear" w:color="auto" w:fill="auto"/>
            <w:vAlign w:val="bottom"/>
            <w:hideMark/>
          </w:tcPr>
          <w:p w14:paraId="36DE457C"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vAlign w:val="bottom"/>
            <w:hideMark/>
          </w:tcPr>
          <w:p w14:paraId="081C89DB" w14:textId="77777777" w:rsidR="00DA7109" w:rsidRPr="00DA7109" w:rsidRDefault="00DA7109" w:rsidP="00DA7109">
            <w:pPr>
              <w:jc w:val="center"/>
              <w:rPr>
                <w:rFonts w:ascii="MS PGothic" w:eastAsia="MS PGothic" w:hAnsi="MS PGothic"/>
                <w:sz w:val="22"/>
                <w:szCs w:val="22"/>
                <w:lang w:val="de-DE" w:eastAsia="de-DE"/>
              </w:rPr>
            </w:pPr>
            <w:r w:rsidRPr="00DA7109">
              <w:rPr>
                <w:rFonts w:ascii="MS PGothic" w:eastAsia="MS PGothic" w:hAnsi="MS PGothic" w:hint="eastAsia"/>
                <w:sz w:val="22"/>
                <w:szCs w:val="22"/>
                <w:lang w:val="de-DE" w:eastAsia="de-DE"/>
              </w:rPr>
              <w:t> </w:t>
            </w:r>
          </w:p>
        </w:tc>
        <w:tc>
          <w:tcPr>
            <w:tcW w:w="100" w:type="dxa"/>
            <w:tcBorders>
              <w:top w:val="nil"/>
              <w:left w:val="nil"/>
              <w:bottom w:val="single" w:sz="4" w:space="0" w:color="FFFFFF"/>
              <w:right w:val="single" w:sz="4" w:space="0" w:color="FFFFFF"/>
            </w:tcBorders>
            <w:shd w:val="clear" w:color="auto" w:fill="auto"/>
            <w:vAlign w:val="bottom"/>
            <w:hideMark/>
          </w:tcPr>
          <w:p w14:paraId="49E147F0"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c>
          <w:tcPr>
            <w:tcW w:w="712" w:type="dxa"/>
            <w:tcBorders>
              <w:top w:val="nil"/>
              <w:left w:val="nil"/>
              <w:bottom w:val="single" w:sz="4" w:space="0" w:color="FFFFFF"/>
              <w:right w:val="single" w:sz="4" w:space="0" w:color="FFFFFF"/>
            </w:tcBorders>
            <w:shd w:val="clear" w:color="auto" w:fill="auto"/>
            <w:vAlign w:val="bottom"/>
            <w:hideMark/>
          </w:tcPr>
          <w:p w14:paraId="62919090"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360" w:type="dxa"/>
            <w:tcBorders>
              <w:top w:val="nil"/>
              <w:left w:val="nil"/>
              <w:bottom w:val="single" w:sz="4" w:space="0" w:color="FFFFFF"/>
              <w:right w:val="single" w:sz="4" w:space="0" w:color="FFFFFF"/>
            </w:tcBorders>
            <w:shd w:val="clear" w:color="auto" w:fill="auto"/>
            <w:vAlign w:val="bottom"/>
            <w:hideMark/>
          </w:tcPr>
          <w:p w14:paraId="0563BE01" w14:textId="77777777" w:rsidR="00DA7109" w:rsidRPr="00DA7109" w:rsidRDefault="00DA7109" w:rsidP="00DA7109">
            <w:pPr>
              <w:jc w:val="center"/>
              <w:rPr>
                <w:rFonts w:ascii="MS PGothic" w:eastAsia="MS PGothic" w:hAnsi="MS PGothic"/>
                <w:sz w:val="22"/>
                <w:szCs w:val="22"/>
                <w:lang w:val="de-DE" w:eastAsia="de-DE"/>
              </w:rPr>
            </w:pPr>
            <w:r w:rsidRPr="00DA7109">
              <w:rPr>
                <w:rFonts w:ascii="MS PGothic" w:eastAsia="MS PGothic" w:hAnsi="MS PGothic" w:hint="eastAsia"/>
                <w:sz w:val="22"/>
                <w:szCs w:val="22"/>
                <w:lang w:val="de-DE" w:eastAsia="de-DE"/>
              </w:rPr>
              <w:t> </w:t>
            </w:r>
          </w:p>
        </w:tc>
        <w:tc>
          <w:tcPr>
            <w:tcW w:w="105" w:type="dxa"/>
            <w:tcBorders>
              <w:top w:val="nil"/>
              <w:left w:val="nil"/>
              <w:bottom w:val="single" w:sz="4" w:space="0" w:color="FFFFFF"/>
              <w:right w:val="single" w:sz="4" w:space="0" w:color="FFFFFF"/>
            </w:tcBorders>
            <w:shd w:val="clear" w:color="auto" w:fill="auto"/>
            <w:vAlign w:val="bottom"/>
            <w:hideMark/>
          </w:tcPr>
          <w:p w14:paraId="5E7CF019"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48B2DA1E" w14:textId="77777777" w:rsidTr="00DA7109">
        <w:trPr>
          <w:trHeight w:val="360"/>
          <w:jc w:val="center"/>
        </w:trPr>
        <w:tc>
          <w:tcPr>
            <w:tcW w:w="1790" w:type="dxa"/>
            <w:tcBorders>
              <w:top w:val="nil"/>
              <w:left w:val="single" w:sz="4" w:space="0" w:color="FFFFFF"/>
              <w:bottom w:val="single" w:sz="4" w:space="0" w:color="FFFFFF"/>
              <w:right w:val="single" w:sz="4" w:space="0" w:color="auto"/>
            </w:tcBorders>
            <w:shd w:val="clear" w:color="auto" w:fill="auto"/>
            <w:vAlign w:val="bottom"/>
            <w:hideMark/>
          </w:tcPr>
          <w:p w14:paraId="653AC9F4"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R</w:t>
            </w:r>
            <w:r w:rsidRPr="00DA7109">
              <w:rPr>
                <w:rFonts w:eastAsia="Times New Roman"/>
                <w:sz w:val="22"/>
                <w:szCs w:val="22"/>
                <w:vertAlign w:val="superscript"/>
                <w:lang w:val="de-DE" w:eastAsia="de-DE"/>
              </w:rPr>
              <w:t>2</w:t>
            </w:r>
          </w:p>
        </w:tc>
        <w:tc>
          <w:tcPr>
            <w:tcW w:w="1088" w:type="dxa"/>
            <w:gridSpan w:val="2"/>
            <w:tcBorders>
              <w:top w:val="single" w:sz="4" w:space="0" w:color="FFFFFF"/>
              <w:left w:val="nil"/>
              <w:bottom w:val="single" w:sz="4" w:space="0" w:color="FFFFFF"/>
              <w:right w:val="single" w:sz="4" w:space="0" w:color="FFFFFF"/>
            </w:tcBorders>
            <w:shd w:val="clear" w:color="auto" w:fill="auto"/>
            <w:noWrap/>
            <w:vAlign w:val="bottom"/>
            <w:hideMark/>
          </w:tcPr>
          <w:p w14:paraId="1B628EF4"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0.028</w:t>
            </w:r>
          </w:p>
        </w:tc>
        <w:tc>
          <w:tcPr>
            <w:tcW w:w="100" w:type="dxa"/>
            <w:tcBorders>
              <w:top w:val="nil"/>
              <w:left w:val="nil"/>
              <w:bottom w:val="single" w:sz="4" w:space="0" w:color="FFFFFF"/>
              <w:right w:val="single" w:sz="4" w:space="0" w:color="FFFFFF"/>
            </w:tcBorders>
            <w:shd w:val="clear" w:color="auto" w:fill="auto"/>
            <w:noWrap/>
            <w:vAlign w:val="bottom"/>
            <w:hideMark/>
          </w:tcPr>
          <w:p w14:paraId="2F12DD0A"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1082" w:type="dxa"/>
            <w:gridSpan w:val="2"/>
            <w:tcBorders>
              <w:top w:val="single" w:sz="4" w:space="0" w:color="FFFFFF"/>
              <w:left w:val="nil"/>
              <w:bottom w:val="single" w:sz="4" w:space="0" w:color="FFFFFF"/>
              <w:right w:val="single" w:sz="4" w:space="0" w:color="FFFFFF"/>
            </w:tcBorders>
            <w:shd w:val="clear" w:color="auto" w:fill="auto"/>
            <w:noWrap/>
            <w:vAlign w:val="bottom"/>
            <w:hideMark/>
          </w:tcPr>
          <w:p w14:paraId="01B69D88"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0.017</w:t>
            </w:r>
          </w:p>
        </w:tc>
        <w:tc>
          <w:tcPr>
            <w:tcW w:w="106" w:type="dxa"/>
            <w:tcBorders>
              <w:top w:val="nil"/>
              <w:left w:val="nil"/>
              <w:bottom w:val="single" w:sz="4" w:space="0" w:color="FFFFFF"/>
              <w:right w:val="single" w:sz="4" w:space="0" w:color="auto"/>
            </w:tcBorders>
            <w:shd w:val="clear" w:color="auto" w:fill="auto"/>
            <w:noWrap/>
            <w:vAlign w:val="bottom"/>
            <w:hideMark/>
          </w:tcPr>
          <w:p w14:paraId="55C6162A"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1077" w:type="dxa"/>
            <w:gridSpan w:val="2"/>
            <w:tcBorders>
              <w:top w:val="single" w:sz="4" w:space="0" w:color="FFFFFF"/>
              <w:left w:val="nil"/>
              <w:bottom w:val="single" w:sz="4" w:space="0" w:color="FFFFFF"/>
              <w:right w:val="single" w:sz="4" w:space="0" w:color="FFFFFF"/>
            </w:tcBorders>
            <w:shd w:val="clear" w:color="auto" w:fill="auto"/>
            <w:noWrap/>
            <w:vAlign w:val="bottom"/>
            <w:hideMark/>
          </w:tcPr>
          <w:p w14:paraId="2B4D2619"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0.060</w:t>
            </w:r>
          </w:p>
        </w:tc>
        <w:tc>
          <w:tcPr>
            <w:tcW w:w="100" w:type="dxa"/>
            <w:tcBorders>
              <w:top w:val="nil"/>
              <w:left w:val="nil"/>
              <w:bottom w:val="single" w:sz="4" w:space="0" w:color="FFFFFF"/>
              <w:right w:val="single" w:sz="4" w:space="0" w:color="FFFFFF"/>
            </w:tcBorders>
            <w:shd w:val="clear" w:color="auto" w:fill="auto"/>
            <w:noWrap/>
            <w:vAlign w:val="bottom"/>
            <w:hideMark/>
          </w:tcPr>
          <w:p w14:paraId="49BB5995"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1072" w:type="dxa"/>
            <w:gridSpan w:val="2"/>
            <w:tcBorders>
              <w:top w:val="single" w:sz="4" w:space="0" w:color="FFFFFF"/>
              <w:left w:val="nil"/>
              <w:bottom w:val="single" w:sz="4" w:space="0" w:color="FFFFFF"/>
              <w:right w:val="single" w:sz="4" w:space="0" w:color="FFFFFF"/>
            </w:tcBorders>
            <w:shd w:val="clear" w:color="auto" w:fill="auto"/>
            <w:noWrap/>
            <w:vAlign w:val="bottom"/>
            <w:hideMark/>
          </w:tcPr>
          <w:p w14:paraId="3368946D"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0.084</w:t>
            </w:r>
          </w:p>
        </w:tc>
        <w:tc>
          <w:tcPr>
            <w:tcW w:w="105" w:type="dxa"/>
            <w:tcBorders>
              <w:top w:val="nil"/>
              <w:left w:val="nil"/>
              <w:bottom w:val="single" w:sz="4" w:space="0" w:color="FFFFFF"/>
              <w:right w:val="single" w:sz="4" w:space="0" w:color="FFFFFF"/>
            </w:tcBorders>
            <w:shd w:val="clear" w:color="auto" w:fill="auto"/>
            <w:noWrap/>
            <w:vAlign w:val="bottom"/>
            <w:hideMark/>
          </w:tcPr>
          <w:p w14:paraId="4E12F7A2"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356A1C4E" w14:textId="77777777" w:rsidTr="00DA7109">
        <w:trPr>
          <w:trHeight w:val="360"/>
          <w:jc w:val="center"/>
        </w:trPr>
        <w:tc>
          <w:tcPr>
            <w:tcW w:w="1790" w:type="dxa"/>
            <w:tcBorders>
              <w:top w:val="nil"/>
              <w:left w:val="single" w:sz="4" w:space="0" w:color="FFFFFF"/>
              <w:bottom w:val="double" w:sz="6" w:space="0" w:color="auto"/>
              <w:right w:val="single" w:sz="4" w:space="0" w:color="auto"/>
            </w:tcBorders>
            <w:shd w:val="clear" w:color="auto" w:fill="auto"/>
            <w:vAlign w:val="bottom"/>
            <w:hideMark/>
          </w:tcPr>
          <w:p w14:paraId="106689B1" w14:textId="77777777" w:rsidR="00DA7109" w:rsidRPr="00DA7109" w:rsidRDefault="00DA7109" w:rsidP="00DA7109">
            <w:pPr>
              <w:rPr>
                <w:rFonts w:eastAsia="Times New Roman"/>
                <w:sz w:val="22"/>
                <w:szCs w:val="22"/>
                <w:lang w:val="de-DE" w:eastAsia="de-DE"/>
              </w:rPr>
            </w:pPr>
            <w:r w:rsidRPr="00DA7109">
              <w:rPr>
                <w:rFonts w:eastAsia="Times New Roman"/>
                <w:sz w:val="22"/>
                <w:szCs w:val="22"/>
                <w:lang w:val="de-DE" w:eastAsia="de-DE"/>
              </w:rPr>
              <w:t>N</w:t>
            </w:r>
          </w:p>
        </w:tc>
        <w:tc>
          <w:tcPr>
            <w:tcW w:w="1088" w:type="dxa"/>
            <w:gridSpan w:val="2"/>
            <w:tcBorders>
              <w:top w:val="single" w:sz="4" w:space="0" w:color="FFFFFF"/>
              <w:left w:val="nil"/>
              <w:bottom w:val="double" w:sz="6" w:space="0" w:color="auto"/>
              <w:right w:val="single" w:sz="4" w:space="0" w:color="FFFFFF"/>
            </w:tcBorders>
            <w:shd w:val="clear" w:color="auto" w:fill="auto"/>
            <w:noWrap/>
            <w:vAlign w:val="bottom"/>
            <w:hideMark/>
          </w:tcPr>
          <w:p w14:paraId="48BD0824"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381</w:t>
            </w:r>
          </w:p>
        </w:tc>
        <w:tc>
          <w:tcPr>
            <w:tcW w:w="100" w:type="dxa"/>
            <w:tcBorders>
              <w:top w:val="nil"/>
              <w:left w:val="nil"/>
              <w:bottom w:val="double" w:sz="6" w:space="0" w:color="auto"/>
              <w:right w:val="single" w:sz="4" w:space="0" w:color="FFFFFF"/>
            </w:tcBorders>
            <w:shd w:val="clear" w:color="auto" w:fill="auto"/>
            <w:noWrap/>
            <w:vAlign w:val="bottom"/>
            <w:hideMark/>
          </w:tcPr>
          <w:p w14:paraId="16EE39CD"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1082" w:type="dxa"/>
            <w:gridSpan w:val="2"/>
            <w:tcBorders>
              <w:top w:val="single" w:sz="4" w:space="0" w:color="FFFFFF"/>
              <w:left w:val="nil"/>
              <w:bottom w:val="double" w:sz="6" w:space="0" w:color="auto"/>
              <w:right w:val="single" w:sz="4" w:space="0" w:color="FFFFFF"/>
            </w:tcBorders>
            <w:shd w:val="clear" w:color="auto" w:fill="auto"/>
            <w:noWrap/>
            <w:vAlign w:val="bottom"/>
            <w:hideMark/>
          </w:tcPr>
          <w:p w14:paraId="4C2C3674"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381</w:t>
            </w:r>
          </w:p>
        </w:tc>
        <w:tc>
          <w:tcPr>
            <w:tcW w:w="106" w:type="dxa"/>
            <w:tcBorders>
              <w:top w:val="nil"/>
              <w:left w:val="nil"/>
              <w:bottom w:val="double" w:sz="6" w:space="0" w:color="auto"/>
              <w:right w:val="single" w:sz="4" w:space="0" w:color="auto"/>
            </w:tcBorders>
            <w:shd w:val="clear" w:color="auto" w:fill="auto"/>
            <w:noWrap/>
            <w:vAlign w:val="bottom"/>
            <w:hideMark/>
          </w:tcPr>
          <w:p w14:paraId="5731D6D5"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1077" w:type="dxa"/>
            <w:gridSpan w:val="2"/>
            <w:tcBorders>
              <w:top w:val="single" w:sz="4" w:space="0" w:color="FFFFFF"/>
              <w:left w:val="nil"/>
              <w:bottom w:val="double" w:sz="6" w:space="0" w:color="auto"/>
              <w:right w:val="single" w:sz="4" w:space="0" w:color="FFFFFF"/>
            </w:tcBorders>
            <w:shd w:val="clear" w:color="auto" w:fill="auto"/>
            <w:noWrap/>
            <w:vAlign w:val="bottom"/>
            <w:hideMark/>
          </w:tcPr>
          <w:p w14:paraId="2E0B894A"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381</w:t>
            </w:r>
          </w:p>
        </w:tc>
        <w:tc>
          <w:tcPr>
            <w:tcW w:w="100" w:type="dxa"/>
            <w:tcBorders>
              <w:top w:val="nil"/>
              <w:left w:val="nil"/>
              <w:bottom w:val="double" w:sz="6" w:space="0" w:color="auto"/>
              <w:right w:val="single" w:sz="4" w:space="0" w:color="FFFFFF"/>
            </w:tcBorders>
            <w:shd w:val="clear" w:color="auto" w:fill="auto"/>
            <w:noWrap/>
            <w:vAlign w:val="bottom"/>
            <w:hideMark/>
          </w:tcPr>
          <w:p w14:paraId="0B9EA28B"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c>
          <w:tcPr>
            <w:tcW w:w="1072" w:type="dxa"/>
            <w:gridSpan w:val="2"/>
            <w:tcBorders>
              <w:top w:val="single" w:sz="4" w:space="0" w:color="FFFFFF"/>
              <w:left w:val="nil"/>
              <w:bottom w:val="double" w:sz="6" w:space="0" w:color="auto"/>
              <w:right w:val="single" w:sz="4" w:space="0" w:color="FFFFFF"/>
            </w:tcBorders>
            <w:shd w:val="clear" w:color="auto" w:fill="auto"/>
            <w:noWrap/>
            <w:vAlign w:val="bottom"/>
            <w:hideMark/>
          </w:tcPr>
          <w:p w14:paraId="5FCE6CFC"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381</w:t>
            </w:r>
          </w:p>
        </w:tc>
        <w:tc>
          <w:tcPr>
            <w:tcW w:w="105" w:type="dxa"/>
            <w:tcBorders>
              <w:top w:val="nil"/>
              <w:left w:val="nil"/>
              <w:bottom w:val="double" w:sz="6" w:space="0" w:color="auto"/>
              <w:right w:val="single" w:sz="4" w:space="0" w:color="FFFFFF"/>
            </w:tcBorders>
            <w:shd w:val="clear" w:color="auto" w:fill="auto"/>
            <w:noWrap/>
            <w:vAlign w:val="bottom"/>
            <w:hideMark/>
          </w:tcPr>
          <w:p w14:paraId="0D37EC1F" w14:textId="77777777" w:rsidR="00DA7109" w:rsidRPr="00DA7109" w:rsidRDefault="00DA7109" w:rsidP="00DA7109">
            <w:pPr>
              <w:jc w:val="center"/>
              <w:rPr>
                <w:rFonts w:eastAsia="Times New Roman"/>
                <w:sz w:val="22"/>
                <w:szCs w:val="22"/>
                <w:lang w:val="de-DE" w:eastAsia="de-DE"/>
              </w:rPr>
            </w:pPr>
            <w:r w:rsidRPr="00DA7109">
              <w:rPr>
                <w:rFonts w:eastAsia="Times New Roman"/>
                <w:sz w:val="22"/>
                <w:szCs w:val="22"/>
                <w:lang w:val="de-DE" w:eastAsia="de-DE"/>
              </w:rPr>
              <w:t> </w:t>
            </w:r>
          </w:p>
        </w:tc>
      </w:tr>
      <w:tr w:rsidR="00DA7109" w:rsidRPr="00DA7109" w14:paraId="4339253A" w14:textId="77777777" w:rsidTr="00DA7109">
        <w:trPr>
          <w:trHeight w:val="525"/>
          <w:jc w:val="center"/>
        </w:trPr>
        <w:tc>
          <w:tcPr>
            <w:tcW w:w="6520" w:type="dxa"/>
            <w:gridSpan w:val="13"/>
            <w:tcBorders>
              <w:top w:val="nil"/>
              <w:left w:val="single" w:sz="4" w:space="0" w:color="FFFFFF"/>
              <w:bottom w:val="single" w:sz="4" w:space="0" w:color="FFFFFF"/>
              <w:right w:val="single" w:sz="4" w:space="0" w:color="FFFFFF"/>
            </w:tcBorders>
            <w:shd w:val="clear" w:color="auto" w:fill="auto"/>
            <w:vAlign w:val="center"/>
            <w:hideMark/>
          </w:tcPr>
          <w:p w14:paraId="42CCBB45" w14:textId="77777777" w:rsidR="00DA7109" w:rsidRPr="00DA7109" w:rsidRDefault="00DA7109" w:rsidP="00DA7109">
            <w:pPr>
              <w:rPr>
                <w:rFonts w:eastAsia="Times New Roman"/>
                <w:color w:val="000000"/>
                <w:lang w:val="de-DE" w:eastAsia="de-DE"/>
              </w:rPr>
            </w:pPr>
            <w:r w:rsidRPr="00DA7109">
              <w:rPr>
                <w:rFonts w:eastAsia="Times New Roman"/>
                <w:color w:val="000000"/>
                <w:lang w:eastAsia="de-DE"/>
              </w:rPr>
              <w:t xml:space="preserve">Notes: Standard errors clustered by session in parenthesis.  </w:t>
            </w:r>
            <w:proofErr w:type="spellStart"/>
            <w:r w:rsidRPr="00DA7109">
              <w:rPr>
                <w:rFonts w:eastAsia="Times New Roman"/>
                <w:color w:val="000000"/>
                <w:lang w:val="de-DE" w:eastAsia="de-DE"/>
              </w:rPr>
              <w:t>Significance</w:t>
            </w:r>
            <w:proofErr w:type="spellEnd"/>
            <w:r w:rsidRPr="00DA7109">
              <w:rPr>
                <w:rFonts w:eastAsia="Times New Roman"/>
                <w:color w:val="000000"/>
                <w:lang w:val="de-DE" w:eastAsia="de-DE"/>
              </w:rPr>
              <w:t xml:space="preserve"> </w:t>
            </w:r>
            <w:proofErr w:type="spellStart"/>
            <w:r w:rsidRPr="00DA7109">
              <w:rPr>
                <w:rFonts w:eastAsia="Times New Roman"/>
                <w:color w:val="000000"/>
                <w:lang w:val="de-DE" w:eastAsia="de-DE"/>
              </w:rPr>
              <w:t>levels</w:t>
            </w:r>
            <w:proofErr w:type="spellEnd"/>
            <w:r w:rsidRPr="00DA7109">
              <w:rPr>
                <w:rFonts w:eastAsia="Times New Roman"/>
                <w:color w:val="000000"/>
                <w:lang w:val="de-DE" w:eastAsia="de-DE"/>
              </w:rPr>
              <w:t>: * (10%), ** (5%) and *** (1%).</w:t>
            </w:r>
          </w:p>
        </w:tc>
      </w:tr>
    </w:tbl>
    <w:p w14:paraId="332A5DF6" w14:textId="40A3356F" w:rsidR="00B676C2" w:rsidRPr="00A71533" w:rsidRDefault="00B676C2" w:rsidP="00B676C2">
      <w:pPr>
        <w:spacing w:after="120" w:line="480" w:lineRule="auto"/>
        <w:jc w:val="center"/>
        <w:rPr>
          <w:sz w:val="24"/>
          <w:szCs w:val="24"/>
        </w:rPr>
      </w:pPr>
    </w:p>
    <w:p w14:paraId="5B6187CF" w14:textId="27A8CA2A" w:rsidR="00F423B6" w:rsidRPr="00A71533" w:rsidRDefault="00F423B6" w:rsidP="00A955F2">
      <w:pPr>
        <w:spacing w:after="120" w:line="480" w:lineRule="auto"/>
        <w:ind w:firstLine="709"/>
        <w:jc w:val="both"/>
        <w:rPr>
          <w:sz w:val="24"/>
          <w:szCs w:val="24"/>
        </w:rPr>
      </w:pPr>
      <w:r>
        <w:rPr>
          <w:sz w:val="24"/>
          <w:szCs w:val="24"/>
        </w:rPr>
        <w:lastRenderedPageBreak/>
        <w:t xml:space="preserve">Finally, we analyze whether </w:t>
      </w:r>
      <w:r w:rsidRPr="00774D54">
        <w:rPr>
          <w:sz w:val="24"/>
          <w:szCs w:val="24"/>
        </w:rPr>
        <w:t>subjects correctly predict that prices will drop in high-liquidity treatments when the 3rd-to-last generation is trading with the penultimate gener</w:t>
      </w:r>
      <w:r w:rsidRPr="00774D54">
        <w:rPr>
          <w:sz w:val="24"/>
          <w:szCs w:val="24"/>
        </w:rPr>
        <w:t>a</w:t>
      </w:r>
      <w:r w:rsidRPr="00774D54">
        <w:rPr>
          <w:sz w:val="24"/>
          <w:szCs w:val="24"/>
        </w:rPr>
        <w:t>tion</w:t>
      </w:r>
      <w:r>
        <w:rPr>
          <w:sz w:val="24"/>
          <w:szCs w:val="24"/>
        </w:rPr>
        <w:t xml:space="preserve">. </w:t>
      </w:r>
      <w:r w:rsidRPr="00A71533">
        <w:rPr>
          <w:sz w:val="24"/>
          <w:szCs w:val="24"/>
        </w:rPr>
        <w:t>In high liquidity treatments, of 78 periods when the 3rd-to-last generation is trading with the penultimate generation, 58 periods experienced a price drop (compared to the period</w:t>
      </w:r>
      <w:r>
        <w:rPr>
          <w:sz w:val="24"/>
          <w:szCs w:val="24"/>
        </w:rPr>
        <w:t xml:space="preserve"> b</w:t>
      </w:r>
      <w:r>
        <w:rPr>
          <w:sz w:val="24"/>
          <w:szCs w:val="24"/>
        </w:rPr>
        <w:t>e</w:t>
      </w:r>
      <w:r>
        <w:rPr>
          <w:sz w:val="24"/>
          <w:szCs w:val="24"/>
        </w:rPr>
        <w:t>fore</w:t>
      </w:r>
      <w:r w:rsidRPr="00A71533">
        <w:rPr>
          <w:sz w:val="24"/>
          <w:szCs w:val="24"/>
        </w:rPr>
        <w:t xml:space="preserve">). Of </w:t>
      </w:r>
      <w:r>
        <w:rPr>
          <w:sz w:val="24"/>
          <w:szCs w:val="24"/>
        </w:rPr>
        <w:t xml:space="preserve">the </w:t>
      </w:r>
      <w:r w:rsidRPr="00A71533">
        <w:rPr>
          <w:sz w:val="24"/>
          <w:szCs w:val="24"/>
        </w:rPr>
        <w:t xml:space="preserve">58 periods with price drops in 39 periods (67.2% of cases) subjects correctly expected </w:t>
      </w:r>
      <w:r>
        <w:rPr>
          <w:sz w:val="24"/>
          <w:szCs w:val="24"/>
        </w:rPr>
        <w:t>a</w:t>
      </w:r>
      <w:r w:rsidRPr="00A71533">
        <w:rPr>
          <w:sz w:val="24"/>
          <w:szCs w:val="24"/>
        </w:rPr>
        <w:t xml:space="preserve"> pri</w:t>
      </w:r>
      <w:r>
        <w:rPr>
          <w:sz w:val="24"/>
          <w:szCs w:val="24"/>
        </w:rPr>
        <w:t>ce drop</w:t>
      </w:r>
      <w:r w:rsidRPr="00A71533">
        <w:rPr>
          <w:sz w:val="24"/>
          <w:szCs w:val="24"/>
        </w:rPr>
        <w:t>.</w:t>
      </w:r>
      <w:r w:rsidR="0016612E">
        <w:rPr>
          <w:sz w:val="24"/>
          <w:szCs w:val="24"/>
        </w:rPr>
        <w:t xml:space="preserve"> </w:t>
      </w:r>
      <w:r w:rsidR="00E831C8">
        <w:rPr>
          <w:sz w:val="24"/>
          <w:szCs w:val="24"/>
        </w:rPr>
        <w:t>In low liquidity treatments, i</w:t>
      </w:r>
      <w:r w:rsidRPr="00A71533">
        <w:rPr>
          <w:sz w:val="24"/>
          <w:szCs w:val="24"/>
        </w:rPr>
        <w:t>n 43 (74.1%) of 58 periods that exper</w:t>
      </w:r>
      <w:r w:rsidRPr="00A71533">
        <w:rPr>
          <w:sz w:val="24"/>
          <w:szCs w:val="24"/>
        </w:rPr>
        <w:t>i</w:t>
      </w:r>
      <w:r w:rsidRPr="00A71533">
        <w:rPr>
          <w:sz w:val="24"/>
          <w:szCs w:val="24"/>
        </w:rPr>
        <w:t>enced a price drop, the subjects correctly expected the price drop.</w:t>
      </w:r>
      <w:r>
        <w:rPr>
          <w:sz w:val="24"/>
          <w:szCs w:val="24"/>
        </w:rPr>
        <w:t xml:space="preserve"> We thus conclude that su</w:t>
      </w:r>
      <w:r>
        <w:rPr>
          <w:sz w:val="24"/>
          <w:szCs w:val="24"/>
        </w:rPr>
        <w:t>b</w:t>
      </w:r>
      <w:r>
        <w:rPr>
          <w:sz w:val="24"/>
          <w:szCs w:val="24"/>
        </w:rPr>
        <w:t>jects are mostly able to predict the price drop once the penultimate generation enters the ma</w:t>
      </w:r>
      <w:r>
        <w:rPr>
          <w:sz w:val="24"/>
          <w:szCs w:val="24"/>
        </w:rPr>
        <w:t>r</w:t>
      </w:r>
      <w:r>
        <w:rPr>
          <w:sz w:val="24"/>
          <w:szCs w:val="24"/>
        </w:rPr>
        <w:t>ket.</w:t>
      </w:r>
    </w:p>
    <w:sectPr w:rsidR="00F423B6" w:rsidRPr="00A71533" w:rsidSect="00E97161">
      <w:endnotePr>
        <w:numFmt w:val="decimal"/>
      </w:endnotePr>
      <w:pgSz w:w="11907" w:h="16840" w:code="9"/>
      <w:pgMar w:top="1440" w:right="1440" w:bottom="1440" w:left="1440" w:header="851" w:footer="992" w:gutter="0"/>
      <w:cols w:space="425"/>
      <w:docGrid w:linePitch="55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B43E2" w15:done="0"/>
  <w15:commentEx w15:paraId="22873FE7" w15:done="0"/>
  <w15:commentEx w15:paraId="0E8FAA47" w15:done="0"/>
  <w15:commentEx w15:paraId="5F76FF0D" w15:done="0"/>
  <w15:commentEx w15:paraId="13E07386" w15:done="0"/>
  <w15:commentEx w15:paraId="45D76F2A" w15:done="0"/>
  <w15:commentEx w15:paraId="5934ACA0" w15:done="0"/>
  <w15:commentEx w15:paraId="064473E4" w15:paraIdParent="5934ACA0" w15:done="0"/>
  <w15:commentEx w15:paraId="022EE4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7784B" w14:textId="77777777" w:rsidR="00795305" w:rsidRDefault="00795305">
      <w:r>
        <w:separator/>
      </w:r>
    </w:p>
  </w:endnote>
  <w:endnote w:type="continuationSeparator" w:id="0">
    <w:p w14:paraId="51251522" w14:textId="77777777" w:rsidR="00795305" w:rsidRDefault="0079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dvMc_Times-i">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6DF5B" w14:textId="77777777" w:rsidR="00795305" w:rsidRDefault="00795305" w:rsidP="004B0B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D38CA2" w14:textId="77777777" w:rsidR="00795305" w:rsidRDefault="0079530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F7D1" w14:textId="39F3A1ED" w:rsidR="00795305" w:rsidRDefault="00795305" w:rsidP="009B167A">
    <w:pPr>
      <w:pStyle w:val="Fuzeile"/>
      <w:jc w:val="right"/>
    </w:pPr>
    <w:r>
      <w:fldChar w:fldCharType="begin"/>
    </w:r>
    <w:r>
      <w:instrText xml:space="preserve"> PAGE   \* MERGEFORMAT </w:instrText>
    </w:r>
    <w:r>
      <w:fldChar w:fldCharType="separate"/>
    </w:r>
    <w:r w:rsidR="00BC412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D6ED0" w14:textId="77777777" w:rsidR="00795305" w:rsidRDefault="00795305">
      <w:r>
        <w:separator/>
      </w:r>
    </w:p>
  </w:footnote>
  <w:footnote w:type="continuationSeparator" w:id="0">
    <w:p w14:paraId="1A32BBEB" w14:textId="77777777" w:rsidR="00795305" w:rsidRDefault="00795305">
      <w:r>
        <w:continuationSeparator/>
      </w:r>
    </w:p>
  </w:footnote>
  <w:footnote w:id="1">
    <w:p w14:paraId="40215D91" w14:textId="77777777" w:rsidR="00BC412C" w:rsidRPr="002153C8" w:rsidRDefault="00BC412C" w:rsidP="00BC412C">
      <w:pPr>
        <w:pStyle w:val="Funotentext"/>
      </w:pPr>
      <w:r>
        <w:rPr>
          <w:rStyle w:val="Funotenzeichen"/>
        </w:rPr>
        <w:footnoteRef/>
      </w:r>
      <w:r>
        <w:t xml:space="preserve"> We thank </w:t>
      </w:r>
      <w:proofErr w:type="spellStart"/>
      <w:r>
        <w:t>Kohei</w:t>
      </w:r>
      <w:proofErr w:type="spellEnd"/>
      <w:r>
        <w:t xml:space="preserve"> Kawamura and participants at the </w:t>
      </w:r>
      <w:r w:rsidRPr="00240B3E">
        <w:t>Yale School of Management Faculty Workshop</w:t>
      </w:r>
      <w:r>
        <w:t>, seminars at Tinbergen Institute,</w:t>
      </w:r>
      <w:r w:rsidRPr="00240B3E">
        <w:t xml:space="preserve"> </w:t>
      </w:r>
      <w:proofErr w:type="spellStart"/>
      <w:r>
        <w:t>Aoyamagakuin</w:t>
      </w:r>
      <w:proofErr w:type="spellEnd"/>
      <w:r>
        <w:t xml:space="preserve">, </w:t>
      </w:r>
      <w:proofErr w:type="spellStart"/>
      <w:r>
        <w:t>Hitotsubashi</w:t>
      </w:r>
      <w:proofErr w:type="spellEnd"/>
      <w:r>
        <w:t>, the Experimental Finance Conference 2014 and 2016, NFA meeting 2015, London School of Economics, and Barcelona GSE Summer Forum 2016 for helpful comment</w:t>
      </w:r>
      <w:r w:rsidRPr="0063534F">
        <w:rPr>
          <w:color w:val="000000" w:themeColor="text1"/>
        </w:rPr>
        <w:t>s</w:t>
      </w:r>
      <w:r w:rsidRPr="0063534F">
        <w:rPr>
          <w:color w:val="FF0000"/>
        </w:rPr>
        <w:t xml:space="preserve">. </w:t>
      </w:r>
      <w:r>
        <w:t>Financial support from the Austrian National Bank (</w:t>
      </w:r>
      <w:proofErr w:type="spellStart"/>
      <w:r>
        <w:t>OeNB</w:t>
      </w:r>
      <w:proofErr w:type="spellEnd"/>
      <w:r>
        <w:t xml:space="preserve"> grant 14953, Huber)</w:t>
      </w:r>
      <w:r>
        <w:rPr>
          <w:rFonts w:hint="eastAsia"/>
        </w:rPr>
        <w:t>,</w:t>
      </w:r>
      <w:r>
        <w:t xml:space="preserve"> </w:t>
      </w:r>
      <w:r w:rsidRPr="006D3F62">
        <w:rPr>
          <w:szCs w:val="24"/>
        </w:rPr>
        <w:t>JSPS KAKENHI</w:t>
      </w:r>
      <w:r>
        <w:rPr>
          <w:rFonts w:hint="eastAsia"/>
          <w:szCs w:val="24"/>
        </w:rPr>
        <w:t xml:space="preserve"> (</w:t>
      </w:r>
      <w:r w:rsidRPr="006D3F62">
        <w:rPr>
          <w:szCs w:val="24"/>
        </w:rPr>
        <w:t>Grant Nu</w:t>
      </w:r>
      <w:r w:rsidRPr="006D3F62">
        <w:rPr>
          <w:szCs w:val="24"/>
        </w:rPr>
        <w:t>m</w:t>
      </w:r>
      <w:r w:rsidRPr="006D3F62">
        <w:rPr>
          <w:szCs w:val="24"/>
        </w:rPr>
        <w:t>ber 26590052</w:t>
      </w:r>
      <w:r>
        <w:rPr>
          <w:rFonts w:hint="eastAsia"/>
          <w:szCs w:val="24"/>
        </w:rPr>
        <w:t>, Hirota),</w:t>
      </w:r>
      <w:r w:rsidRPr="006D3F62">
        <w:rPr>
          <w:szCs w:val="24"/>
        </w:rPr>
        <w:t xml:space="preserve"> </w:t>
      </w:r>
      <w:r w:rsidRPr="000616DE">
        <w:t>UniCredit (Modigliani Re</w:t>
      </w:r>
      <w:r>
        <w:t>search Grant, 4th</w:t>
      </w:r>
      <w:r w:rsidRPr="000616DE">
        <w:t xml:space="preserve"> edition</w:t>
      </w:r>
      <w:r>
        <w:t>, Stöckl</w:t>
      </w:r>
      <w:r w:rsidRPr="000616DE">
        <w:t>)</w:t>
      </w:r>
      <w:r>
        <w:t xml:space="preserve"> and Yale University </w:t>
      </w:r>
      <w:r>
        <w:rPr>
          <w:rFonts w:hint="eastAsia"/>
        </w:rPr>
        <w:t>(Sunder) are</w:t>
      </w:r>
      <w:r>
        <w:t xml:space="preserve"> gratefully acknowledged. The experimental data are available from the authors.</w:t>
      </w:r>
    </w:p>
  </w:footnote>
  <w:footnote w:id="2">
    <w:p w14:paraId="5B0F4A2F" w14:textId="77777777" w:rsidR="00BC412C" w:rsidRPr="002153C8" w:rsidRDefault="00BC412C" w:rsidP="00BC412C">
      <w:pPr>
        <w:pStyle w:val="Funotentext"/>
        <w:suppressAutoHyphens/>
      </w:pPr>
      <w:r w:rsidRPr="002153C8">
        <w:footnoteRef/>
      </w:r>
      <w:r>
        <w:t xml:space="preserve"> </w:t>
      </w:r>
      <w:proofErr w:type="gramStart"/>
      <w:r w:rsidRPr="002153C8">
        <w:t xml:space="preserve">School of Commerce, </w:t>
      </w:r>
      <w:proofErr w:type="spellStart"/>
      <w:r w:rsidRPr="002153C8">
        <w:t>Waseda</w:t>
      </w:r>
      <w:proofErr w:type="spellEnd"/>
      <w:r w:rsidRPr="002153C8">
        <w:t xml:space="preserve"> University, 1-6-1 </w:t>
      </w:r>
      <w:proofErr w:type="spellStart"/>
      <w:r w:rsidRPr="002153C8">
        <w:t>Nishiwaseda</w:t>
      </w:r>
      <w:proofErr w:type="spellEnd"/>
      <w:r w:rsidRPr="002153C8">
        <w:t>, Shinjuku, Tokyo, 169-8050, Japan</w:t>
      </w:r>
      <w:r>
        <w:t>; shirota@waseda.jp.</w:t>
      </w:r>
      <w:proofErr w:type="gramEnd"/>
    </w:p>
  </w:footnote>
  <w:footnote w:id="3">
    <w:p w14:paraId="749DC3FD" w14:textId="77777777" w:rsidR="00BC412C" w:rsidRPr="002153C8" w:rsidRDefault="00BC412C" w:rsidP="00BC412C">
      <w:pPr>
        <w:pStyle w:val="Funotentext"/>
        <w:suppressAutoHyphens/>
      </w:pPr>
      <w:r w:rsidRPr="002153C8">
        <w:footnoteRef/>
      </w:r>
      <w:r>
        <w:t xml:space="preserve"> </w:t>
      </w:r>
      <w:proofErr w:type="gramStart"/>
      <w:r>
        <w:t xml:space="preserve">Department of Banking and Finance, University of Innsbruck, </w:t>
      </w:r>
      <w:proofErr w:type="spellStart"/>
      <w:r>
        <w:t>Universitaetsstrasse</w:t>
      </w:r>
      <w:proofErr w:type="spellEnd"/>
      <w:r>
        <w:t xml:space="preserve"> 15, 6020 Innsbruck, Austria; </w:t>
      </w:r>
      <w:r w:rsidRPr="00A923F4">
        <w:t>juergen.huber@uibk.ac.at</w:t>
      </w:r>
      <w:r>
        <w:t>.</w:t>
      </w:r>
      <w:proofErr w:type="gramEnd"/>
    </w:p>
  </w:footnote>
  <w:footnote w:id="4">
    <w:p w14:paraId="6374B5B9" w14:textId="77777777" w:rsidR="00BC412C" w:rsidRPr="00BD2B62" w:rsidRDefault="00BC412C" w:rsidP="00BC412C">
      <w:pPr>
        <w:pStyle w:val="Funotentext"/>
        <w:suppressAutoHyphens/>
        <w:rPr>
          <w:lang w:val="de-DE"/>
        </w:rPr>
      </w:pPr>
      <w:r>
        <w:rPr>
          <w:rStyle w:val="Funotenzeichen"/>
        </w:rPr>
        <w:footnoteRef/>
      </w:r>
      <w:r w:rsidRPr="00BD2B62">
        <w:rPr>
          <w:lang w:val="de-DE"/>
        </w:rPr>
        <w:t xml:space="preserve"> MCI Management Center Innsbruck, </w:t>
      </w:r>
      <w:proofErr w:type="spellStart"/>
      <w:r w:rsidRPr="00BD2B62">
        <w:rPr>
          <w:lang w:val="de-DE"/>
        </w:rPr>
        <w:t>Universitaetsstrasse</w:t>
      </w:r>
      <w:proofErr w:type="spellEnd"/>
      <w:r w:rsidRPr="00BD2B62">
        <w:rPr>
          <w:lang w:val="de-DE"/>
        </w:rPr>
        <w:t xml:space="preserve"> 15, 6020 Innsbruck, Austria; thomas.stoeckl@mci.edu.</w:t>
      </w:r>
    </w:p>
  </w:footnote>
  <w:footnote w:id="5">
    <w:p w14:paraId="0F6C5AF1" w14:textId="77777777" w:rsidR="00BC412C" w:rsidRPr="002153C8" w:rsidRDefault="00BC412C" w:rsidP="00BC412C">
      <w:pPr>
        <w:pStyle w:val="Funotentext"/>
        <w:suppressAutoHyphens/>
        <w:rPr>
          <w:rFonts w:ascii="AdvMc_Times-i" w:hAnsi="AdvMc_Times-i" w:cs="AdvMc_Times-i"/>
          <w:sz w:val="16"/>
          <w:szCs w:val="16"/>
        </w:rPr>
      </w:pPr>
      <w:r w:rsidRPr="002153C8">
        <w:footnoteRef/>
      </w:r>
      <w:r>
        <w:t xml:space="preserve"> </w:t>
      </w:r>
      <w:proofErr w:type="gramStart"/>
      <w:r w:rsidRPr="002153C8">
        <w:t>Yale School of Management, 1</w:t>
      </w:r>
      <w:r>
        <w:t>6</w:t>
      </w:r>
      <w:r w:rsidRPr="002153C8">
        <w:t xml:space="preserve">5 </w:t>
      </w:r>
      <w:r>
        <w:t>Whitney Avenue</w:t>
      </w:r>
      <w:r w:rsidRPr="002153C8">
        <w:t>, New Haven, Connecticut, 06511, USA</w:t>
      </w:r>
      <w:r>
        <w:t>; shyam.sunder@yale.edu.</w:t>
      </w:r>
      <w:proofErr w:type="gramEnd"/>
    </w:p>
  </w:footnote>
  <w:footnote w:id="6">
    <w:p w14:paraId="3286447E" w14:textId="6C9F830D" w:rsidR="00795305" w:rsidRPr="00EE4596" w:rsidRDefault="00795305">
      <w:pPr>
        <w:pStyle w:val="Funotentext"/>
      </w:pPr>
      <w:r>
        <w:rPr>
          <w:rStyle w:val="Funotenzeichen"/>
        </w:rPr>
        <w:footnoteRef/>
      </w:r>
      <w:r>
        <w:t xml:space="preserve"> Theo</w:t>
      </w:r>
      <w:r w:rsidRPr="00EE4596">
        <w:t>retical literature suggests several possib</w:t>
      </w:r>
      <w:r>
        <w:t>le reasons why short-term speculation could cause</w:t>
      </w:r>
      <w:r w:rsidRPr="007076D1">
        <w:t xml:space="preserve"> security price</w:t>
      </w:r>
      <w:r>
        <w:t>s to</w:t>
      </w:r>
      <w:r w:rsidRPr="007076D1">
        <w:t xml:space="preserve"> devia</w:t>
      </w:r>
      <w:r>
        <w:t xml:space="preserve">te from the fundamental values. </w:t>
      </w:r>
      <w:r w:rsidRPr="008616D3">
        <w:t>First, the rational bubble literature shows that when securities with infinite maturity are traded in a market populated by short-term speculators, price bubbles can emerge as the REE (e.g.</w:t>
      </w:r>
      <w:r>
        <w:t>,</w:t>
      </w:r>
      <w:r w:rsidRPr="008616D3">
        <w:t xml:space="preserve"> Blanchard and Watson 1982, Tirole 1985). In a second class of models </w:t>
      </w:r>
      <w:r>
        <w:t xml:space="preserve">speculation induces prices to deviate from </w:t>
      </w:r>
      <w:r w:rsidRPr="008616D3">
        <w:t xml:space="preserve">fundamentals </w:t>
      </w:r>
      <w:r>
        <w:t xml:space="preserve">due to </w:t>
      </w:r>
      <w:r w:rsidRPr="008616D3">
        <w:t xml:space="preserve">future investors’ noisy beliefs </w:t>
      </w:r>
      <w:r>
        <w:t xml:space="preserve">or asymmetric information </w:t>
      </w:r>
      <w:r w:rsidRPr="008616D3">
        <w:t>(</w:t>
      </w:r>
      <w:r>
        <w:t>Abreu and Bru</w:t>
      </w:r>
      <w:r>
        <w:t>n</w:t>
      </w:r>
      <w:r>
        <w:t xml:space="preserve">nermeier 2003, </w:t>
      </w:r>
      <w:r w:rsidRPr="008616D3">
        <w:t xml:space="preserve">Allen et al. 2006, De Long et al. 1990a, 1990b, Dow and Gorton 1994, </w:t>
      </w:r>
      <w:proofErr w:type="spellStart"/>
      <w:r w:rsidRPr="008616D3">
        <w:t>Froot</w:t>
      </w:r>
      <w:proofErr w:type="spellEnd"/>
      <w:r w:rsidRPr="008616D3">
        <w:t xml:space="preserve"> et al. 1992</w:t>
      </w:r>
      <w:r>
        <w:t xml:space="preserve">, </w:t>
      </w:r>
      <w:proofErr w:type="spellStart"/>
      <w:r>
        <w:t>Scheinman</w:t>
      </w:r>
      <w:proofErr w:type="spellEnd"/>
      <w:r>
        <w:t xml:space="preserve"> and </w:t>
      </w:r>
      <w:proofErr w:type="spellStart"/>
      <w:r>
        <w:t>Xiong</w:t>
      </w:r>
      <w:proofErr w:type="spellEnd"/>
      <w:r>
        <w:t xml:space="preserve"> 2003</w:t>
      </w:r>
      <w:r w:rsidRPr="008616D3">
        <w:t xml:space="preserve">). We should point out that both these classes of models, as well as standard finance theory, utilize the rational expectation hypothesis. Even the second class of models assume that </w:t>
      </w:r>
      <w:r w:rsidRPr="008616D3">
        <w:rPr>
          <w:i/>
        </w:rPr>
        <w:t>at least</w:t>
      </w:r>
      <w:r w:rsidRPr="008616D3">
        <w:t xml:space="preserve"> the cu</w:t>
      </w:r>
      <w:r w:rsidRPr="008616D3">
        <w:t>r</w:t>
      </w:r>
      <w:r w:rsidRPr="008616D3">
        <w:t xml:space="preserve">rent investors form rational expectations of future prices by considering how </w:t>
      </w:r>
      <w:r>
        <w:t xml:space="preserve">current and </w:t>
      </w:r>
      <w:r w:rsidRPr="008616D3">
        <w:t>future prices are d</w:t>
      </w:r>
      <w:r w:rsidRPr="008616D3">
        <w:t>e</w:t>
      </w:r>
      <w:r w:rsidRPr="008616D3">
        <w:t>termined by future investors’ beliefs.</w:t>
      </w:r>
    </w:p>
  </w:footnote>
  <w:footnote w:id="7">
    <w:p w14:paraId="63FE6A71" w14:textId="77777777" w:rsidR="00795305" w:rsidRPr="00387639" w:rsidRDefault="00795305" w:rsidP="00EB5A5B">
      <w:pPr>
        <w:pStyle w:val="Funotentext"/>
      </w:pPr>
      <w:r>
        <w:rPr>
          <w:rStyle w:val="Funotenzeichen"/>
        </w:rPr>
        <w:footnoteRef/>
      </w:r>
      <w:r>
        <w:t xml:space="preserve"> </w:t>
      </w:r>
      <w:proofErr w:type="spellStart"/>
      <w:r>
        <w:rPr>
          <w:rFonts w:hint="eastAsia"/>
        </w:rPr>
        <w:t>Xiong</w:t>
      </w:r>
      <w:proofErr w:type="spellEnd"/>
      <w:r>
        <w:rPr>
          <w:rFonts w:hint="eastAsia"/>
        </w:rPr>
        <w:t xml:space="preserve"> and Yu (2011) is a</w:t>
      </w:r>
      <w:r>
        <w:t xml:space="preserve"> </w:t>
      </w:r>
      <w:r>
        <w:rPr>
          <w:rFonts w:hint="eastAsia"/>
        </w:rPr>
        <w:t>n</w:t>
      </w:r>
      <w:r>
        <w:t>otable</w:t>
      </w:r>
      <w:r>
        <w:rPr>
          <w:rFonts w:hint="eastAsia"/>
        </w:rPr>
        <w:t xml:space="preserve"> exception. They </w:t>
      </w:r>
      <w:r>
        <w:t>examine</w:t>
      </w:r>
      <w:r>
        <w:rPr>
          <w:rFonts w:hint="eastAsia"/>
        </w:rPr>
        <w:t xml:space="preserve"> the case </w:t>
      </w:r>
      <w:r>
        <w:t>of</w:t>
      </w:r>
      <w:r>
        <w:rPr>
          <w:rFonts w:hint="eastAsia"/>
        </w:rPr>
        <w:t xml:space="preserve"> a dozen put warrants traded in China </w:t>
      </w:r>
      <w:r>
        <w:t xml:space="preserve">that </w:t>
      </w:r>
      <w:r>
        <w:rPr>
          <w:rFonts w:hint="eastAsia"/>
        </w:rPr>
        <w:t xml:space="preserve">went so deep out of money in 2005-2008 </w:t>
      </w:r>
      <w:r>
        <w:t>that</w:t>
      </w:r>
      <w:r>
        <w:rPr>
          <w:rFonts w:hint="eastAsia"/>
        </w:rPr>
        <w:t xml:space="preserve"> their fundamental values were </w:t>
      </w:r>
      <w:r>
        <w:t>practically</w:t>
      </w:r>
      <w:r>
        <w:rPr>
          <w:rFonts w:hint="eastAsia"/>
        </w:rPr>
        <w:t xml:space="preserve"> zero. They show that warrant</w:t>
      </w:r>
      <w:r>
        <w:t>s</w:t>
      </w:r>
      <w:r>
        <w:rPr>
          <w:rFonts w:hint="eastAsia"/>
        </w:rPr>
        <w:t xml:space="preserve"> traded </w:t>
      </w:r>
      <w:r>
        <w:t xml:space="preserve">at </w:t>
      </w:r>
      <w:r>
        <w:rPr>
          <w:rFonts w:hint="eastAsia"/>
        </w:rPr>
        <w:t xml:space="preserve">prices </w:t>
      </w:r>
      <w:r>
        <w:t>significantly</w:t>
      </w:r>
      <w:r>
        <w:rPr>
          <w:rFonts w:hint="eastAsia"/>
        </w:rPr>
        <w:t xml:space="preserve"> above zero </w:t>
      </w:r>
      <w:r>
        <w:t xml:space="preserve">which they characterize as </w:t>
      </w:r>
      <w:r>
        <w:rPr>
          <w:rFonts w:hint="eastAsia"/>
        </w:rPr>
        <w:t>bubbles.</w:t>
      </w:r>
    </w:p>
  </w:footnote>
  <w:footnote w:id="8">
    <w:p w14:paraId="016CC826" w14:textId="350874E0" w:rsidR="00795305" w:rsidRPr="00CB5FA1" w:rsidRDefault="00795305" w:rsidP="005C2BF1">
      <w:pPr>
        <w:pStyle w:val="Funotentext"/>
      </w:pPr>
      <w:r>
        <w:rPr>
          <w:rStyle w:val="Funotenzeichen"/>
        </w:rPr>
        <w:footnoteRef/>
      </w:r>
      <w:r w:rsidRPr="00CB5FA1">
        <w:t xml:space="preserve"> </w:t>
      </w:r>
      <w:r>
        <w:t xml:space="preserve">Akiyama et al. (2017) and </w:t>
      </w:r>
      <w:r w:rsidRPr="00CB5FA1">
        <w:t>Cheung et al. (2014) manipulate traders’ information regarding the rationality of others in the Smith et al. (1988) setting</w:t>
      </w:r>
      <w:r>
        <w:t xml:space="preserve">. They </w:t>
      </w:r>
      <w:r w:rsidRPr="00CB5FA1">
        <w:t xml:space="preserve">find that uncertainty over the rationality of others is responsible for a substantial part of the mispricing. This suggests that speculation on other’s irrationality is a </w:t>
      </w:r>
      <w:r>
        <w:t xml:space="preserve">potential </w:t>
      </w:r>
      <w:r w:rsidRPr="00CB5FA1">
        <w:t>cause of price volatility and bubbles.</w:t>
      </w:r>
    </w:p>
  </w:footnote>
  <w:footnote w:id="9">
    <w:p w14:paraId="4F298DB0" w14:textId="439D3A6A" w:rsidR="00795305" w:rsidRPr="001A5BD4" w:rsidRDefault="00795305" w:rsidP="00A94A4E">
      <w:pPr>
        <w:pStyle w:val="Funotentext"/>
      </w:pPr>
      <w:r>
        <w:rPr>
          <w:rStyle w:val="Funotenzeichen"/>
        </w:rPr>
        <w:footnoteRef/>
      </w:r>
      <w:r>
        <w:t xml:space="preserve"> Marimon and Sunder (1993) use an overlapping </w:t>
      </w:r>
      <w:proofErr w:type="gramStart"/>
      <w:r>
        <w:t>generations</w:t>
      </w:r>
      <w:proofErr w:type="gramEnd"/>
      <w:r>
        <w:t xml:space="preserve"> structure for their experiment on money and infl</w:t>
      </w:r>
      <w:r>
        <w:t>a</w:t>
      </w:r>
      <w:r w:rsidR="0016612E">
        <w:t xml:space="preserve">tion. </w:t>
      </w:r>
      <w:r>
        <w:rPr>
          <w:rFonts w:hint="eastAsia"/>
        </w:rPr>
        <w:t>Deck et al. (201</w:t>
      </w:r>
      <w:r>
        <w:t>4</w:t>
      </w:r>
      <w:r>
        <w:rPr>
          <w:rFonts w:hint="eastAsia"/>
        </w:rPr>
        <w:t xml:space="preserve">) design an overlapping generation structure </w:t>
      </w:r>
      <w:r>
        <w:t xml:space="preserve">for the asset market </w:t>
      </w:r>
      <w:r>
        <w:rPr>
          <w:rFonts w:hint="eastAsia"/>
        </w:rPr>
        <w:t xml:space="preserve">experiment </w:t>
      </w:r>
      <w:r>
        <w:t>in a</w:t>
      </w:r>
      <w:r>
        <w:rPr>
          <w:rFonts w:hint="eastAsia"/>
        </w:rPr>
        <w:t xml:space="preserve"> Smith et al. (1988) setting. Their experiment focuses on the effect of money injection on prices, accompanied by the entry of new generations. They do not examine the effect of speculati</w:t>
      </w:r>
      <w:r>
        <w:t>ve</w:t>
      </w:r>
      <w:r>
        <w:rPr>
          <w:rFonts w:hint="eastAsia"/>
        </w:rPr>
        <w:t xml:space="preserve"> trading. </w:t>
      </w:r>
    </w:p>
  </w:footnote>
  <w:footnote w:id="10">
    <w:p w14:paraId="082D73AE" w14:textId="14A9FFF5" w:rsidR="00795305" w:rsidRPr="009134AA" w:rsidRDefault="00795305" w:rsidP="00271A7B">
      <w:pPr>
        <w:pStyle w:val="Funotentext"/>
      </w:pPr>
      <w:r>
        <w:rPr>
          <w:rStyle w:val="Funotenzeichen"/>
        </w:rPr>
        <w:footnoteRef/>
      </w:r>
      <w:r>
        <w:t xml:space="preserve"> In their models, Allen et al. </w:t>
      </w:r>
      <w:r>
        <w:rPr>
          <w:rFonts w:hint="eastAsia"/>
        </w:rPr>
        <w:t xml:space="preserve">(2006) call these investors </w:t>
      </w:r>
      <w:r>
        <w:t>“</w:t>
      </w:r>
      <w:r>
        <w:rPr>
          <w:rFonts w:hint="eastAsia"/>
        </w:rPr>
        <w:t>short-lived investors</w:t>
      </w:r>
      <w:r>
        <w:t>”</w:t>
      </w:r>
      <w:r>
        <w:rPr>
          <w:rFonts w:hint="eastAsia"/>
        </w:rPr>
        <w:t xml:space="preserve"> and </w:t>
      </w:r>
      <w:proofErr w:type="spellStart"/>
      <w:r>
        <w:rPr>
          <w:rFonts w:hint="eastAsia"/>
        </w:rPr>
        <w:t>Froot</w:t>
      </w:r>
      <w:proofErr w:type="spellEnd"/>
      <w:r>
        <w:rPr>
          <w:rFonts w:hint="eastAsia"/>
        </w:rPr>
        <w:t xml:space="preserve"> et al. (1992) call them </w:t>
      </w:r>
      <w:r>
        <w:t>“</w:t>
      </w:r>
      <w:r>
        <w:rPr>
          <w:rFonts w:hint="eastAsia"/>
        </w:rPr>
        <w:t>sho</w:t>
      </w:r>
      <w:r>
        <w:t>r</w:t>
      </w:r>
      <w:r>
        <w:rPr>
          <w:rFonts w:hint="eastAsia"/>
        </w:rPr>
        <w:t>t-horizon speculators</w:t>
      </w:r>
      <w:r>
        <w:t>.”</w:t>
      </w:r>
    </w:p>
  </w:footnote>
  <w:footnote w:id="11">
    <w:p w14:paraId="52BB8C69" w14:textId="5186039D" w:rsidR="00795305" w:rsidRPr="007104C4" w:rsidRDefault="00795305" w:rsidP="008616D3">
      <w:pPr>
        <w:ind w:right="-45"/>
        <w:jc w:val="both"/>
      </w:pPr>
      <w:r>
        <w:rPr>
          <w:rStyle w:val="Funotenzeichen"/>
        </w:rPr>
        <w:footnoteRef/>
      </w:r>
      <w:r w:rsidRPr="006A366C">
        <w:t xml:space="preserve"> </w:t>
      </w:r>
      <w:r>
        <w:rPr>
          <w:rFonts w:hint="eastAsia"/>
          <w:lang w:eastAsia="ja-JP"/>
        </w:rPr>
        <w:t>Also</w:t>
      </w:r>
      <w:r w:rsidRPr="00D8660C">
        <w:rPr>
          <w:rFonts w:hint="eastAsia"/>
          <w:lang w:eastAsia="ja-JP"/>
        </w:rPr>
        <w:t xml:space="preserve"> </w:t>
      </w:r>
      <w:r>
        <w:rPr>
          <w:rFonts w:hint="eastAsia"/>
          <w:lang w:eastAsia="ja-JP"/>
        </w:rPr>
        <w:t>note that our experimental setting excludes two factors</w:t>
      </w:r>
      <w:r>
        <w:rPr>
          <w:rFonts w:hint="eastAsia"/>
          <w:lang w:eastAsia="ja-JP"/>
        </w:rPr>
        <w:sym w:font="Symbol" w:char="F0BE"/>
      </w:r>
      <w:r w:rsidRPr="006A366C">
        <w:rPr>
          <w:lang w:eastAsia="ja-JP"/>
        </w:rPr>
        <w:t>infinite maturity and heterogeneity of dividend expectations</w:t>
      </w:r>
      <w:r>
        <w:rPr>
          <w:rFonts w:hint="eastAsia"/>
          <w:lang w:eastAsia="ja-JP"/>
        </w:rPr>
        <w:sym w:font="Symbol" w:char="F0BE"/>
      </w:r>
      <w:r>
        <w:rPr>
          <w:rFonts w:hint="eastAsia"/>
          <w:lang w:eastAsia="ja-JP"/>
        </w:rPr>
        <w:t xml:space="preserve">that are </w:t>
      </w:r>
      <w:r>
        <w:rPr>
          <w:lang w:eastAsia="ja-JP"/>
        </w:rPr>
        <w:t xml:space="preserve">also </w:t>
      </w:r>
      <w:r w:rsidRPr="006A366C">
        <w:rPr>
          <w:lang w:eastAsia="ja-JP"/>
        </w:rPr>
        <w:t>supposed to cause prices to deviate from fundamen</w:t>
      </w:r>
      <w:r>
        <w:rPr>
          <w:lang w:eastAsia="ja-JP"/>
        </w:rPr>
        <w:t xml:space="preserve">tals in </w:t>
      </w:r>
      <w:r>
        <w:rPr>
          <w:rFonts w:hint="eastAsia"/>
          <w:lang w:eastAsia="ja-JP"/>
        </w:rPr>
        <w:t xml:space="preserve">theoretical models </w:t>
      </w:r>
      <w:r w:rsidRPr="00465A31">
        <w:rPr>
          <w:rFonts w:hint="eastAsia"/>
          <w:lang w:eastAsia="ja-JP"/>
        </w:rPr>
        <w:t>(Blanchard and Watson 1982, Tirole 1985, Allen et al. 2006, De</w:t>
      </w:r>
      <w:r>
        <w:rPr>
          <w:lang w:eastAsia="ja-JP"/>
        </w:rPr>
        <w:t xml:space="preserve"> L</w:t>
      </w:r>
      <w:r w:rsidRPr="00465A31">
        <w:rPr>
          <w:rFonts w:hint="eastAsia"/>
          <w:lang w:eastAsia="ja-JP"/>
        </w:rPr>
        <w:t xml:space="preserve">ong et al. 1990a, 1990b, Dow and Gorton 1994, </w:t>
      </w:r>
      <w:proofErr w:type="spellStart"/>
      <w:r w:rsidRPr="00465A31">
        <w:rPr>
          <w:rFonts w:hint="eastAsia"/>
          <w:lang w:eastAsia="ja-JP"/>
        </w:rPr>
        <w:t>Froot</w:t>
      </w:r>
      <w:proofErr w:type="spellEnd"/>
      <w:r w:rsidRPr="00465A31">
        <w:rPr>
          <w:rFonts w:hint="eastAsia"/>
          <w:lang w:eastAsia="ja-JP"/>
        </w:rPr>
        <w:t xml:space="preserve"> et al. 1992)</w:t>
      </w:r>
      <w:r>
        <w:rPr>
          <w:rFonts w:hint="eastAsia"/>
          <w:lang w:eastAsia="ja-JP"/>
        </w:rPr>
        <w:t xml:space="preserve">. By doing so, </w:t>
      </w:r>
      <w:r w:rsidRPr="006A366C">
        <w:rPr>
          <w:lang w:eastAsia="ja-JP"/>
        </w:rPr>
        <w:t xml:space="preserve">we examine if the deviation between prices and fundamentals may be rooted in more basic </w:t>
      </w:r>
      <w:r>
        <w:rPr>
          <w:lang w:eastAsia="ja-JP"/>
        </w:rPr>
        <w:t xml:space="preserve">investors’ </w:t>
      </w:r>
      <w:r w:rsidRPr="006A366C">
        <w:rPr>
          <w:lang w:eastAsia="ja-JP"/>
        </w:rPr>
        <w:t xml:space="preserve">difficulty of forming </w:t>
      </w:r>
      <w:r>
        <w:rPr>
          <w:lang w:eastAsia="ja-JP"/>
        </w:rPr>
        <w:t xml:space="preserve">common knowledge of </w:t>
      </w:r>
      <w:r w:rsidRPr="006A366C">
        <w:rPr>
          <w:lang w:eastAsia="ja-JP"/>
        </w:rPr>
        <w:t>rational expectations.</w:t>
      </w:r>
      <w:r>
        <w:rPr>
          <w:lang w:eastAsia="ja-JP"/>
        </w:rPr>
        <w:t xml:space="preserve"> Still, prices above and below 50 can be considered rational under certain assumptions, as we will argue in the hypotheses section.</w:t>
      </w:r>
    </w:p>
  </w:footnote>
  <w:footnote w:id="12">
    <w:p w14:paraId="00068CD0" w14:textId="3F306FBB" w:rsidR="00795305" w:rsidRPr="003A7463" w:rsidRDefault="00795305" w:rsidP="006635B6">
      <w:pPr>
        <w:pStyle w:val="Funotentext"/>
      </w:pPr>
      <w:r>
        <w:rPr>
          <w:rStyle w:val="Funotenzeichen"/>
        </w:rPr>
        <w:footnoteRef/>
      </w:r>
      <w:r>
        <w:t xml:space="preserve"> </w:t>
      </w:r>
      <w:r w:rsidRPr="00E1695B">
        <w:t>This dividend structure is far simpler than Smith et al. (1988) where the security pays numerous (period-by-period) stochastic dividends generating a declining fundamental value. We chose this simpler dividend structure in order to minimize</w:t>
      </w:r>
      <w:r>
        <w:t xml:space="preserve"> the chances of</w:t>
      </w:r>
      <w:r w:rsidRPr="00E1695B">
        <w:t xml:space="preserve"> subjects’ confusion and to gather data from markets populated only by spe</w:t>
      </w:r>
      <w:r w:rsidRPr="00E1695B">
        <w:t>c</w:t>
      </w:r>
      <w:r w:rsidRPr="00E1695B">
        <w:t>ulating investors.</w:t>
      </w:r>
      <w:r>
        <w:t xml:space="preserve"> </w:t>
      </w:r>
      <w:r w:rsidRPr="003A7463">
        <w:t>Smith et al.’s (1988) design makes it difficult to create speculating investors (who do not r</w:t>
      </w:r>
      <w:r w:rsidRPr="003A7463">
        <w:t>e</w:t>
      </w:r>
      <w:r w:rsidRPr="003A7463">
        <w:t>ceive dividend</w:t>
      </w:r>
      <w:r>
        <w:t>s</w:t>
      </w:r>
      <w:r w:rsidRPr="003A7463">
        <w:t xml:space="preserve"> and trade only for capital gains) in the overlapping-generations structure. In addition, </w:t>
      </w:r>
      <w:r w:rsidRPr="003A7463">
        <w:rPr>
          <w:rFonts w:hint="eastAsia"/>
        </w:rPr>
        <w:t>o</w:t>
      </w:r>
      <w:r w:rsidRPr="003A7463">
        <w:t xml:space="preserve">ur design of the </w:t>
      </w:r>
      <w:r w:rsidRPr="003A7463">
        <w:rPr>
          <w:rFonts w:hint="eastAsia"/>
        </w:rPr>
        <w:t>security</w:t>
      </w:r>
      <w:r w:rsidRPr="003A7463">
        <w:t xml:space="preserve"> (a single lump sum common knowledge dividend without uncertainty) differs from previous experimental studies featuring constant fundamental values (Porter and Smith 1995, Smith et al. 2000, Noussair et al. 2001, Kirchler et al. 2012, Stöckl et al. 2015, all of which yield efficient pricing). </w:t>
      </w:r>
    </w:p>
  </w:footnote>
  <w:footnote w:id="13">
    <w:p w14:paraId="1654B3EC" w14:textId="536D4041" w:rsidR="00795305" w:rsidRPr="000E5BC5" w:rsidRDefault="00795305" w:rsidP="0046168C">
      <w:pPr>
        <w:pStyle w:val="Funotentext"/>
      </w:pPr>
      <w:r>
        <w:rPr>
          <w:rStyle w:val="Funotenzeichen"/>
        </w:rPr>
        <w:footnoteRef/>
      </w:r>
      <w:r>
        <w:t xml:space="preserve"> A higher C/A-ratio allows investors to take additional risk in trading the security. In H (L) treatments each individual investor initially holds an amount of cash that is twice (0.4 times) the total fundamental value of all assets in the market. While the C/A-ratio is deliberately high in H treatments, a C/A-ratio of 2 in </w:t>
      </w:r>
      <w:r w:rsidRPr="006E2133">
        <w:t xml:space="preserve">L treatments </w:t>
      </w:r>
      <w:r w:rsidRPr="000E5BC5">
        <w:t>ensure</w:t>
      </w:r>
      <w:r>
        <w:t>s</w:t>
      </w:r>
      <w:r w:rsidRPr="000E5BC5">
        <w:t xml:space="preserve"> that </w:t>
      </w:r>
      <w:r>
        <w:t>investor</w:t>
      </w:r>
      <w:r w:rsidRPr="000E5BC5">
        <w:t>s are able to make transac</w:t>
      </w:r>
      <w:r>
        <w:t xml:space="preserve">tions at reasonable frequencies. </w:t>
      </w:r>
      <w:r w:rsidRPr="000E5BC5">
        <w:t>See Kirchler</w:t>
      </w:r>
      <w:r>
        <w:t xml:space="preserve"> et al. (2012)</w:t>
      </w:r>
      <w:r w:rsidRPr="000E5BC5">
        <w:t xml:space="preserve">, </w:t>
      </w:r>
      <w:r>
        <w:t>Nou</w:t>
      </w:r>
      <w:r>
        <w:t>s</w:t>
      </w:r>
      <w:r>
        <w:t>sair and Tucker (2014)</w:t>
      </w:r>
      <w:r w:rsidRPr="000E5BC5">
        <w:t>, and references therein on the effects of cash endowments on mispricing.</w:t>
      </w:r>
    </w:p>
  </w:footnote>
  <w:footnote w:id="14">
    <w:p w14:paraId="4A872C97" w14:textId="77777777" w:rsidR="00795305" w:rsidRPr="009B1F6B" w:rsidRDefault="00795305" w:rsidP="004843AB">
      <w:pPr>
        <w:pStyle w:val="Funotentext"/>
      </w:pPr>
      <w:r>
        <w:rPr>
          <w:rStyle w:val="Funotenzeichen"/>
        </w:rPr>
        <w:footnoteRef/>
      </w:r>
      <w:r>
        <w:t xml:space="preserve"> In treatment T1 </w:t>
      </w:r>
      <w:r w:rsidRPr="009B1F6B">
        <w:t>we invite</w:t>
      </w:r>
      <w:r>
        <w:t>d</w:t>
      </w:r>
      <w:r w:rsidRPr="009B1F6B">
        <w:t xml:space="preserve"> </w:t>
      </w:r>
      <w:r>
        <w:t xml:space="preserve">only </w:t>
      </w:r>
      <w:r w:rsidRPr="009B1F6B">
        <w:t xml:space="preserve">15 subjects instead of 18 </w:t>
      </w:r>
      <w:r>
        <w:t xml:space="preserve">since no rotation is needed. Ten subjects trade through all 16 periods and the other </w:t>
      </w:r>
      <w:r w:rsidRPr="009B1F6B">
        <w:t xml:space="preserve">five </w:t>
      </w:r>
      <w:r>
        <w:t>act</w:t>
      </w:r>
      <w:r w:rsidRPr="009B1F6B">
        <w:t xml:space="preserve"> as </w:t>
      </w:r>
      <w:r w:rsidRPr="00D1028B">
        <w:t>‘</w:t>
      </w:r>
      <w:r w:rsidRPr="009B1F6B">
        <w:t>predictors</w:t>
      </w:r>
      <w:r>
        <w:t>’ (to be explained below)</w:t>
      </w:r>
      <w:r w:rsidRPr="009B1F6B">
        <w:t>.</w:t>
      </w:r>
    </w:p>
  </w:footnote>
  <w:footnote w:id="15">
    <w:p w14:paraId="32D98CB6" w14:textId="3C9F1008" w:rsidR="00795305" w:rsidRPr="00833CD3" w:rsidRDefault="00795305" w:rsidP="00833CD3">
      <w:pPr>
        <w:pStyle w:val="Funotentext"/>
      </w:pPr>
      <w:r>
        <w:rPr>
          <w:rStyle w:val="Funotenzeichen"/>
        </w:rPr>
        <w:footnoteRef/>
      </w:r>
      <w:r>
        <w:t xml:space="preserve"> </w:t>
      </w:r>
      <w:r w:rsidRPr="00EC0DF6">
        <w:t>Remember, that the cash endowment of an entering generation is ten (two) times the amount needed to buy all securities at their terminal dividend value in H (L) treatments. The amount of cash going out of the market with the exiting subjects will, of course, vary with each generation change and will be equal to the cash endowments of the entering subjects only by chance</w:t>
      </w:r>
      <w:r>
        <w:t>.</w:t>
      </w:r>
      <w:r>
        <w:rPr>
          <w:color w:val="0070C0"/>
        </w:rPr>
        <w:t xml:space="preserve"> </w:t>
      </w:r>
    </w:p>
  </w:footnote>
  <w:footnote w:id="16">
    <w:p w14:paraId="61ECCFF1" w14:textId="0FEE551D" w:rsidR="00795305" w:rsidRDefault="00795305" w:rsidP="00EC0DF6">
      <w:pPr>
        <w:pStyle w:val="Funotentext"/>
      </w:pPr>
      <w:r>
        <w:rPr>
          <w:rStyle w:val="Funotenzeichen"/>
        </w:rPr>
        <w:footnoteRef/>
      </w:r>
      <w:r>
        <w:t xml:space="preserve"> One may argue that the pressure on the exiting generation to sell its securities at the risk of forfeiture may create a downward pressure on market prices. As shown in the results section, prices in the low-liquidity trea</w:t>
      </w:r>
      <w:r>
        <w:t>t</w:t>
      </w:r>
      <w:r>
        <w:t>ments tend to be below the fundamental value, but not in the high-liquidity treatments. Therefore, the dow</w:t>
      </w:r>
      <w:r>
        <w:t>n</w:t>
      </w:r>
      <w:r>
        <w:t>ward-pressure hypothesis has some validity, but is not a consistent explanation of all observed data.</w:t>
      </w:r>
    </w:p>
  </w:footnote>
  <w:footnote w:id="17">
    <w:p w14:paraId="54F24669" w14:textId="40B93161" w:rsidR="00795305" w:rsidRPr="00121434" w:rsidRDefault="00795305">
      <w:pPr>
        <w:pStyle w:val="Funotentext"/>
        <w:rPr>
          <w:b/>
        </w:rPr>
      </w:pPr>
      <w:r>
        <w:rPr>
          <w:rStyle w:val="Funotenzeichen"/>
        </w:rPr>
        <w:footnoteRef/>
      </w:r>
      <w:r>
        <w:t xml:space="preserve"> During 48 sessions, a total of 970 securities were forfeited across 768 periods. This was mostly due to holders being unable to sell at a price acceptable to them. Forfeiture rates markedly increased with the number of gene</w:t>
      </w:r>
      <w:r>
        <w:t>r</w:t>
      </w:r>
      <w:r>
        <w:t>ation changes and ranged from 1.1 percent of shares in T1H to 23 percent in T8L. See Appendix D for more information.</w:t>
      </w:r>
    </w:p>
  </w:footnote>
  <w:footnote w:id="18">
    <w:p w14:paraId="6D841FA1" w14:textId="77777777" w:rsidR="00795305" w:rsidRPr="00965E7D" w:rsidRDefault="00795305">
      <w:pPr>
        <w:pStyle w:val="Funotentext"/>
      </w:pPr>
      <w:r>
        <w:rPr>
          <w:rStyle w:val="Funotenzeichen"/>
        </w:rPr>
        <w:footnoteRef/>
      </w:r>
      <w:r>
        <w:t xml:space="preserve"> The conversion is done </w:t>
      </w:r>
      <w:r w:rsidRPr="00FF1946">
        <w:t>at a predetermined rate announced at the outset. We use different rates for the first, transition, and last generations and the low/</w:t>
      </w:r>
      <w:r>
        <w:t>high-liquidity treatment</w:t>
      </w:r>
      <w:r w:rsidRPr="00FF1946">
        <w:t xml:space="preserve">s to ensure identical </w:t>
      </w:r>
      <w:r>
        <w:t>expected</w:t>
      </w:r>
      <w:r w:rsidRPr="00FF1946">
        <w:t xml:space="preserve"> </w:t>
      </w:r>
      <w:r>
        <w:t xml:space="preserve">euro </w:t>
      </w:r>
      <w:r w:rsidRPr="00FF1946">
        <w:t xml:space="preserve">payouts. See Table </w:t>
      </w:r>
      <w:r>
        <w:t>2</w:t>
      </w:r>
      <w:r w:rsidRPr="00FF1946">
        <w:t xml:space="preserve"> for details.</w:t>
      </w:r>
    </w:p>
  </w:footnote>
  <w:footnote w:id="19">
    <w:p w14:paraId="00BE5C80" w14:textId="1BA83301" w:rsidR="00795305" w:rsidRPr="008E7EAF" w:rsidRDefault="00795305">
      <w:pPr>
        <w:pStyle w:val="Funotentext"/>
      </w:pPr>
      <w:r>
        <w:rPr>
          <w:rStyle w:val="Funotenzeichen"/>
        </w:rPr>
        <w:footnoteRef/>
      </w:r>
      <w:r>
        <w:t xml:space="preserve"> We deliberately separate predictor’s role from investor’s role in each period to eliminate the possibility that eliciting price prediction from investors induces some bias in their trading behavior in the same period. </w:t>
      </w:r>
      <w:r w:rsidRPr="00DF1F4F">
        <w:t xml:space="preserve">Such strategic behavior is unlikely to motivate trades in real-world markets, but might bias our </w:t>
      </w:r>
      <w:r>
        <w:t xml:space="preserve">experimental </w:t>
      </w:r>
      <w:r w:rsidRPr="00DF1F4F">
        <w:t>results.</w:t>
      </w:r>
      <w:r>
        <w:t xml:space="preserve"> Previous literature suggests that eliciting beliefs and forecasts in the laboratory can change the subjects’ beha</w:t>
      </w:r>
      <w:r>
        <w:t>v</w:t>
      </w:r>
      <w:r>
        <w:t xml:space="preserve">ior (see </w:t>
      </w:r>
      <w:proofErr w:type="spellStart"/>
      <w:r>
        <w:t>Schotter</w:t>
      </w:r>
      <w:proofErr w:type="spellEnd"/>
      <w:r>
        <w:t xml:space="preserve"> and </w:t>
      </w:r>
      <w:proofErr w:type="spellStart"/>
      <w:r>
        <w:t>Treviono</w:t>
      </w:r>
      <w:proofErr w:type="spellEnd"/>
      <w:r>
        <w:t xml:space="preserve"> 2014 for a survey). In particular, </w:t>
      </w:r>
      <w:proofErr w:type="spellStart"/>
      <w:r>
        <w:t>Bao</w:t>
      </w:r>
      <w:proofErr w:type="spellEnd"/>
      <w:r>
        <w:t xml:space="preserve"> et al. (2013) show the experimental ev</w:t>
      </w:r>
      <w:r>
        <w:t>i</w:t>
      </w:r>
      <w:r>
        <w:t xml:space="preserve">dence on cobweb economy that REE is less likely to be attained when subjects are asked to play the forecasting role and make decisions simultaneously. </w:t>
      </w:r>
    </w:p>
  </w:footnote>
  <w:footnote w:id="20">
    <w:p w14:paraId="21EF5B77" w14:textId="77777777" w:rsidR="00795305" w:rsidRDefault="00795305" w:rsidP="005C5ABB">
      <w:pPr>
        <w:pStyle w:val="Funotentext"/>
      </w:pPr>
      <w:r>
        <w:rPr>
          <w:rStyle w:val="Funotenzeichen"/>
        </w:rPr>
        <w:footnoteRef/>
      </w:r>
      <w:r>
        <w:t xml:space="preserve"> We implemented this procedure to minimize mispricing due to subjects’ confusion or misunderstanding.</w:t>
      </w:r>
    </w:p>
  </w:footnote>
  <w:footnote w:id="21">
    <w:p w14:paraId="7694AA36" w14:textId="77777777" w:rsidR="00795305" w:rsidRPr="00F27AC5" w:rsidRDefault="00795305" w:rsidP="000E0CD8">
      <w:pPr>
        <w:pStyle w:val="Funotentext"/>
      </w:pPr>
      <w:r>
        <w:rPr>
          <w:rStyle w:val="Funotenzeichen"/>
        </w:rPr>
        <w:footnoteRef/>
      </w:r>
      <w:r>
        <w:t xml:space="preserve"> There was no fixed payment for the subjects. The average and standard deviation of actual earnings of the subjects across treatments are shown in Appendix C.</w:t>
      </w:r>
    </w:p>
  </w:footnote>
  <w:footnote w:id="22">
    <w:p w14:paraId="48686CA6" w14:textId="3E736D14" w:rsidR="00795305" w:rsidRPr="00964A69" w:rsidRDefault="00795305" w:rsidP="00FA7410">
      <w:pPr>
        <w:pStyle w:val="Funotentext"/>
      </w:pPr>
      <w:r>
        <w:rPr>
          <w:rStyle w:val="Funotenzeichen"/>
        </w:rPr>
        <w:footnoteRef/>
      </w:r>
      <w:r>
        <w:t xml:space="preserve"> One may argue that the theoretical equilibrium price is not necessarily equal to 50 in the market with div</w:t>
      </w:r>
      <w:r>
        <w:t>i</w:t>
      </w:r>
      <w:r>
        <w:t xml:space="preserve">dend-collecting investors. The argument would be as follows: dividend-collecting investors (e.g., G4 in T4) would buy the security if the price is below 50 and non-dividend-collecting investors (e.g., G3 in T4) would sell the security if the price is above 0 (because they cannot receive the dividend). Hence the equilibrium price lies in the range of [0, 50]. This argument, however, is not theoretically valid. In our experimental design, since the total number of the securities outstanding is limited (e.g., 40 in T4) and total cash held by investors is twice (4,000 in T4L) or ten times (20,000 in T4H) as much as total fundamental value of the securities outstanding (40x50 = 2,000 in T4), there is excess demand for securities at prices below 50. This indicates that </w:t>
      </w:r>
      <w:r w:rsidRPr="00E647AF">
        <w:rPr>
          <w:i/>
        </w:rPr>
        <w:t>p</w:t>
      </w:r>
      <w:r>
        <w:t xml:space="preserve"> = 50 is the competitive equilibrium price in the market with dividend-collecting investors. </w:t>
      </w:r>
    </w:p>
  </w:footnote>
  <w:footnote w:id="23">
    <w:p w14:paraId="13F09762" w14:textId="267D5226" w:rsidR="00795305" w:rsidRPr="000E0CD8" w:rsidRDefault="00795305" w:rsidP="00CF19E6">
      <w:pPr>
        <w:jc w:val="both"/>
      </w:pPr>
      <w:r w:rsidRPr="000E0CD8">
        <w:rPr>
          <w:rStyle w:val="Funotenzeichen"/>
        </w:rPr>
        <w:footnoteRef/>
      </w:r>
      <w:r w:rsidRPr="000E0CD8">
        <w:t xml:space="preserve"> </w:t>
      </w:r>
      <w:r>
        <w:t>T</w:t>
      </w:r>
      <w:r w:rsidRPr="000E0CD8">
        <w:rPr>
          <w:rFonts w:hint="eastAsia"/>
          <w:lang w:eastAsia="ja-JP"/>
        </w:rPr>
        <w:t xml:space="preserve">heoretical models </w:t>
      </w:r>
      <w:r>
        <w:rPr>
          <w:lang w:eastAsia="ja-JP"/>
        </w:rPr>
        <w:t xml:space="preserve">argue that </w:t>
      </w:r>
      <w:r w:rsidRPr="000E0CD8">
        <w:rPr>
          <w:lang w:eastAsia="ja-JP"/>
        </w:rPr>
        <w:t xml:space="preserve">market frictions </w:t>
      </w:r>
      <w:r w:rsidRPr="000E0CD8">
        <w:rPr>
          <w:rFonts w:hint="eastAsia"/>
          <w:lang w:eastAsia="ja-JP"/>
        </w:rPr>
        <w:t xml:space="preserve">such as borrowing and short-sales </w:t>
      </w:r>
      <w:r w:rsidRPr="000E0CD8">
        <w:rPr>
          <w:lang w:eastAsia="ja-JP"/>
        </w:rPr>
        <w:t xml:space="preserve">constraints </w:t>
      </w:r>
      <w:r w:rsidRPr="000E0CD8">
        <w:rPr>
          <w:rFonts w:hint="eastAsia"/>
          <w:lang w:eastAsia="ja-JP"/>
        </w:rPr>
        <w:t xml:space="preserve">may </w:t>
      </w:r>
      <w:r w:rsidRPr="000E0CD8">
        <w:rPr>
          <w:lang w:eastAsia="ja-JP"/>
        </w:rPr>
        <w:t xml:space="preserve">prevent perfect </w:t>
      </w:r>
      <w:r w:rsidRPr="000E0CD8">
        <w:rPr>
          <w:rFonts w:hint="eastAsia"/>
          <w:lang w:eastAsia="ja-JP"/>
        </w:rPr>
        <w:t xml:space="preserve">arbitrage (Allen et al. 1993 and </w:t>
      </w:r>
      <w:proofErr w:type="spellStart"/>
      <w:r w:rsidRPr="000E0CD8">
        <w:rPr>
          <w:rFonts w:hint="eastAsia"/>
          <w:lang w:eastAsia="ja-JP"/>
        </w:rPr>
        <w:t>Scheinkman</w:t>
      </w:r>
      <w:proofErr w:type="spellEnd"/>
      <w:r w:rsidRPr="000E0CD8">
        <w:rPr>
          <w:rFonts w:hint="eastAsia"/>
          <w:lang w:eastAsia="ja-JP"/>
        </w:rPr>
        <w:t xml:space="preserve"> and </w:t>
      </w:r>
      <w:proofErr w:type="spellStart"/>
      <w:r w:rsidRPr="000E0CD8">
        <w:rPr>
          <w:rFonts w:hint="eastAsia"/>
          <w:lang w:eastAsia="ja-JP"/>
        </w:rPr>
        <w:t>Xiong</w:t>
      </w:r>
      <w:proofErr w:type="spellEnd"/>
      <w:r w:rsidRPr="000E0CD8">
        <w:rPr>
          <w:rFonts w:hint="eastAsia"/>
          <w:lang w:eastAsia="ja-JP"/>
        </w:rPr>
        <w:t xml:space="preserve"> 2003).</w:t>
      </w:r>
      <w:r>
        <w:rPr>
          <w:lang w:eastAsia="ja-JP"/>
        </w:rPr>
        <w:t xml:space="preserve"> Both laboratory markets and markets in the field have such frictions, and traders cannot post an infinite number of buy and sell orders or engage in an infinite number of transactions. For example, in T4L, a trader of G3 with initial cash of 800 can only afford to </w:t>
      </w:r>
      <w:r w:rsidRPr="00745B22">
        <w:rPr>
          <w:lang w:eastAsia="ja-JP"/>
        </w:rPr>
        <w:t xml:space="preserve">purchase up to </w:t>
      </w:r>
      <w:r>
        <w:rPr>
          <w:lang w:eastAsia="ja-JP"/>
        </w:rPr>
        <w:t xml:space="preserve">16 shares </w:t>
      </w:r>
      <w:r w:rsidRPr="00745B22">
        <w:rPr>
          <w:lang w:eastAsia="ja-JP"/>
        </w:rPr>
        <w:t>(</w:t>
      </w:r>
      <w:r>
        <w:rPr>
          <w:lang w:eastAsia="ja-JP"/>
        </w:rPr>
        <w:t xml:space="preserve">out </w:t>
      </w:r>
      <w:r w:rsidRPr="00745B22">
        <w:rPr>
          <w:lang w:eastAsia="ja-JP"/>
        </w:rPr>
        <w:t xml:space="preserve">of </w:t>
      </w:r>
      <w:r>
        <w:rPr>
          <w:lang w:eastAsia="ja-JP"/>
        </w:rPr>
        <w:t>total 4</w:t>
      </w:r>
      <w:r w:rsidRPr="00745B22">
        <w:rPr>
          <w:lang w:eastAsia="ja-JP"/>
        </w:rPr>
        <w:t>0)</w:t>
      </w:r>
      <w:r>
        <w:rPr>
          <w:lang w:eastAsia="ja-JP"/>
        </w:rPr>
        <w:t xml:space="preserve"> at prices near 50.</w:t>
      </w:r>
    </w:p>
  </w:footnote>
  <w:footnote w:id="24">
    <w:p w14:paraId="13000B23" w14:textId="067BC66A" w:rsidR="00795305" w:rsidRPr="00745B22" w:rsidRDefault="00795305" w:rsidP="001D1FDF">
      <w:pPr>
        <w:jc w:val="both"/>
      </w:pPr>
      <w:r w:rsidRPr="00745B22">
        <w:rPr>
          <w:rStyle w:val="Funotenzeichen"/>
        </w:rPr>
        <w:footnoteRef/>
      </w:r>
      <w:r>
        <w:rPr>
          <w:lang w:eastAsia="ja-JP"/>
        </w:rPr>
        <w:t xml:space="preserve"> </w:t>
      </w:r>
      <w:r w:rsidRPr="00745B22">
        <w:rPr>
          <w:lang w:eastAsia="ja-JP"/>
        </w:rPr>
        <w:t xml:space="preserve">For instance, </w:t>
      </w:r>
      <w:r>
        <w:rPr>
          <w:lang w:eastAsia="ja-JP"/>
        </w:rPr>
        <w:t xml:space="preserve">assume that </w:t>
      </w:r>
      <w:r w:rsidRPr="00745B22">
        <w:rPr>
          <w:lang w:eastAsia="ja-JP"/>
        </w:rPr>
        <w:t xml:space="preserve">price </w:t>
      </w:r>
      <w:r>
        <w:rPr>
          <w:lang w:eastAsia="ja-JP"/>
        </w:rPr>
        <w:t xml:space="preserve">is 49 in Market 4. A trader of G4 (the </w:t>
      </w:r>
      <w:r w:rsidRPr="00745B22">
        <w:rPr>
          <w:lang w:eastAsia="ja-JP"/>
        </w:rPr>
        <w:t>final generation</w:t>
      </w:r>
      <w:r>
        <w:rPr>
          <w:lang w:eastAsia="ja-JP"/>
        </w:rPr>
        <w:t xml:space="preserve">) can realize a profit of 1 by </w:t>
      </w:r>
      <w:r w:rsidRPr="00745B22">
        <w:rPr>
          <w:lang w:eastAsia="ja-JP"/>
        </w:rPr>
        <w:t>purchas</w:t>
      </w:r>
      <w:r>
        <w:rPr>
          <w:lang w:eastAsia="ja-JP"/>
        </w:rPr>
        <w:t xml:space="preserve">ing one security. In contrast, a trader of G3 (the penultimate generation) can obtain 49 </w:t>
      </w:r>
      <w:proofErr w:type="gramStart"/>
      <w:r>
        <w:rPr>
          <w:lang w:eastAsia="ja-JP"/>
        </w:rPr>
        <w:t>profit</w:t>
      </w:r>
      <w:proofErr w:type="gramEnd"/>
      <w:r>
        <w:rPr>
          <w:lang w:eastAsia="ja-JP"/>
        </w:rPr>
        <w:t xml:space="preserve"> by sel</w:t>
      </w:r>
      <w:r>
        <w:rPr>
          <w:lang w:eastAsia="ja-JP"/>
        </w:rPr>
        <w:t>l</w:t>
      </w:r>
      <w:r>
        <w:rPr>
          <w:lang w:eastAsia="ja-JP"/>
        </w:rPr>
        <w:t xml:space="preserve">ing a share, as his/her </w:t>
      </w:r>
      <w:r w:rsidRPr="00745B22">
        <w:rPr>
          <w:lang w:eastAsia="ja-JP"/>
        </w:rPr>
        <w:t xml:space="preserve">security holdings </w:t>
      </w:r>
      <w:r>
        <w:rPr>
          <w:lang w:eastAsia="ja-JP"/>
        </w:rPr>
        <w:t>are</w:t>
      </w:r>
      <w:r w:rsidRPr="00745B22">
        <w:rPr>
          <w:lang w:eastAsia="ja-JP"/>
        </w:rPr>
        <w:t xml:space="preserve"> forfeited without compensation</w:t>
      </w:r>
      <w:r>
        <w:rPr>
          <w:lang w:eastAsia="ja-JP"/>
        </w:rPr>
        <w:t xml:space="preserve"> at the end of Market 4</w:t>
      </w:r>
      <w:r w:rsidRPr="00745B22">
        <w:rPr>
          <w:lang w:eastAsia="ja-JP"/>
        </w:rPr>
        <w:t xml:space="preserve">. Thus, we might reasonably expect </w:t>
      </w:r>
      <w:r>
        <w:rPr>
          <w:lang w:eastAsia="ja-JP"/>
        </w:rPr>
        <w:t xml:space="preserve">traders of G3 to be </w:t>
      </w:r>
      <w:r w:rsidRPr="00745B22">
        <w:rPr>
          <w:lang w:eastAsia="ja-JP"/>
        </w:rPr>
        <w:t xml:space="preserve">far less patient than </w:t>
      </w:r>
      <w:r>
        <w:rPr>
          <w:lang w:eastAsia="ja-JP"/>
        </w:rPr>
        <w:t xml:space="preserve">traders of G4 for prices </w:t>
      </w:r>
      <w:r w:rsidRPr="00745B22">
        <w:rPr>
          <w:lang w:eastAsia="ja-JP"/>
        </w:rPr>
        <w:t xml:space="preserve">near 50 because </w:t>
      </w:r>
      <w:r>
        <w:rPr>
          <w:lang w:eastAsia="ja-JP"/>
        </w:rPr>
        <w:t xml:space="preserve">traders of G3 </w:t>
      </w:r>
      <w:r w:rsidRPr="00745B22">
        <w:rPr>
          <w:lang w:eastAsia="ja-JP"/>
        </w:rPr>
        <w:t xml:space="preserve">have far greater returns depending on the realization of trade. </w:t>
      </w:r>
      <w:r>
        <w:rPr>
          <w:lang w:eastAsia="ja-JP"/>
        </w:rPr>
        <w:t xml:space="preserve">Therefore, it is </w:t>
      </w:r>
      <w:r w:rsidRPr="00745B22">
        <w:rPr>
          <w:lang w:eastAsia="ja-JP"/>
        </w:rPr>
        <w:t xml:space="preserve">not at all unreasonable to expect trades for prices </w:t>
      </w:r>
      <w:r>
        <w:rPr>
          <w:lang w:eastAsia="ja-JP"/>
        </w:rPr>
        <w:t>below 50 in Market 4.</w:t>
      </w:r>
    </w:p>
  </w:footnote>
  <w:footnote w:id="25">
    <w:p w14:paraId="799B46A0" w14:textId="5F029495" w:rsidR="00795305" w:rsidRPr="00D74D99" w:rsidRDefault="00795305" w:rsidP="006D26A1">
      <w:pPr>
        <w:pStyle w:val="Funotentext"/>
      </w:pPr>
      <w:r>
        <w:rPr>
          <w:rStyle w:val="Funotenzeichen"/>
        </w:rPr>
        <w:footnoteRef/>
      </w:r>
      <w:r>
        <w:t xml:space="preserve"> S</w:t>
      </w:r>
      <w:r w:rsidRPr="00D74D99">
        <w:t>ee e.</w:t>
      </w:r>
      <w:r w:rsidRPr="00F63049">
        <w:t xml:space="preserve">g. </w:t>
      </w:r>
      <w:proofErr w:type="spellStart"/>
      <w:r w:rsidRPr="004250FA">
        <w:t>Plott</w:t>
      </w:r>
      <w:proofErr w:type="spellEnd"/>
      <w:r w:rsidRPr="004250FA">
        <w:t xml:space="preserve"> and Sunder </w:t>
      </w:r>
      <w:r>
        <w:t>(</w:t>
      </w:r>
      <w:r w:rsidRPr="004250FA">
        <w:t>1982,</w:t>
      </w:r>
      <w:r>
        <w:t xml:space="preserve"> </w:t>
      </w:r>
      <w:r w:rsidRPr="004250FA">
        <w:t>1988</w:t>
      </w:r>
      <w:r>
        <w:t xml:space="preserve">), and </w:t>
      </w:r>
      <w:r w:rsidRPr="00F63049">
        <w:t>Smit</w:t>
      </w:r>
      <w:r w:rsidRPr="00D74D99">
        <w:t xml:space="preserve">h et al. </w:t>
      </w:r>
      <w:r>
        <w:t>(</w:t>
      </w:r>
      <w:r w:rsidRPr="00D74D99">
        <w:t>1988</w:t>
      </w:r>
      <w:r>
        <w:t>)</w:t>
      </w:r>
      <w:r w:rsidRPr="00D74D99">
        <w:t xml:space="preserve"> and the</w:t>
      </w:r>
      <w:r>
        <w:t xml:space="preserve"> large follow-up</w:t>
      </w:r>
      <w:r w:rsidRPr="00D74D99">
        <w:t xml:space="preserve"> literature reviewed in Palan (2013)</w:t>
      </w:r>
      <w:r>
        <w:t>.</w:t>
      </w:r>
    </w:p>
  </w:footnote>
  <w:footnote w:id="26">
    <w:p w14:paraId="54F1621B" w14:textId="66ED199C" w:rsidR="00795305" w:rsidRPr="00FC4E37" w:rsidRDefault="00795305" w:rsidP="006D26A1">
      <w:pPr>
        <w:pStyle w:val="Funotentext"/>
      </w:pPr>
      <w:r>
        <w:rPr>
          <w:rStyle w:val="Funotenzeichen"/>
        </w:rPr>
        <w:footnoteRef/>
      </w:r>
      <w:r>
        <w:t xml:space="preserve"> </w:t>
      </w:r>
      <w:r w:rsidRPr="00FC4E37">
        <w:rPr>
          <w:rFonts w:hint="eastAsia"/>
        </w:rPr>
        <w:t>This is true even when the security traded has a simple dividend structure</w:t>
      </w:r>
      <w:r>
        <w:t xml:space="preserve">, </w:t>
      </w:r>
      <w:r w:rsidRPr="00FC4E37">
        <w:rPr>
          <w:rFonts w:hint="eastAsia"/>
        </w:rPr>
        <w:t>e.g.</w:t>
      </w:r>
      <w:r>
        <w:t>,</w:t>
      </w:r>
      <w:r w:rsidRPr="00FC4E37">
        <w:rPr>
          <w:rFonts w:hint="eastAsia"/>
        </w:rPr>
        <w:t xml:space="preserve"> </w:t>
      </w:r>
      <w:r>
        <w:t xml:space="preserve">in </w:t>
      </w:r>
      <w:r w:rsidRPr="00FC4E37">
        <w:rPr>
          <w:rFonts w:hint="eastAsia"/>
        </w:rPr>
        <w:t>Smith</w:t>
      </w:r>
      <w:r>
        <w:t xml:space="preserve"> et al. (</w:t>
      </w:r>
      <w:r w:rsidRPr="00FC4E37">
        <w:rPr>
          <w:rFonts w:hint="eastAsia"/>
        </w:rPr>
        <w:t>2000</w:t>
      </w:r>
      <w:r>
        <w:t>)</w:t>
      </w:r>
      <w:r w:rsidRPr="00FC4E37">
        <w:rPr>
          <w:rFonts w:hint="eastAsia"/>
        </w:rPr>
        <w:t>, Lei</w:t>
      </w:r>
      <w:r>
        <w:rPr>
          <w:rFonts w:hint="eastAsia"/>
        </w:rPr>
        <w:t xml:space="preserve"> et al. </w:t>
      </w:r>
      <w:r>
        <w:t>(</w:t>
      </w:r>
      <w:r>
        <w:rPr>
          <w:rFonts w:hint="eastAsia"/>
        </w:rPr>
        <w:t>2001</w:t>
      </w:r>
      <w:r>
        <w:t>)</w:t>
      </w:r>
      <w:r>
        <w:rPr>
          <w:rFonts w:hint="eastAsia"/>
        </w:rPr>
        <w:t xml:space="preserve">, </w:t>
      </w:r>
      <w:r>
        <w:t xml:space="preserve">and </w:t>
      </w:r>
      <w:r>
        <w:rPr>
          <w:rFonts w:hint="eastAsia"/>
        </w:rPr>
        <w:t>Kirchler</w:t>
      </w:r>
      <w:r>
        <w:t xml:space="preserve"> et al. (</w:t>
      </w:r>
      <w:r w:rsidRPr="00FC4E37">
        <w:rPr>
          <w:rFonts w:hint="eastAsia"/>
        </w:rPr>
        <w:t>2012</w:t>
      </w:r>
      <w:r>
        <w:t>)</w:t>
      </w:r>
      <w:r>
        <w:rPr>
          <w:rFonts w:hint="eastAsia"/>
        </w:rPr>
        <w:t>.</w:t>
      </w:r>
      <w:r>
        <w:t xml:space="preserve"> However, none of these papers features overlapping generations of inve</w:t>
      </w:r>
      <w:r>
        <w:t>s</w:t>
      </w:r>
      <w:r>
        <w:t xml:space="preserve">tors. </w:t>
      </w:r>
    </w:p>
  </w:footnote>
  <w:footnote w:id="27">
    <w:p w14:paraId="4B4D9AEC" w14:textId="2898AC82" w:rsidR="00795305" w:rsidRPr="00E446A2" w:rsidRDefault="00795305" w:rsidP="006D26A1">
      <w:pPr>
        <w:pStyle w:val="Funotentext"/>
      </w:pPr>
      <w:r>
        <w:rPr>
          <w:rStyle w:val="Funotenzeichen"/>
        </w:rPr>
        <w:footnoteRef/>
      </w:r>
      <w:r>
        <w:t xml:space="preserve"> The maximum holding periods of security for each generation are different among the four treatments. For example, the maximum holding periods for G1 are 16 in T1 and T2, eight in T4, and four in T8. Note that these are only the maximum and not the actual holding periods, because an investor of generation G1 in T4, for e</w:t>
      </w:r>
      <w:r>
        <w:t>x</w:t>
      </w:r>
      <w:r>
        <w:t xml:space="preserve">ample, may choose to wait till period 3 to buy a security and sell it in period 5 and thus hold it only for two periods. Henceforth, we refer to </w:t>
      </w:r>
      <w:r w:rsidRPr="003659E6">
        <w:t>the maximum holding periods simply as “holding periods”.</w:t>
      </w:r>
    </w:p>
  </w:footnote>
  <w:footnote w:id="28">
    <w:p w14:paraId="40398E73" w14:textId="0D8010E4" w:rsidR="00795305" w:rsidRPr="00EC3972" w:rsidRDefault="00795305">
      <w:pPr>
        <w:pStyle w:val="Funotentext"/>
      </w:pPr>
      <w:r w:rsidRPr="00EC3972">
        <w:rPr>
          <w:rStyle w:val="Funotenzeichen"/>
        </w:rPr>
        <w:footnoteRef/>
      </w:r>
      <w:r w:rsidRPr="00EC3972">
        <w:t xml:space="preserve"> </w:t>
      </w:r>
      <w:r>
        <w:t xml:space="preserve">See, e.g., </w:t>
      </w:r>
      <w:proofErr w:type="spellStart"/>
      <w:r w:rsidRPr="00791421">
        <w:t>Ackert</w:t>
      </w:r>
      <w:proofErr w:type="spellEnd"/>
      <w:r w:rsidRPr="00791421">
        <w:t xml:space="preserve"> et al. 2006, </w:t>
      </w:r>
      <w:proofErr w:type="spellStart"/>
      <w:r w:rsidRPr="00791421">
        <w:t>Breaban</w:t>
      </w:r>
      <w:proofErr w:type="spellEnd"/>
      <w:r w:rsidRPr="00791421">
        <w:t xml:space="preserve"> and </w:t>
      </w:r>
      <w:proofErr w:type="spellStart"/>
      <w:r w:rsidRPr="00791421">
        <w:t>Noussair</w:t>
      </w:r>
      <w:proofErr w:type="spellEnd"/>
      <w:r w:rsidRPr="00791421">
        <w:t xml:space="preserve"> 2014, </w:t>
      </w:r>
      <w:proofErr w:type="spellStart"/>
      <w:r w:rsidRPr="00791421">
        <w:t>Caginalp</w:t>
      </w:r>
      <w:proofErr w:type="spellEnd"/>
      <w:r w:rsidRPr="00791421">
        <w:t xml:space="preserve"> et al. 1998, </w:t>
      </w:r>
      <w:proofErr w:type="spellStart"/>
      <w:r w:rsidRPr="00791421">
        <w:t>Caginalp</w:t>
      </w:r>
      <w:proofErr w:type="spellEnd"/>
      <w:r w:rsidRPr="00791421">
        <w:t xml:space="preserve"> et al. 2001, </w:t>
      </w:r>
      <w:proofErr w:type="spellStart"/>
      <w:r w:rsidRPr="00791421">
        <w:t>Caginalp</w:t>
      </w:r>
      <w:proofErr w:type="spellEnd"/>
      <w:r w:rsidRPr="00791421">
        <w:t xml:space="preserve"> and </w:t>
      </w:r>
      <w:proofErr w:type="spellStart"/>
      <w:r w:rsidRPr="00791421">
        <w:t>Ilieva</w:t>
      </w:r>
      <w:proofErr w:type="spellEnd"/>
      <w:r w:rsidRPr="00791421">
        <w:t xml:space="preserve"> 2008, Deck et al. 2012, </w:t>
      </w:r>
      <w:proofErr w:type="spellStart"/>
      <w:r w:rsidRPr="00791421">
        <w:t>Haruvy</w:t>
      </w:r>
      <w:proofErr w:type="spellEnd"/>
      <w:r w:rsidRPr="00791421">
        <w:t xml:space="preserve"> and </w:t>
      </w:r>
      <w:proofErr w:type="spellStart"/>
      <w:r w:rsidRPr="00791421">
        <w:t>Noussair</w:t>
      </w:r>
      <w:proofErr w:type="spellEnd"/>
      <w:r w:rsidRPr="00791421">
        <w:t xml:space="preserve"> 2006, King et al. 1993, Kirchler et al. 2012, Noussair et al. 2012, </w:t>
      </w:r>
      <w:r>
        <w:t xml:space="preserve">and </w:t>
      </w:r>
      <w:r w:rsidRPr="00791421">
        <w:t>Porter and Smith 1995.</w:t>
      </w:r>
    </w:p>
  </w:footnote>
  <w:footnote w:id="29">
    <w:p w14:paraId="7B4CC43F" w14:textId="39493BBC" w:rsidR="00795305" w:rsidRPr="00AA7D9C" w:rsidRDefault="00795305">
      <w:pPr>
        <w:pStyle w:val="Funotentext"/>
      </w:pPr>
      <w:r>
        <w:rPr>
          <w:rStyle w:val="Funotenzeichen"/>
        </w:rPr>
        <w:footnoteRef/>
      </w:r>
      <w:r>
        <w:t xml:space="preserve"> In this Results section we only present analyses directly related to the hypotheses formulated in Section 3.4 and the</w:t>
      </w:r>
      <w:r w:rsidRPr="00AA7D9C">
        <w:t xml:space="preserve"> </w:t>
      </w:r>
      <w:r>
        <w:t>f</w:t>
      </w:r>
      <w:r w:rsidRPr="00AA7D9C">
        <w:t>ormation of</w:t>
      </w:r>
      <w:r>
        <w:t xml:space="preserve"> price e</w:t>
      </w:r>
      <w:r w:rsidRPr="00AA7D9C">
        <w:t>xpectations</w:t>
      </w:r>
      <w:r>
        <w:t>. In Appendix D we provide additional analyses on f</w:t>
      </w:r>
      <w:r w:rsidRPr="00AA7D9C">
        <w:t>orfeiture rates of securities</w:t>
      </w:r>
      <w:r>
        <w:t xml:space="preserve"> (D.1), the c</w:t>
      </w:r>
      <w:r w:rsidRPr="00AA7D9C">
        <w:t>oncentration of security holdings among traders</w:t>
      </w:r>
      <w:r>
        <w:t xml:space="preserve"> (D.2)</w:t>
      </w:r>
      <w:r w:rsidRPr="00AA7D9C">
        <w:t xml:space="preserve">, </w:t>
      </w:r>
      <w:r>
        <w:t>and p</w:t>
      </w:r>
      <w:r w:rsidRPr="00AA7D9C">
        <w:t>rice predictions</w:t>
      </w:r>
      <w:r>
        <w:t xml:space="preserve"> (D.3).</w:t>
      </w:r>
    </w:p>
  </w:footnote>
  <w:footnote w:id="30">
    <w:p w14:paraId="46A97E92" w14:textId="76524732" w:rsidR="00795305" w:rsidRPr="00E61627" w:rsidRDefault="00795305" w:rsidP="00CE5F03">
      <w:pPr>
        <w:pStyle w:val="Funotentext"/>
        <w:spacing w:line="276" w:lineRule="auto"/>
      </w:pPr>
      <w:r>
        <w:rPr>
          <w:rStyle w:val="Funotenzeichen"/>
        </w:rPr>
        <w:footnoteRef/>
      </w:r>
      <w:r>
        <w:t xml:space="preserve"> We dropped two transactions that occurred at prices above 800 from the analyses</w:t>
      </w:r>
      <w:r>
        <w:rPr>
          <w:rFonts w:hint="eastAsia"/>
        </w:rPr>
        <w:t xml:space="preserve">; </w:t>
      </w:r>
      <w:r>
        <w:t>the first</w:t>
      </w:r>
      <w:r w:rsidRPr="00926867">
        <w:t xml:space="preserve"> </w:t>
      </w:r>
      <w:r w:rsidRPr="00926867">
        <w:rPr>
          <w:rFonts w:hint="eastAsia"/>
        </w:rPr>
        <w:t>transaction</w:t>
      </w:r>
      <w:r w:rsidRPr="00926867">
        <w:t xml:space="preserve"> was </w:t>
      </w:r>
      <w:r>
        <w:t>at 999</w:t>
      </w:r>
      <w:r w:rsidRPr="00926867">
        <w:t xml:space="preserve"> in period 9 </w:t>
      </w:r>
      <w:r w:rsidRPr="00926867">
        <w:rPr>
          <w:rFonts w:hint="eastAsia"/>
        </w:rPr>
        <w:t xml:space="preserve">of </w:t>
      </w:r>
      <w:r w:rsidRPr="00926867">
        <w:t xml:space="preserve">a </w:t>
      </w:r>
      <w:r w:rsidRPr="00926867">
        <w:rPr>
          <w:rFonts w:hint="eastAsia"/>
        </w:rPr>
        <w:t xml:space="preserve">T2H market and </w:t>
      </w:r>
      <w:r w:rsidRPr="00926867">
        <w:t xml:space="preserve">it </w:t>
      </w:r>
      <w:r w:rsidRPr="00926867">
        <w:rPr>
          <w:rFonts w:hint="eastAsia"/>
        </w:rPr>
        <w:t xml:space="preserve">was </w:t>
      </w:r>
      <w:r w:rsidRPr="00926867">
        <w:t>one of 64 transaction</w:t>
      </w:r>
      <w:r>
        <w:t>s</w:t>
      </w:r>
      <w:r w:rsidRPr="00926867">
        <w:t xml:space="preserve"> in that period</w:t>
      </w:r>
      <w:r w:rsidRPr="00926867">
        <w:rPr>
          <w:rFonts w:hint="eastAsia"/>
        </w:rPr>
        <w:t xml:space="preserve">; </w:t>
      </w:r>
      <w:r>
        <w:t xml:space="preserve">it was probably a keyboard error made under </w:t>
      </w:r>
      <w:r w:rsidRPr="00926867">
        <w:t>heavy/fast trading</w:t>
      </w:r>
      <w:r>
        <w:t>. The second</w:t>
      </w:r>
      <w:r w:rsidRPr="00926867">
        <w:t xml:space="preserve"> observation</w:t>
      </w:r>
      <w:r>
        <w:t xml:space="preserve"> was</w:t>
      </w:r>
      <w:r w:rsidRPr="00CE5F03">
        <w:t xml:space="preserve"> </w:t>
      </w:r>
      <w:r>
        <w:t xml:space="preserve">a price of 900 </w:t>
      </w:r>
      <w:r w:rsidRPr="00926867">
        <w:t xml:space="preserve">in period 16 of </w:t>
      </w:r>
      <w:r w:rsidRPr="00926867">
        <w:rPr>
          <w:rFonts w:hint="eastAsia"/>
        </w:rPr>
        <w:t xml:space="preserve">a T2H </w:t>
      </w:r>
      <w:r w:rsidRPr="00926867">
        <w:t>market, and it was the only transaction in that period</w:t>
      </w:r>
      <w:r w:rsidRPr="00926867">
        <w:rPr>
          <w:rFonts w:hint="eastAsia"/>
        </w:rPr>
        <w:t>;</w:t>
      </w:r>
      <w:r>
        <w:t xml:space="preserve"> it was probably caused by boredom because there had been no transactions in period 15</w:t>
      </w:r>
      <w:r>
        <w:rPr>
          <w:rFonts w:hint="eastAsia"/>
        </w:rPr>
        <w:t xml:space="preserve">. We </w:t>
      </w:r>
      <w:r>
        <w:t>repeated</w:t>
      </w:r>
      <w:r>
        <w:rPr>
          <w:rFonts w:hint="eastAsia"/>
        </w:rPr>
        <w:t xml:space="preserve"> the analyses without dropping </w:t>
      </w:r>
      <w:r>
        <w:t xml:space="preserve">these </w:t>
      </w:r>
      <w:r>
        <w:rPr>
          <w:rFonts w:hint="eastAsia"/>
        </w:rPr>
        <w:t>two outliers and confirmed that the results were qualitatively unchanged.</w:t>
      </w:r>
      <w:r>
        <w:t xml:space="preserve"> Note that </w:t>
      </w:r>
      <w:r w:rsidRPr="00492217">
        <w:t>no session end</w:t>
      </w:r>
      <w:r>
        <w:t>ed</w:t>
      </w:r>
      <w:r w:rsidRPr="00492217">
        <w:t xml:space="preserve"> before period 16. </w:t>
      </w:r>
      <w:r>
        <w:t>The two s</w:t>
      </w:r>
      <w:r w:rsidRPr="00492217">
        <w:t>ession</w:t>
      </w:r>
      <w:r>
        <w:t>s</w:t>
      </w:r>
      <w:r w:rsidRPr="00492217">
        <w:t xml:space="preserve"> </w:t>
      </w:r>
      <w:r>
        <w:t xml:space="preserve">appearing to have ended early did not see </w:t>
      </w:r>
      <w:r w:rsidRPr="00492217">
        <w:t>transaction</w:t>
      </w:r>
      <w:r>
        <w:t>s</w:t>
      </w:r>
      <w:r w:rsidRPr="00492217">
        <w:t xml:space="preserve"> (although several bids and asks) in </w:t>
      </w:r>
      <w:r>
        <w:t>the</w:t>
      </w:r>
      <w:r w:rsidRPr="00492217">
        <w:t xml:space="preserve"> periods</w:t>
      </w:r>
      <w:r>
        <w:t xml:space="preserve"> before the end of the market.</w:t>
      </w:r>
    </w:p>
  </w:footnote>
  <w:footnote w:id="31">
    <w:p w14:paraId="6F697CE8" w14:textId="39EA6F48" w:rsidR="00795305" w:rsidRPr="00B54B35" w:rsidRDefault="00795305" w:rsidP="00A96B72">
      <w:pPr>
        <w:pStyle w:val="Funotentext"/>
        <w:spacing w:line="276" w:lineRule="auto"/>
      </w:pPr>
      <w:r>
        <w:rPr>
          <w:rStyle w:val="Funotenzeichen"/>
        </w:rPr>
        <w:footnoteRef/>
      </w:r>
      <w:r>
        <w:t xml:space="preserve"> </w:t>
      </w:r>
      <w:r w:rsidRPr="00E647AF">
        <w:t>Comparable to earlier studies, convergence is noisy, which suggests that arbitrage is far from perfect even in the last period.</w:t>
      </w:r>
      <w:r>
        <w:t xml:space="preserve"> </w:t>
      </w:r>
      <w:r w:rsidRPr="002B25BA">
        <w:t>In</w:t>
      </w:r>
      <w:r>
        <w:t xml:space="preserve"> a few sessions in Figures 2 and 3, we observe that the mean prices (grey line) are above 50 in the last period (Period 16). This indicates that some traders bought the security above 50 even in the last period. Two reasons can be considered. One is that the trader believes that he/she can resell the security to others at a higher price during the last period (120 seconds)</w:t>
      </w:r>
      <w:proofErr w:type="gramStart"/>
      <w:r>
        <w:t>,</w:t>
      </w:r>
      <w:proofErr w:type="gramEnd"/>
      <w:r>
        <w:t xml:space="preserve"> the other is that they did </w:t>
      </w:r>
      <w:r w:rsidR="0016612E">
        <w:t xml:space="preserve">not fully understand the game. </w:t>
      </w:r>
    </w:p>
  </w:footnote>
  <w:footnote w:id="32">
    <w:p w14:paraId="3CE9B044" w14:textId="64C18FB5" w:rsidR="00795305" w:rsidRPr="009F76F0" w:rsidRDefault="00795305" w:rsidP="009F76F0">
      <w:pPr>
        <w:pStyle w:val="Funotentext"/>
      </w:pPr>
      <w:r>
        <w:rPr>
          <w:rStyle w:val="Funotenzeichen"/>
        </w:rPr>
        <w:footnoteRef/>
      </w:r>
      <w:r>
        <w:t xml:space="preserve"> </w:t>
      </w:r>
      <w:r>
        <w:rPr>
          <w:rFonts w:hint="eastAsia"/>
        </w:rPr>
        <w:t xml:space="preserve">We </w:t>
      </w:r>
      <w:r>
        <w:t>excluded</w:t>
      </w:r>
      <w:r>
        <w:rPr>
          <w:rFonts w:hint="eastAsia"/>
        </w:rPr>
        <w:t xml:space="preserve"> three </w:t>
      </w:r>
      <w:r>
        <w:t xml:space="preserve">periods from the </w:t>
      </w:r>
      <w:r>
        <w:rPr>
          <w:rFonts w:hint="eastAsia"/>
        </w:rPr>
        <w:t xml:space="preserve">sample </w:t>
      </w:r>
      <w:r>
        <w:t>of</w:t>
      </w:r>
      <w:r>
        <w:rPr>
          <w:rFonts w:hint="eastAsia"/>
        </w:rPr>
        <w:t xml:space="preserve"> high-liquidity session</w:t>
      </w:r>
      <w:r>
        <w:t>s</w:t>
      </w:r>
      <w:r>
        <w:rPr>
          <w:rFonts w:hint="eastAsia"/>
        </w:rPr>
        <w:t>: period 16 in Market 5 of T1H and per</w:t>
      </w:r>
      <w:r>
        <w:rPr>
          <w:rFonts w:hint="eastAsia"/>
        </w:rPr>
        <w:t>i</w:t>
      </w:r>
      <w:r>
        <w:rPr>
          <w:rFonts w:hint="eastAsia"/>
        </w:rPr>
        <w:t>od 15 in Market 5 of T2H</w:t>
      </w:r>
      <w:r>
        <w:t xml:space="preserve"> had </w:t>
      </w:r>
      <w:r>
        <w:rPr>
          <w:rFonts w:hint="eastAsia"/>
        </w:rPr>
        <w:t xml:space="preserve">no transactions and period 16 in Market 5 of T2H </w:t>
      </w:r>
      <w:r>
        <w:t>had</w:t>
      </w:r>
      <w:r>
        <w:rPr>
          <w:rFonts w:hint="eastAsia"/>
        </w:rPr>
        <w:t xml:space="preserve"> only </w:t>
      </w:r>
      <w:r>
        <w:t xml:space="preserve">the </w:t>
      </w:r>
      <w:r>
        <w:rPr>
          <w:rFonts w:hint="eastAsia"/>
        </w:rPr>
        <w:t>outlier transaction price of 900. We also deleted three periods</w:t>
      </w:r>
      <w:r>
        <w:t xml:space="preserve"> for the low-liquidity sample (periods</w:t>
      </w:r>
      <w:r>
        <w:rPr>
          <w:rFonts w:hint="eastAsia"/>
        </w:rPr>
        <w:t xml:space="preserve"> 11 and 13 in Market 3 in T1L and period 14 in Market 3 of T8L</w:t>
      </w:r>
      <w:r>
        <w:t xml:space="preserve"> since they had </w:t>
      </w:r>
      <w:r>
        <w:rPr>
          <w:rFonts w:hint="eastAsia"/>
        </w:rPr>
        <w:t xml:space="preserve">no transactions). </w:t>
      </w:r>
      <w:r>
        <w:t>These deletions reduced</w:t>
      </w:r>
      <w:r>
        <w:rPr>
          <w:rFonts w:hint="eastAsia"/>
        </w:rPr>
        <w:t xml:space="preserve"> the sample size for each liquidity </w:t>
      </w:r>
      <w:r>
        <w:t xml:space="preserve">treatment to </w:t>
      </w:r>
      <w:r>
        <w:rPr>
          <w:rFonts w:hint="eastAsia"/>
        </w:rPr>
        <w:t>38</w:t>
      </w:r>
      <w:r w:rsidRPr="009F76F0">
        <w:rPr>
          <w:rFonts w:hint="eastAsia"/>
        </w:rPr>
        <w:t xml:space="preserve">1. </w:t>
      </w:r>
      <w:r>
        <w:t>The</w:t>
      </w:r>
      <w:r>
        <w:rPr>
          <w:rFonts w:hint="eastAsia"/>
        </w:rPr>
        <w:t xml:space="preserve"> resulting a</w:t>
      </w:r>
      <w:r w:rsidRPr="00AB5145">
        <w:t xml:space="preserve">verage </w:t>
      </w:r>
      <w:r>
        <w:rPr>
          <w:rFonts w:hint="eastAsia"/>
        </w:rPr>
        <w:t xml:space="preserve">of </w:t>
      </w:r>
      <w:r w:rsidRPr="00AB5145">
        <w:rPr>
          <w:i/>
        </w:rPr>
        <w:t>Period-RAD</w:t>
      </w:r>
      <w:r w:rsidRPr="00AB5145">
        <w:t xml:space="preserve"> is 0.735</w:t>
      </w:r>
      <w:r>
        <w:t xml:space="preserve"> (with a standard deviation of 0.908) </w:t>
      </w:r>
      <w:r w:rsidRPr="00AB5145">
        <w:t xml:space="preserve">across all high-liquidity sessions and 0.333 </w:t>
      </w:r>
      <w:r>
        <w:t xml:space="preserve">(with a standard deviation of 0.304) </w:t>
      </w:r>
      <w:r w:rsidRPr="00AB5145">
        <w:t>for the low-liquidity sessions.</w:t>
      </w:r>
    </w:p>
  </w:footnote>
  <w:footnote w:id="33">
    <w:p w14:paraId="6C1BEE67" w14:textId="60AD34C9" w:rsidR="00795305" w:rsidRPr="00E16360" w:rsidRDefault="00795305">
      <w:pPr>
        <w:pStyle w:val="Funotentext"/>
      </w:pPr>
      <w:r>
        <w:rPr>
          <w:rStyle w:val="Funotenzeichen"/>
        </w:rPr>
        <w:footnoteRef/>
      </w:r>
      <w:r>
        <w:t xml:space="preserve"> Note that </w:t>
      </w:r>
      <w:r w:rsidRPr="004250FA">
        <w:rPr>
          <w:i/>
        </w:rPr>
        <w:t>Period-RAD</w:t>
      </w:r>
      <w:r>
        <w:t xml:space="preserve">s are not independent across periods within a session. We dealt with this dependence by regressing </w:t>
      </w:r>
      <w:r w:rsidRPr="004250FA">
        <w:rPr>
          <w:i/>
        </w:rPr>
        <w:t>Period-RAD</w:t>
      </w:r>
      <w:r>
        <w:t xml:space="preserve"> on the dummy variable which takes a value of one for periods with only speculating investors and checking whether the coefficient of the dummy is statistically significant using standard error adjusted for clusters (sessions). The coefficients are significant for both H and L treatments. As an additional robustness check, we added the period number (1-16) to the above regression to control for the learning effect of the subjects within a session. We also confirmed that the dummy for periods with only speculating investors is significant for both H and L treatments.</w:t>
      </w:r>
    </w:p>
  </w:footnote>
  <w:footnote w:id="34">
    <w:p w14:paraId="392E7491" w14:textId="3C8152AE" w:rsidR="00795305" w:rsidRPr="00E61BE4" w:rsidRDefault="00795305">
      <w:pPr>
        <w:pStyle w:val="Funotentext"/>
      </w:pPr>
      <w:r>
        <w:rPr>
          <w:rStyle w:val="Funotenzeichen"/>
        </w:rPr>
        <w:footnoteRef/>
      </w:r>
      <w:r>
        <w:t xml:space="preserve"> </w:t>
      </w:r>
      <w:proofErr w:type="spellStart"/>
      <w:r>
        <w:t>Moinas</w:t>
      </w:r>
      <w:proofErr w:type="spellEnd"/>
      <w:r>
        <w:t xml:space="preserve"> and </w:t>
      </w:r>
      <w:proofErr w:type="spellStart"/>
      <w:r>
        <w:t>Pouget’s</w:t>
      </w:r>
      <w:proofErr w:type="spellEnd"/>
      <w:r>
        <w:t xml:space="preserve"> (2013) experimental result shows that subjects are more likely to buy the security at higher prices than fundamentals as the number of steps of iterated reasoning needed for backward induction.</w:t>
      </w:r>
    </w:p>
  </w:footnote>
  <w:footnote w:id="35">
    <w:p w14:paraId="4F933FAB" w14:textId="58683A63" w:rsidR="00795305" w:rsidRPr="00904294" w:rsidRDefault="00795305" w:rsidP="003A37FA">
      <w:pPr>
        <w:pStyle w:val="Funotentext"/>
      </w:pPr>
      <w:r>
        <w:rPr>
          <w:rStyle w:val="Funotenzeichen"/>
        </w:rPr>
        <w:footnoteRef/>
      </w:r>
      <w:r>
        <w:t xml:space="preserve"> </w:t>
      </w:r>
      <w:r w:rsidRPr="00904294">
        <w:rPr>
          <w:rFonts w:hint="eastAsia"/>
        </w:rPr>
        <w:t xml:space="preserve">This overpricing is consistent with the findings of </w:t>
      </w:r>
      <w:r>
        <w:t xml:space="preserve">the </w:t>
      </w:r>
      <w:r w:rsidRPr="00904294">
        <w:rPr>
          <w:rFonts w:hint="eastAsia"/>
        </w:rPr>
        <w:t>previous literature o</w:t>
      </w:r>
      <w:r>
        <w:t>n</w:t>
      </w:r>
      <w:r w:rsidRPr="00904294">
        <w:rPr>
          <w:rFonts w:hint="eastAsia"/>
        </w:rPr>
        <w:t xml:space="preserve"> </w:t>
      </w:r>
      <w:r>
        <w:rPr>
          <w:rFonts w:hint="eastAsia"/>
        </w:rPr>
        <w:t>security</w:t>
      </w:r>
      <w:r w:rsidRPr="00904294">
        <w:rPr>
          <w:rFonts w:hint="eastAsia"/>
        </w:rPr>
        <w:t xml:space="preserve"> market experiments</w:t>
      </w:r>
      <w:r>
        <w:t>:</w:t>
      </w:r>
      <w:r w:rsidRPr="00904294">
        <w:rPr>
          <w:rFonts w:hint="eastAsia"/>
        </w:rPr>
        <w:t xml:space="preserve"> in a market with investors who can </w:t>
      </w:r>
      <w:r w:rsidRPr="00904294">
        <w:t>receive</w:t>
      </w:r>
      <w:r w:rsidRPr="00904294">
        <w:rPr>
          <w:rFonts w:hint="eastAsia"/>
        </w:rPr>
        <w:t xml:space="preserve"> dividends (corresponding to </w:t>
      </w:r>
      <w:r>
        <w:rPr>
          <w:rFonts w:hint="eastAsia"/>
        </w:rPr>
        <w:t>dividend</w:t>
      </w:r>
      <w:r>
        <w:t>-</w:t>
      </w:r>
      <w:r>
        <w:rPr>
          <w:rFonts w:hint="eastAsia"/>
        </w:rPr>
        <w:t>collecting</w:t>
      </w:r>
      <w:r w:rsidRPr="00904294">
        <w:rPr>
          <w:rFonts w:hint="eastAsia"/>
        </w:rPr>
        <w:t xml:space="preserve"> investors in our exper</w:t>
      </w:r>
      <w:r w:rsidRPr="00904294">
        <w:rPr>
          <w:rFonts w:hint="eastAsia"/>
        </w:rPr>
        <w:t>i</w:t>
      </w:r>
      <w:r w:rsidRPr="00904294">
        <w:rPr>
          <w:rFonts w:hint="eastAsia"/>
        </w:rPr>
        <w:t xml:space="preserve">ment), a larger </w:t>
      </w:r>
      <w:r>
        <w:t>C/A-</w:t>
      </w:r>
      <w:r w:rsidRPr="00904294">
        <w:rPr>
          <w:rFonts w:hint="eastAsia"/>
        </w:rPr>
        <w:t>ratio is associated with greater positive mispricing (see, Palan (2013)</w:t>
      </w:r>
      <w:r>
        <w:t xml:space="preserve"> for a </w:t>
      </w:r>
      <w:r w:rsidRPr="00904294">
        <w:rPr>
          <w:rFonts w:hint="eastAsia"/>
        </w:rPr>
        <w:t>survey).</w:t>
      </w:r>
    </w:p>
  </w:footnote>
  <w:footnote w:id="36">
    <w:p w14:paraId="12901EAA" w14:textId="70B30EAF" w:rsidR="00795305" w:rsidRPr="00896067" w:rsidRDefault="00795305">
      <w:pPr>
        <w:pStyle w:val="Funotentext"/>
      </w:pPr>
      <w:r>
        <w:rPr>
          <w:rStyle w:val="Funotenzeichen"/>
        </w:rPr>
        <w:footnoteRef/>
      </w:r>
      <w:r>
        <w:t xml:space="preserve"> In fact, in H treatments, each trader (e.g., with 4,000 of cash in T4H) could buy up all the securities (e.g., 40 in T4H) even at a price of 100.</w:t>
      </w:r>
    </w:p>
  </w:footnote>
  <w:footnote w:id="37">
    <w:p w14:paraId="355CB991" w14:textId="134B9C3D" w:rsidR="00795305" w:rsidRPr="00F06782" w:rsidRDefault="00795305">
      <w:pPr>
        <w:pStyle w:val="Funotentext"/>
      </w:pPr>
      <w:r>
        <w:rPr>
          <w:rStyle w:val="Funotenzeichen"/>
        </w:rPr>
        <w:footnoteRef/>
      </w:r>
      <w:r>
        <w:t xml:space="preserve"> Additional evidence in this regard is provided in Appendix D.2 and D.3. In D.2 we report that the concentr</w:t>
      </w:r>
      <w:r>
        <w:t>a</w:t>
      </w:r>
      <w:r>
        <w:t>tion of securities (SC) is significantly higher in H treatments than in L treatments in T1, T2, and T8. In addition, SC increases over the course of the experiment, indicating a stronger concentration of securities among fewer subjects. In D.3 w</w:t>
      </w:r>
      <w:r w:rsidRPr="00B60E25">
        <w:t xml:space="preserve">e </w:t>
      </w:r>
      <w:r>
        <w:t>report</w:t>
      </w:r>
      <w:r w:rsidRPr="00B60E25">
        <w:t xml:space="preserve"> that </w:t>
      </w:r>
      <w:r>
        <w:t>not only prices in the first period but also the predicted first-period prices are above</w:t>
      </w:r>
      <w:r w:rsidRPr="00B60E25">
        <w:t xml:space="preserve"> 50 in </w:t>
      </w:r>
      <w:r>
        <w:t>all (24) sessions in H treatments.</w:t>
      </w:r>
    </w:p>
  </w:footnote>
  <w:footnote w:id="38">
    <w:p w14:paraId="7EBD0E2A" w14:textId="6F0A2D64" w:rsidR="00795305" w:rsidRPr="00E66E66" w:rsidRDefault="00795305">
      <w:pPr>
        <w:pStyle w:val="Funotentext"/>
      </w:pPr>
      <w:r>
        <w:rPr>
          <w:rStyle w:val="Funotenzeichen"/>
        </w:rPr>
        <w:footnoteRef/>
      </w:r>
      <w:r>
        <w:t xml:space="preserve"> This hot potato interpretation is consistent with De Marino et al. (2013) who report that subjects with high theory of mind have an increased propensity to ride bubbles.</w:t>
      </w:r>
    </w:p>
  </w:footnote>
  <w:footnote w:id="39">
    <w:p w14:paraId="621976DC" w14:textId="678ABC8B" w:rsidR="00795305" w:rsidRPr="00821717" w:rsidRDefault="00795305">
      <w:pPr>
        <w:pStyle w:val="Funotentext"/>
      </w:pPr>
      <w:r>
        <w:rPr>
          <w:rStyle w:val="Funotenzeichen"/>
        </w:rPr>
        <w:footnoteRef/>
      </w:r>
      <w:r>
        <w:t xml:space="preserve"> We could also argue that even dividend-collecting investors (the last generation) may participate the hot pot</w:t>
      </w:r>
      <w:r>
        <w:t>a</w:t>
      </w:r>
      <w:r>
        <w:t>to game as well, which causes positive price deviations in their presence in H treatments (see positive price deviations in the upper-left cell in Table 6 and the upper-left panel (T1H) in Figure 2).</w:t>
      </w:r>
    </w:p>
  </w:footnote>
  <w:footnote w:id="40">
    <w:p w14:paraId="3BEAE0B9" w14:textId="311DD85C" w:rsidR="00795305" w:rsidRDefault="00795305">
      <w:pPr>
        <w:pStyle w:val="Funotentext"/>
      </w:pPr>
      <w:r>
        <w:rPr>
          <w:rStyle w:val="Funotenzeichen"/>
        </w:rPr>
        <w:footnoteRef/>
      </w:r>
      <w:r>
        <w:t xml:space="preserve"> Note that there is a</w:t>
      </w:r>
      <w:r>
        <w:rPr>
          <w:rFonts w:hint="eastAsia"/>
        </w:rPr>
        <w:t xml:space="preserve"> </w:t>
      </w:r>
      <w:r>
        <w:t>no-</w:t>
      </w:r>
      <w:r>
        <w:rPr>
          <w:rFonts w:hint="eastAsia"/>
        </w:rPr>
        <w:t xml:space="preserve">borrowing constraint </w:t>
      </w:r>
      <w:r>
        <w:t>in the</w:t>
      </w:r>
      <w:r>
        <w:rPr>
          <w:rFonts w:hint="eastAsia"/>
        </w:rPr>
        <w:t xml:space="preserve"> experiment.</w:t>
      </w:r>
    </w:p>
  </w:footnote>
  <w:footnote w:id="41">
    <w:p w14:paraId="3CBBF778" w14:textId="610200E2" w:rsidR="00795305" w:rsidRPr="004E7618" w:rsidRDefault="00795305" w:rsidP="00196D2E">
      <w:pPr>
        <w:pStyle w:val="Funotentext"/>
      </w:pPr>
      <w:r>
        <w:rPr>
          <w:rStyle w:val="Funotenzeichen"/>
        </w:rPr>
        <w:footnoteRef/>
      </w:r>
      <w:r>
        <w:t xml:space="preserve"> For robustness checks on the results of Table 6, we regressed </w:t>
      </w:r>
      <w:r w:rsidRPr="004250FA">
        <w:rPr>
          <w:i/>
        </w:rPr>
        <w:t>Period-RD</w:t>
      </w:r>
      <w:r>
        <w:t xml:space="preserve"> on the dummy variable which takes a value of one for periods with only speculating investors and confirmed that the coefficient of the dummy is statistically significant using standard error adjusted for clusters (sessions) for both H and L treatments. We also add the period number (1-16) to the above regression to control for the learning effect of the subjects. The result shows that while the dummy for periods with only speculating investors become insignificant for H treatments, it is still significant for L treatments.</w:t>
      </w:r>
    </w:p>
  </w:footnote>
  <w:footnote w:id="42">
    <w:p w14:paraId="770DD43A" w14:textId="13C7D1F8" w:rsidR="00795305" w:rsidRPr="008A49F5" w:rsidRDefault="00795305" w:rsidP="001407A2">
      <w:pPr>
        <w:jc w:val="both"/>
      </w:pPr>
      <w:r>
        <w:rPr>
          <w:rStyle w:val="Funotenzeichen"/>
        </w:rPr>
        <w:footnoteRef/>
      </w:r>
      <w:r>
        <w:t xml:space="preserve"> </w:t>
      </w:r>
      <w:r w:rsidRPr="008A49F5">
        <w:rPr>
          <w:lang w:eastAsia="ja-JP"/>
        </w:rPr>
        <w:t>This conjecture is supported by theoretical analyses of financial liquidity crises by Bernardo and Welch (2004) and Morris and Shin (2004). They point to speculating investors selling securities expecting future ma</w:t>
      </w:r>
      <w:r w:rsidRPr="008A49F5">
        <w:rPr>
          <w:lang w:eastAsia="ja-JP"/>
        </w:rPr>
        <w:t>r</w:t>
      </w:r>
      <w:r w:rsidRPr="008A49F5">
        <w:rPr>
          <w:lang w:eastAsia="ja-JP"/>
        </w:rPr>
        <w:t xml:space="preserve">ket declines, and causing price drops. It is also consistent with an empirical study by </w:t>
      </w:r>
      <w:proofErr w:type="spellStart"/>
      <w:r w:rsidRPr="008A49F5">
        <w:rPr>
          <w:lang w:eastAsia="ja-JP"/>
        </w:rPr>
        <w:t>Cella</w:t>
      </w:r>
      <w:proofErr w:type="spellEnd"/>
      <w:r w:rsidRPr="008A49F5">
        <w:rPr>
          <w:lang w:eastAsia="ja-JP"/>
        </w:rPr>
        <w:t xml:space="preserve"> et al. (2013) who find that during episodes of market turmoil, short-term investors sell more than long-term investors, and stocks held mostly by short-term investors experience larger price drops than stocks held mostly by long-term investors. In addition, Morris and Shin’s (2004) model predicts a V-shaped pattern in prices around the liquidity crisis; after the crisis, prices go back to fundamentals through the long-term investors’ arbitrage transactions. </w:t>
      </w:r>
      <w:proofErr w:type="spellStart"/>
      <w:r w:rsidRPr="008A49F5">
        <w:rPr>
          <w:lang w:eastAsia="ja-JP"/>
        </w:rPr>
        <w:t>Cella</w:t>
      </w:r>
      <w:proofErr w:type="spellEnd"/>
      <w:r w:rsidRPr="008A49F5">
        <w:rPr>
          <w:lang w:eastAsia="ja-JP"/>
        </w:rPr>
        <w:t xml:space="preserve"> et al. (2013) also report that stocks held mostly by short-term investors experienced large price reversals after the turmoil. These V-shaped price paths from theoretical and empirical studies are also observed in our low-liquidity sessions. </w:t>
      </w:r>
      <w:r>
        <w:rPr>
          <w:lang w:eastAsia="ja-JP"/>
        </w:rPr>
        <w:t xml:space="preserve">In </w:t>
      </w:r>
      <w:r w:rsidRPr="008A49F5">
        <w:rPr>
          <w:lang w:eastAsia="ja-JP"/>
        </w:rPr>
        <w:t>Figure 3, in T2L, T4L, and T8L markets, prices tend to decline when there exist only spe</w:t>
      </w:r>
      <w:r w:rsidRPr="008A49F5">
        <w:rPr>
          <w:lang w:eastAsia="ja-JP"/>
        </w:rPr>
        <w:t>c</w:t>
      </w:r>
      <w:r w:rsidRPr="008A49F5">
        <w:rPr>
          <w:lang w:eastAsia="ja-JP"/>
        </w:rPr>
        <w:t>ulating investors, but they generally recover and converge to fundamentals once dividend-collecting investors (the last generation) enter the market.</w:t>
      </w:r>
    </w:p>
  </w:footnote>
  <w:footnote w:id="43">
    <w:p w14:paraId="0C1D4564" w14:textId="60BC6382" w:rsidR="00795305" w:rsidRPr="00896067" w:rsidRDefault="00795305" w:rsidP="00FA2BF7">
      <w:pPr>
        <w:pStyle w:val="Funotentext"/>
      </w:pPr>
      <w:r>
        <w:rPr>
          <w:rStyle w:val="Funotenzeichen"/>
        </w:rPr>
        <w:footnoteRef/>
      </w:r>
      <w:r>
        <w:t xml:space="preserve"> In L treatments, each traders (e.g., with 800 of cash in T4H) could not buy up all the securities (e.g., 40 in T4H) at prices above 20. </w:t>
      </w:r>
    </w:p>
  </w:footnote>
  <w:footnote w:id="44">
    <w:p w14:paraId="6A485C8B" w14:textId="3642670A" w:rsidR="00795305" w:rsidRPr="008C2B41" w:rsidRDefault="00795305">
      <w:pPr>
        <w:pStyle w:val="Funotentext"/>
      </w:pPr>
      <w:r>
        <w:rPr>
          <w:rStyle w:val="Funotenzeichen"/>
        </w:rPr>
        <w:footnoteRef/>
      </w:r>
      <w:r>
        <w:t xml:space="preserve"> Note that the when the remaining number of entering generations is two, the number of entering generation of speculating investors left is only one, since the final generation is the dividend-collecting investors, </w:t>
      </w:r>
    </w:p>
  </w:footnote>
  <w:footnote w:id="45">
    <w:p w14:paraId="68228EDB" w14:textId="77777777" w:rsidR="00795305" w:rsidRPr="009157E7" w:rsidRDefault="00795305" w:rsidP="003655CE">
      <w:pPr>
        <w:pStyle w:val="Funotentext"/>
      </w:pPr>
      <w:r>
        <w:rPr>
          <w:rStyle w:val="Funotenzeichen"/>
        </w:rPr>
        <w:footnoteRef/>
      </w:r>
      <w:r>
        <w:t xml:space="preserve"> We rely on predictors’ estimates in the analysis of expectation formation because they have no incentive other than to predict as accurately as they can. Since the market information sets of the investors and predictors are identical, there is no </w:t>
      </w:r>
      <w:r>
        <w:rPr>
          <w:i/>
        </w:rPr>
        <w:t xml:space="preserve">a priori </w:t>
      </w:r>
      <w:r>
        <w:t>reason to believe that the predictions of the two sets of subjects would be different.</w:t>
      </w:r>
    </w:p>
  </w:footnote>
  <w:footnote w:id="46">
    <w:p w14:paraId="75F408E4" w14:textId="5051D734" w:rsidR="00795305" w:rsidRDefault="00795305">
      <w:pPr>
        <w:pStyle w:val="Funotentext"/>
      </w:pPr>
      <w:r>
        <w:rPr>
          <w:rStyle w:val="Funotenzeichen"/>
        </w:rPr>
        <w:footnoteRef/>
      </w:r>
      <w:r>
        <w:t xml:space="preserve"> </w:t>
      </w:r>
      <w:r>
        <w:rPr>
          <w:rFonts w:hint="eastAsia"/>
        </w:rPr>
        <w:t>In Appen</w:t>
      </w:r>
      <w:r>
        <w:t>d</w:t>
      </w:r>
      <w:r>
        <w:rPr>
          <w:rFonts w:hint="eastAsia"/>
        </w:rPr>
        <w:t xml:space="preserve">ix D.3, we </w:t>
      </w:r>
      <w:r>
        <w:t>report that the price predictions are less accurate (prices is harder to predict) when a higher number of generations remain; consequently, prices are harder to predict at the beginning of the session compared to the later periods.</w:t>
      </w:r>
    </w:p>
  </w:footnote>
  <w:footnote w:id="47">
    <w:p w14:paraId="02E6C330" w14:textId="05D42C06" w:rsidR="00795305" w:rsidRDefault="00795305" w:rsidP="00B67A3C">
      <w:pPr>
        <w:pStyle w:val="Funotentext"/>
      </w:pPr>
      <w:r>
        <w:rPr>
          <w:rStyle w:val="Funotenzeichen"/>
        </w:rPr>
        <w:footnoteRef/>
      </w:r>
      <w:r>
        <w:t xml:space="preserve"> </w:t>
      </w:r>
      <w:r>
        <w:rPr>
          <w:rFonts w:hint="eastAsia"/>
        </w:rPr>
        <w:t xml:space="preserve">Hommes et al. (2005) investigate the price expectation </w:t>
      </w:r>
      <w:r>
        <w:t>formation</w:t>
      </w:r>
      <w:r>
        <w:rPr>
          <w:rFonts w:hint="eastAsia"/>
        </w:rPr>
        <w:t xml:space="preserve"> in asset market experiments. They report that about half of participants follow the linear autoregressive predictions with </w:t>
      </w:r>
      <w:r>
        <w:t xml:space="preserve">two </w:t>
      </w:r>
      <w:r>
        <w:rPr>
          <w:rFonts w:hint="eastAsia"/>
        </w:rPr>
        <w:t>lag</w:t>
      </w:r>
      <w:r>
        <w:t>s</w:t>
      </w:r>
      <w:r>
        <w:rPr>
          <w:rFonts w:hint="eastAsia"/>
        </w:rPr>
        <w:t xml:space="preserve"> (AR</w:t>
      </w:r>
      <w:r>
        <w:t xml:space="preserve"> </w:t>
      </w:r>
      <w:r>
        <w:rPr>
          <w:rFonts w:hint="eastAsia"/>
        </w:rPr>
        <w:t xml:space="preserve">(2) prediction) which can be interpreted as a trend following strategy (trend extrapolators or contrarians). Using our notation, </w:t>
      </w:r>
      <w:proofErr w:type="gramStart"/>
      <w:r>
        <w:rPr>
          <w:rFonts w:hint="eastAsia"/>
        </w:rPr>
        <w:t>AR(</w:t>
      </w:r>
      <w:proofErr w:type="gramEnd"/>
      <w:r>
        <w:rPr>
          <w:rFonts w:hint="eastAsia"/>
        </w:rPr>
        <w:t xml:space="preserve">2) prediction is expressed as </w:t>
      </w:r>
      <w:r w:rsidRPr="00145C8C">
        <w:rPr>
          <w:i/>
        </w:rPr>
        <w:t>E</w:t>
      </w:r>
      <w:r w:rsidRPr="00145C8C">
        <w:rPr>
          <w:i/>
          <w:vertAlign w:val="subscript"/>
        </w:rPr>
        <w:t>t</w:t>
      </w:r>
      <w:r w:rsidRPr="00145C8C">
        <w:rPr>
          <w:i/>
        </w:rPr>
        <w:t xml:space="preserve"> </w:t>
      </w:r>
      <w:r>
        <w:rPr>
          <w:rFonts w:hint="eastAsia"/>
        </w:rPr>
        <w:t>(</w:t>
      </w:r>
      <w:r w:rsidRPr="00145C8C">
        <w:rPr>
          <w:i/>
        </w:rPr>
        <w:t>P</w:t>
      </w:r>
      <w:r w:rsidRPr="00145C8C">
        <w:rPr>
          <w:i/>
          <w:vertAlign w:val="subscript"/>
        </w:rPr>
        <w:t>t+1</w:t>
      </w:r>
      <w:r>
        <w:rPr>
          <w:rFonts w:hint="eastAsia"/>
        </w:rPr>
        <w:t xml:space="preserve">) = </w:t>
      </w:r>
      <w:r>
        <w:rPr>
          <w:rFonts w:hint="eastAsia"/>
        </w:rPr>
        <w:sym w:font="Symbol" w:char="F067"/>
      </w:r>
      <w:r>
        <w:rPr>
          <w:rFonts w:hint="eastAsia"/>
        </w:rPr>
        <w:t xml:space="preserve"> + </w:t>
      </w:r>
      <w:r w:rsidRPr="009251C7">
        <w:rPr>
          <w:rFonts w:ascii="MS Mincho" w:hAnsi="MS Mincho"/>
          <w:i/>
        </w:rPr>
        <w:sym w:font="Symbol" w:char="F062"/>
      </w:r>
      <w:r w:rsidRPr="009251C7">
        <w:rPr>
          <w:i/>
          <w:vertAlign w:val="subscript"/>
        </w:rPr>
        <w:t>1</w:t>
      </w:r>
      <w:r w:rsidRPr="00145C8C">
        <w:rPr>
          <w:i/>
        </w:rPr>
        <w:t>P</w:t>
      </w:r>
      <w:r w:rsidRPr="00145C8C">
        <w:rPr>
          <w:i/>
          <w:vertAlign w:val="subscript"/>
        </w:rPr>
        <w:t>t</w:t>
      </w:r>
      <w:r w:rsidRPr="00145C8C">
        <w:rPr>
          <w:i/>
        </w:rPr>
        <w:t xml:space="preserve"> </w:t>
      </w:r>
      <w:r>
        <w:rPr>
          <w:rFonts w:hint="eastAsia"/>
        </w:rPr>
        <w:t xml:space="preserve">+  </w:t>
      </w:r>
      <w:r w:rsidRPr="009251C7">
        <w:rPr>
          <w:rFonts w:ascii="MS Mincho" w:hAnsi="MS Mincho"/>
          <w:i/>
        </w:rPr>
        <w:sym w:font="Symbol" w:char="F062"/>
      </w:r>
      <w:r w:rsidRPr="009251C7">
        <w:rPr>
          <w:i/>
          <w:vertAlign w:val="subscript"/>
        </w:rPr>
        <w:t>2</w:t>
      </w:r>
      <w:r w:rsidRPr="00145C8C">
        <w:rPr>
          <w:i/>
        </w:rPr>
        <w:t>P</w:t>
      </w:r>
      <w:r w:rsidRPr="00145C8C">
        <w:rPr>
          <w:i/>
          <w:vertAlign w:val="subscript"/>
        </w:rPr>
        <w:t>t-1</w:t>
      </w:r>
      <w:r w:rsidRPr="00145C8C">
        <w:rPr>
          <w:i/>
        </w:rPr>
        <w:t xml:space="preserve"> </w:t>
      </w:r>
      <w:r>
        <w:rPr>
          <w:rFonts w:hint="eastAsia"/>
        </w:rPr>
        <w:t>and it becomes our trend model (</w:t>
      </w:r>
      <w:r>
        <w:t>equation</w:t>
      </w:r>
      <w:r>
        <w:rPr>
          <w:rFonts w:hint="eastAsia"/>
        </w:rPr>
        <w:t xml:space="preserve"> (</w:t>
      </w:r>
      <w:r>
        <w:t>9</w:t>
      </w:r>
      <w:r>
        <w:rPr>
          <w:rFonts w:hint="eastAsia"/>
        </w:rPr>
        <w:t xml:space="preserve">)) when </w:t>
      </w:r>
      <w:r>
        <w:rPr>
          <w:rFonts w:hint="eastAsia"/>
        </w:rPr>
        <w:sym w:font="Symbol" w:char="F067"/>
      </w:r>
      <w:r>
        <w:rPr>
          <w:rFonts w:hint="eastAsia"/>
        </w:rPr>
        <w:t xml:space="preserve"> = 0,  </w:t>
      </w:r>
      <w:r w:rsidRPr="009251C7">
        <w:rPr>
          <w:rFonts w:ascii="MS Mincho" w:hAnsi="MS Mincho"/>
          <w:i/>
        </w:rPr>
        <w:sym w:font="Symbol" w:char="F062"/>
      </w:r>
      <w:r w:rsidRPr="009251C7">
        <w:rPr>
          <w:i/>
          <w:vertAlign w:val="subscript"/>
        </w:rPr>
        <w:t>1</w:t>
      </w:r>
      <w:r>
        <w:rPr>
          <w:rFonts w:hint="eastAsia"/>
        </w:rPr>
        <w:t xml:space="preserve"> +  </w:t>
      </w:r>
      <w:r w:rsidRPr="009251C7">
        <w:rPr>
          <w:rFonts w:ascii="MS Mincho" w:hAnsi="MS Mincho"/>
          <w:i/>
        </w:rPr>
        <w:sym w:font="Symbol" w:char="F062"/>
      </w:r>
      <w:r w:rsidRPr="009251C7">
        <w:rPr>
          <w:i/>
          <w:vertAlign w:val="subscript"/>
        </w:rPr>
        <w:t>2</w:t>
      </w:r>
      <w:r>
        <w:rPr>
          <w:rFonts w:hint="eastAsia"/>
        </w:rPr>
        <w:t xml:space="preserve"> = 1, and </w:t>
      </w:r>
      <w:r w:rsidRPr="009251C7">
        <w:rPr>
          <w:rFonts w:ascii="MS Mincho" w:hAnsi="MS Mincho"/>
          <w:i/>
        </w:rPr>
        <w:sym w:font="Symbol" w:char="F062"/>
      </w:r>
      <w:r w:rsidRPr="009251C7">
        <w:rPr>
          <w:i/>
          <w:vertAlign w:val="subscript"/>
        </w:rPr>
        <w:t>2</w:t>
      </w:r>
      <w:r w:rsidRPr="00FA15AE">
        <w:rPr>
          <w:rFonts w:hint="eastAsia"/>
          <w:vertAlign w:val="subscript"/>
        </w:rPr>
        <w:t xml:space="preserve"> </w:t>
      </w:r>
      <w:r w:rsidRPr="00145C8C">
        <w:t xml:space="preserve">= </w:t>
      </w:r>
      <w:r w:rsidRPr="00145C8C">
        <w:rPr>
          <w:i/>
          <w:vertAlign w:val="subscript"/>
        </w:rPr>
        <w:t xml:space="preserve"> </w:t>
      </w:r>
      <w:r w:rsidRPr="00145C8C">
        <w:t>–</w:t>
      </w:r>
      <w:r w:rsidRPr="009251C7">
        <w:rPr>
          <w:rFonts w:ascii="MS Mincho" w:hAnsi="MS Mincho"/>
          <w:i/>
        </w:rPr>
        <w:sym w:font="Symbol" w:char="F062"/>
      </w:r>
      <w:r w:rsidRPr="00FA15AE">
        <w:rPr>
          <w:rFonts w:hint="eastAsia"/>
        </w:rPr>
        <w:t xml:space="preserve">. </w:t>
      </w:r>
    </w:p>
  </w:footnote>
  <w:footnote w:id="48">
    <w:p w14:paraId="54387053" w14:textId="77777777" w:rsidR="00795305" w:rsidRPr="00095985" w:rsidRDefault="00795305" w:rsidP="00095985">
      <w:pPr>
        <w:jc w:val="both"/>
        <w:rPr>
          <w:lang w:eastAsia="ja-JP"/>
        </w:rPr>
      </w:pPr>
      <w:r>
        <w:rPr>
          <w:rStyle w:val="Funotenzeichen"/>
        </w:rPr>
        <w:footnoteRef/>
      </w:r>
      <w:r w:rsidRPr="0012615E">
        <w:t xml:space="preserve"> </w:t>
      </w:r>
      <w:r w:rsidRPr="00095985">
        <w:rPr>
          <w:lang w:eastAsia="ja-JP"/>
        </w:rPr>
        <w:t xml:space="preserve">This result is consistent with the empirical results reported by Greenwood and Shleifer (2014). They show that expectations of investors captured by the surveys are not at all the expectations obtained from REE models. </w:t>
      </w:r>
    </w:p>
    <w:p w14:paraId="299E68A2" w14:textId="2E83AE67" w:rsidR="00795305" w:rsidRPr="0012615E" w:rsidRDefault="00795305">
      <w:pPr>
        <w:pStyle w:val="Funotentext"/>
      </w:pPr>
    </w:p>
  </w:footnote>
  <w:footnote w:id="49">
    <w:p w14:paraId="72F1F9DF" w14:textId="6F44E4D9" w:rsidR="00795305" w:rsidRPr="0012615E" w:rsidRDefault="00795305" w:rsidP="00B80307">
      <w:pPr>
        <w:jc w:val="both"/>
        <w:rPr>
          <w:lang w:eastAsia="ja-JP"/>
        </w:rPr>
      </w:pPr>
      <w:r>
        <w:rPr>
          <w:rStyle w:val="Funotenzeichen"/>
        </w:rPr>
        <w:footnoteRef/>
      </w:r>
      <w:r w:rsidRPr="0012615E">
        <w:t xml:space="preserve"> </w:t>
      </w:r>
      <w:r w:rsidRPr="00DF2E6A">
        <w:rPr>
          <w:lang w:eastAsia="ja-JP"/>
        </w:rPr>
        <w:t>While this pattern of reversal in expectations has been observed in some experimental markets (</w:t>
      </w:r>
      <w:proofErr w:type="spellStart"/>
      <w:r w:rsidRPr="00DF2E6A">
        <w:rPr>
          <w:lang w:eastAsia="ja-JP"/>
        </w:rPr>
        <w:t>Bao</w:t>
      </w:r>
      <w:proofErr w:type="spellEnd"/>
      <w:r w:rsidRPr="00DF2E6A">
        <w:rPr>
          <w:lang w:eastAsia="ja-JP"/>
        </w:rPr>
        <w:t>, et al. 2012, 2013), it is in a sharp contrast to the momentum (extrapolative) expectations reported in other exper</w:t>
      </w:r>
      <w:r w:rsidRPr="00DF2E6A">
        <w:rPr>
          <w:lang w:eastAsia="ja-JP"/>
        </w:rPr>
        <w:t>i</w:t>
      </w:r>
      <w:r w:rsidRPr="00DF2E6A">
        <w:rPr>
          <w:lang w:eastAsia="ja-JP"/>
        </w:rPr>
        <w:t>mental markets (</w:t>
      </w:r>
      <w:proofErr w:type="spellStart"/>
      <w:r w:rsidRPr="00DF2E6A">
        <w:rPr>
          <w:lang w:eastAsia="ja-JP"/>
        </w:rPr>
        <w:t>Haruvy</w:t>
      </w:r>
      <w:proofErr w:type="spellEnd"/>
      <w:r w:rsidRPr="00DF2E6A">
        <w:rPr>
          <w:lang w:eastAsia="ja-JP"/>
        </w:rPr>
        <w:t xml:space="preserve"> et al. 2007, Hirota and Sunder 2007, and Hommes et al. 2005).</w:t>
      </w:r>
    </w:p>
  </w:footnote>
  <w:footnote w:id="50">
    <w:p w14:paraId="07341403" w14:textId="77777777" w:rsidR="00795305" w:rsidRDefault="00795305" w:rsidP="00B67A3C">
      <w:pPr>
        <w:pStyle w:val="Funotentext"/>
      </w:pPr>
      <w:r>
        <w:rPr>
          <w:rStyle w:val="Funotenzeichen"/>
        </w:rPr>
        <w:footnoteRef/>
      </w:r>
      <w:r>
        <w:t xml:space="preserve"> </w:t>
      </w:r>
      <w:r>
        <w:rPr>
          <w:rFonts w:hint="eastAsia"/>
        </w:rPr>
        <w:t>(</w:t>
      </w:r>
      <w:r w:rsidRPr="00AB48E0">
        <w:rPr>
          <w:rFonts w:hint="eastAsia"/>
          <w:i/>
        </w:rPr>
        <w:t>F</w:t>
      </w:r>
      <w:r w:rsidRPr="00AB48E0">
        <w:rPr>
          <w:rFonts w:hint="eastAsia"/>
          <w:i/>
          <w:vertAlign w:val="subscript"/>
        </w:rPr>
        <w:t>t</w:t>
      </w:r>
      <w:r>
        <w:rPr>
          <w:rFonts w:hint="eastAsia"/>
        </w:rPr>
        <w:t>-</w:t>
      </w:r>
      <w:r w:rsidRPr="00AB48E0">
        <w:rPr>
          <w:rFonts w:hint="eastAsia"/>
          <w:i/>
        </w:rPr>
        <w:t>P</w:t>
      </w:r>
      <w:r w:rsidRPr="00AB48E0">
        <w:rPr>
          <w:rFonts w:hint="eastAsia"/>
          <w:i/>
          <w:vertAlign w:val="subscript"/>
        </w:rPr>
        <w:t>t</w:t>
      </w:r>
      <w:r w:rsidRPr="00AB48E0">
        <w:rPr>
          <w:rFonts w:hint="eastAsia"/>
        </w:rPr>
        <w:t xml:space="preserve">) </w:t>
      </w:r>
      <w:r>
        <w:rPr>
          <w:rFonts w:hint="eastAsia"/>
        </w:rPr>
        <w:t xml:space="preserve">is also significant in the fundamental and combined models, </w:t>
      </w:r>
      <w:r>
        <w:t xml:space="preserve">albeit with much smaller estimated </w:t>
      </w:r>
      <w:r>
        <w:rPr>
          <w:rFonts w:hint="eastAsia"/>
        </w:rPr>
        <w:t>coeff</w:t>
      </w:r>
      <w:r>
        <w:rPr>
          <w:rFonts w:hint="eastAsia"/>
        </w:rPr>
        <w:t>i</w:t>
      </w:r>
      <w:r>
        <w:rPr>
          <w:rFonts w:hint="eastAsia"/>
        </w:rPr>
        <w:t xml:space="preserve">cients (0.070 and 0.065) </w:t>
      </w:r>
      <w:r>
        <w:t xml:space="preserve">as compared to </w:t>
      </w:r>
      <w:r>
        <w:rPr>
          <w:rFonts w:hint="eastAsia"/>
        </w:rPr>
        <w:t xml:space="preserve">the periods with </w:t>
      </w:r>
      <w:r>
        <w:t>dividend-</w:t>
      </w:r>
      <w:r>
        <w:rPr>
          <w:rFonts w:hint="eastAsia"/>
        </w:rPr>
        <w:t xml:space="preserve">collecting investors (0.401 and 0.419). </w:t>
      </w:r>
      <w:r>
        <w:t>W</w:t>
      </w:r>
      <w:r>
        <w:rPr>
          <w:rFonts w:hint="eastAsia"/>
        </w:rPr>
        <w:t xml:space="preserve">e can </w:t>
      </w:r>
      <w:r>
        <w:t>infer</w:t>
      </w:r>
      <w:r>
        <w:rPr>
          <w:rFonts w:hint="eastAsia"/>
        </w:rPr>
        <w:t xml:space="preserve"> that the trend model is </w:t>
      </w:r>
      <w:r>
        <w:t xml:space="preserve">better </w:t>
      </w:r>
      <w:r>
        <w:rPr>
          <w:rFonts w:hint="eastAsia"/>
        </w:rPr>
        <w:t xml:space="preserve">supported over the fundamental model in periods with </w:t>
      </w:r>
      <w:r>
        <w:t xml:space="preserve">only </w:t>
      </w:r>
      <w:r>
        <w:rPr>
          <w:rFonts w:hint="eastAsia"/>
        </w:rPr>
        <w:t xml:space="preserve">speculating investors for low </w:t>
      </w:r>
      <w:r>
        <w:t>as well as high-liquidity</w:t>
      </w:r>
      <w:r>
        <w:rPr>
          <w:rFonts w:hint="eastAsia"/>
        </w:rPr>
        <w:t xml:space="preserve"> sessions.</w:t>
      </w:r>
    </w:p>
  </w:footnote>
  <w:footnote w:id="51">
    <w:p w14:paraId="4404A4D8" w14:textId="77777777" w:rsidR="00795305" w:rsidRDefault="00795305">
      <w:pPr>
        <w:pStyle w:val="Funotentext"/>
      </w:pPr>
      <w:r>
        <w:rPr>
          <w:rStyle w:val="Funotenzeichen"/>
        </w:rPr>
        <w:footnoteRef/>
      </w:r>
      <w:r>
        <w:t xml:space="preserve"> </w:t>
      </w:r>
      <w:r>
        <w:rPr>
          <w:rFonts w:hint="eastAsia"/>
        </w:rPr>
        <w:t>Duration is the weighted average time of a security</w:t>
      </w:r>
      <w:r>
        <w:t>’</w:t>
      </w:r>
      <w:r>
        <w:rPr>
          <w:rFonts w:hint="eastAsia"/>
        </w:rPr>
        <w:t>s cash flows.</w:t>
      </w:r>
    </w:p>
  </w:footnote>
  <w:footnote w:id="52">
    <w:p w14:paraId="0134D6CD" w14:textId="38B00070" w:rsidR="00795305" w:rsidRPr="00CA4386" w:rsidRDefault="00795305">
      <w:pPr>
        <w:pStyle w:val="Funotentext"/>
      </w:pPr>
      <w:r>
        <w:rPr>
          <w:rStyle w:val="Funotenzeichen"/>
        </w:rPr>
        <w:footnoteRef/>
      </w:r>
      <w:r>
        <w:t xml:space="preserve"> Instructions are for</w:t>
      </w:r>
      <w:r w:rsidRPr="00CA4386">
        <w:t xml:space="preserve"> </w:t>
      </w:r>
      <w:r>
        <w:t>T2L</w:t>
      </w:r>
      <w:r w:rsidRPr="00CA4386">
        <w:t xml:space="preserve">. </w:t>
      </w:r>
      <w:r>
        <w:t xml:space="preserve">Instructions for other treatments and German translations used in </w:t>
      </w:r>
      <w:r w:rsidR="00833CD3">
        <w:t xml:space="preserve">Innsbruck </w:t>
      </w:r>
      <w:proofErr w:type="spellStart"/>
      <w:r w:rsidR="00833CD3">
        <w:t>EconLab</w:t>
      </w:r>
      <w:proofErr w:type="spellEnd"/>
      <w:r>
        <w:t xml:space="preserve"> are available from the authors upon request. </w:t>
      </w:r>
      <w:r w:rsidRPr="00CA4386">
        <w:t>Trading screens are identical across treatments</w:t>
      </w:r>
      <w:r>
        <w:t xml:space="preserve"> (except parameter values).</w:t>
      </w:r>
    </w:p>
  </w:footnote>
  <w:footnote w:id="53">
    <w:p w14:paraId="55B96E95" w14:textId="77777777" w:rsidR="00E97BCB" w:rsidRPr="000242FB" w:rsidRDefault="00E97BCB" w:rsidP="00E97BCB">
      <w:pPr>
        <w:pStyle w:val="Funotentext"/>
      </w:pPr>
      <w:r>
        <w:rPr>
          <w:rStyle w:val="Funotenzeichen"/>
        </w:rPr>
        <w:footnoteRef/>
      </w:r>
      <w:r>
        <w:t xml:space="preserve"> </w:t>
      </w:r>
      <w:r w:rsidRPr="000242FB">
        <w:t>Note that the values presented in the figure are end-of-period</w:t>
      </w:r>
      <w:r>
        <w:t xml:space="preserve"> values, which explains the consi</w:t>
      </w:r>
      <w:r w:rsidRPr="000242FB">
        <w:t xml:space="preserve">stent deviation </w:t>
      </w:r>
      <w:r>
        <w:t>from</w:t>
      </w:r>
      <w:r w:rsidRPr="000242FB">
        <w:t xml:space="preserve"> one when new generations enter.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964"/>
    <w:multiLevelType w:val="hybridMultilevel"/>
    <w:tmpl w:val="B02886B6"/>
    <w:lvl w:ilvl="0" w:tplc="541E63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205871"/>
    <w:multiLevelType w:val="hybridMultilevel"/>
    <w:tmpl w:val="64322CF6"/>
    <w:lvl w:ilvl="0" w:tplc="AEA69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FB148F"/>
    <w:multiLevelType w:val="hybridMultilevel"/>
    <w:tmpl w:val="DC2E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14260"/>
    <w:multiLevelType w:val="hybridMultilevel"/>
    <w:tmpl w:val="6A0CC8E6"/>
    <w:lvl w:ilvl="0" w:tplc="31A4B4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DC0AA3"/>
    <w:multiLevelType w:val="hybridMultilevel"/>
    <w:tmpl w:val="52D2D024"/>
    <w:lvl w:ilvl="0" w:tplc="08446FB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A2230B5"/>
    <w:multiLevelType w:val="multilevel"/>
    <w:tmpl w:val="0FD845EA"/>
    <w:lvl w:ilvl="0">
      <w:start w:val="1"/>
      <w:numFmt w:val="decimal"/>
      <w:lvlText w:val="%1."/>
      <w:lvlJc w:val="left"/>
      <w:pPr>
        <w:ind w:left="1429" w:hanging="360"/>
      </w:pPr>
      <w:rPr>
        <w:rFonts w:ascii="Times New Roman" w:eastAsia="MS Mincho" w:hAnsi="Times New Roman" w:cs="Times New Roman"/>
      </w:rPr>
    </w:lvl>
    <w:lvl w:ilvl="1">
      <w:start w:val="1"/>
      <w:numFmt w:val="decimal"/>
      <w:isLgl/>
      <w:lvlText w:val="%1.%2."/>
      <w:lvlJc w:val="left"/>
      <w:pPr>
        <w:ind w:left="135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1D020DCE"/>
    <w:multiLevelType w:val="hybridMultilevel"/>
    <w:tmpl w:val="6A0CC8E6"/>
    <w:lvl w:ilvl="0" w:tplc="31A4B4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9B012B"/>
    <w:multiLevelType w:val="hybridMultilevel"/>
    <w:tmpl w:val="F5A07ADC"/>
    <w:lvl w:ilvl="0" w:tplc="D6029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244748"/>
    <w:multiLevelType w:val="hybridMultilevel"/>
    <w:tmpl w:val="F9CA6488"/>
    <w:lvl w:ilvl="0" w:tplc="67E4EFF4">
      <w:start w:val="1"/>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9F25CA"/>
    <w:multiLevelType w:val="hybridMultilevel"/>
    <w:tmpl w:val="2ECCAC8A"/>
    <w:lvl w:ilvl="0" w:tplc="228E21F8">
      <w:start w:val="1"/>
      <w:numFmt w:val="upperRoman"/>
      <w:lvlText w:val="%1."/>
      <w:lvlJc w:val="left"/>
      <w:pPr>
        <w:tabs>
          <w:tab w:val="num" w:pos="720"/>
        </w:tabs>
        <w:ind w:left="720" w:hanging="720"/>
      </w:pPr>
      <w:rPr>
        <w:rFonts w:hint="eastAsia"/>
      </w:rPr>
    </w:lvl>
    <w:lvl w:ilvl="1" w:tplc="9814E254" w:tentative="1">
      <w:start w:val="1"/>
      <w:numFmt w:val="aiueoFullWidth"/>
      <w:lvlText w:val="(%2)"/>
      <w:lvlJc w:val="left"/>
      <w:pPr>
        <w:tabs>
          <w:tab w:val="num" w:pos="840"/>
        </w:tabs>
        <w:ind w:left="840" w:hanging="420"/>
      </w:pPr>
    </w:lvl>
    <w:lvl w:ilvl="2" w:tplc="6F2A40EE" w:tentative="1">
      <w:start w:val="1"/>
      <w:numFmt w:val="decimalEnclosedCircle"/>
      <w:lvlText w:val="%3"/>
      <w:lvlJc w:val="left"/>
      <w:pPr>
        <w:tabs>
          <w:tab w:val="num" w:pos="1260"/>
        </w:tabs>
        <w:ind w:left="1260" w:hanging="420"/>
      </w:pPr>
    </w:lvl>
    <w:lvl w:ilvl="3" w:tplc="4E8A80F0" w:tentative="1">
      <w:start w:val="1"/>
      <w:numFmt w:val="decimal"/>
      <w:lvlText w:val="%4."/>
      <w:lvlJc w:val="left"/>
      <w:pPr>
        <w:tabs>
          <w:tab w:val="num" w:pos="1680"/>
        </w:tabs>
        <w:ind w:left="1680" w:hanging="420"/>
      </w:pPr>
    </w:lvl>
    <w:lvl w:ilvl="4" w:tplc="E04A1CD4" w:tentative="1">
      <w:start w:val="1"/>
      <w:numFmt w:val="aiueoFullWidth"/>
      <w:lvlText w:val="(%5)"/>
      <w:lvlJc w:val="left"/>
      <w:pPr>
        <w:tabs>
          <w:tab w:val="num" w:pos="2100"/>
        </w:tabs>
        <w:ind w:left="2100" w:hanging="420"/>
      </w:pPr>
    </w:lvl>
    <w:lvl w:ilvl="5" w:tplc="5ADAE7B4" w:tentative="1">
      <w:start w:val="1"/>
      <w:numFmt w:val="decimalEnclosedCircle"/>
      <w:lvlText w:val="%6"/>
      <w:lvlJc w:val="left"/>
      <w:pPr>
        <w:tabs>
          <w:tab w:val="num" w:pos="2520"/>
        </w:tabs>
        <w:ind w:left="2520" w:hanging="420"/>
      </w:pPr>
    </w:lvl>
    <w:lvl w:ilvl="6" w:tplc="9AD695B0" w:tentative="1">
      <w:start w:val="1"/>
      <w:numFmt w:val="decimal"/>
      <w:lvlText w:val="%7."/>
      <w:lvlJc w:val="left"/>
      <w:pPr>
        <w:tabs>
          <w:tab w:val="num" w:pos="2940"/>
        </w:tabs>
        <w:ind w:left="2940" w:hanging="420"/>
      </w:pPr>
    </w:lvl>
    <w:lvl w:ilvl="7" w:tplc="0EF40990" w:tentative="1">
      <w:start w:val="1"/>
      <w:numFmt w:val="aiueoFullWidth"/>
      <w:lvlText w:val="(%8)"/>
      <w:lvlJc w:val="left"/>
      <w:pPr>
        <w:tabs>
          <w:tab w:val="num" w:pos="3360"/>
        </w:tabs>
        <w:ind w:left="3360" w:hanging="420"/>
      </w:pPr>
    </w:lvl>
    <w:lvl w:ilvl="8" w:tplc="2A986316" w:tentative="1">
      <w:start w:val="1"/>
      <w:numFmt w:val="decimalEnclosedCircle"/>
      <w:lvlText w:val="%9"/>
      <w:lvlJc w:val="left"/>
      <w:pPr>
        <w:tabs>
          <w:tab w:val="num" w:pos="3780"/>
        </w:tabs>
        <w:ind w:left="3780" w:hanging="420"/>
      </w:pPr>
    </w:lvl>
  </w:abstractNum>
  <w:abstractNum w:abstractNumId="10">
    <w:nsid w:val="2F271D3D"/>
    <w:multiLevelType w:val="hybridMultilevel"/>
    <w:tmpl w:val="FC8C3FD6"/>
    <w:lvl w:ilvl="0" w:tplc="A016FC7A">
      <w:start w:val="1"/>
      <w:numFmt w:val="decimal"/>
      <w:lvlText w:val="%1."/>
      <w:lvlJc w:val="left"/>
      <w:pPr>
        <w:tabs>
          <w:tab w:val="num" w:pos="1080"/>
        </w:tabs>
        <w:ind w:left="1080" w:hanging="360"/>
      </w:pPr>
      <w:rPr>
        <w:rFonts w:hint="eastAsia"/>
      </w:rPr>
    </w:lvl>
    <w:lvl w:ilvl="1" w:tplc="6C661100" w:tentative="1">
      <w:start w:val="1"/>
      <w:numFmt w:val="aiueoFullWidth"/>
      <w:lvlText w:val="(%2)"/>
      <w:lvlJc w:val="left"/>
      <w:pPr>
        <w:tabs>
          <w:tab w:val="num" w:pos="1560"/>
        </w:tabs>
        <w:ind w:left="1560" w:hanging="420"/>
      </w:pPr>
    </w:lvl>
    <w:lvl w:ilvl="2" w:tplc="7DE8C50E" w:tentative="1">
      <w:start w:val="1"/>
      <w:numFmt w:val="decimalEnclosedCircle"/>
      <w:lvlText w:val="%3"/>
      <w:lvlJc w:val="left"/>
      <w:pPr>
        <w:tabs>
          <w:tab w:val="num" w:pos="1980"/>
        </w:tabs>
        <w:ind w:left="1980" w:hanging="420"/>
      </w:pPr>
    </w:lvl>
    <w:lvl w:ilvl="3" w:tplc="5ED20402" w:tentative="1">
      <w:start w:val="1"/>
      <w:numFmt w:val="decimal"/>
      <w:lvlText w:val="%4."/>
      <w:lvlJc w:val="left"/>
      <w:pPr>
        <w:tabs>
          <w:tab w:val="num" w:pos="2400"/>
        </w:tabs>
        <w:ind w:left="2400" w:hanging="420"/>
      </w:pPr>
    </w:lvl>
    <w:lvl w:ilvl="4" w:tplc="31060512" w:tentative="1">
      <w:start w:val="1"/>
      <w:numFmt w:val="aiueoFullWidth"/>
      <w:lvlText w:val="(%5)"/>
      <w:lvlJc w:val="left"/>
      <w:pPr>
        <w:tabs>
          <w:tab w:val="num" w:pos="2820"/>
        </w:tabs>
        <w:ind w:left="2820" w:hanging="420"/>
      </w:pPr>
    </w:lvl>
    <w:lvl w:ilvl="5" w:tplc="ED4E931E" w:tentative="1">
      <w:start w:val="1"/>
      <w:numFmt w:val="decimalEnclosedCircle"/>
      <w:lvlText w:val="%6"/>
      <w:lvlJc w:val="left"/>
      <w:pPr>
        <w:tabs>
          <w:tab w:val="num" w:pos="3240"/>
        </w:tabs>
        <w:ind w:left="3240" w:hanging="420"/>
      </w:pPr>
    </w:lvl>
    <w:lvl w:ilvl="6" w:tplc="7E7A743C" w:tentative="1">
      <w:start w:val="1"/>
      <w:numFmt w:val="decimal"/>
      <w:lvlText w:val="%7."/>
      <w:lvlJc w:val="left"/>
      <w:pPr>
        <w:tabs>
          <w:tab w:val="num" w:pos="3660"/>
        </w:tabs>
        <w:ind w:left="3660" w:hanging="420"/>
      </w:pPr>
    </w:lvl>
    <w:lvl w:ilvl="7" w:tplc="872C3F5A" w:tentative="1">
      <w:start w:val="1"/>
      <w:numFmt w:val="aiueoFullWidth"/>
      <w:lvlText w:val="(%8)"/>
      <w:lvlJc w:val="left"/>
      <w:pPr>
        <w:tabs>
          <w:tab w:val="num" w:pos="4080"/>
        </w:tabs>
        <w:ind w:left="4080" w:hanging="420"/>
      </w:pPr>
    </w:lvl>
    <w:lvl w:ilvl="8" w:tplc="ADEE2636" w:tentative="1">
      <w:start w:val="1"/>
      <w:numFmt w:val="decimalEnclosedCircle"/>
      <w:lvlText w:val="%9"/>
      <w:lvlJc w:val="left"/>
      <w:pPr>
        <w:tabs>
          <w:tab w:val="num" w:pos="4500"/>
        </w:tabs>
        <w:ind w:left="4500" w:hanging="420"/>
      </w:pPr>
    </w:lvl>
  </w:abstractNum>
  <w:abstractNum w:abstractNumId="11">
    <w:nsid w:val="31F13A4C"/>
    <w:multiLevelType w:val="hybridMultilevel"/>
    <w:tmpl w:val="C05C1956"/>
    <w:lvl w:ilvl="0" w:tplc="A76ED5CC">
      <w:numFmt w:val="bullet"/>
      <w:lvlText w:val=""/>
      <w:lvlJc w:val="left"/>
      <w:pPr>
        <w:tabs>
          <w:tab w:val="num" w:pos="360"/>
        </w:tabs>
        <w:ind w:left="360" w:hanging="360"/>
      </w:pPr>
      <w:rPr>
        <w:rFonts w:ascii="Wingdings" w:eastAsia="MS Mincho" w:hAnsi="Wingdings" w:cs="Times New Roman" w:hint="default"/>
      </w:rPr>
    </w:lvl>
    <w:lvl w:ilvl="1" w:tplc="6F38576A" w:tentative="1">
      <w:start w:val="1"/>
      <w:numFmt w:val="bullet"/>
      <w:lvlText w:val=""/>
      <w:lvlJc w:val="left"/>
      <w:pPr>
        <w:tabs>
          <w:tab w:val="num" w:pos="840"/>
        </w:tabs>
        <w:ind w:left="840" w:hanging="420"/>
      </w:pPr>
      <w:rPr>
        <w:rFonts w:ascii="Wingdings" w:hAnsi="Wingdings" w:hint="default"/>
      </w:rPr>
    </w:lvl>
    <w:lvl w:ilvl="2" w:tplc="E0804734" w:tentative="1">
      <w:start w:val="1"/>
      <w:numFmt w:val="bullet"/>
      <w:lvlText w:val=""/>
      <w:lvlJc w:val="left"/>
      <w:pPr>
        <w:tabs>
          <w:tab w:val="num" w:pos="1260"/>
        </w:tabs>
        <w:ind w:left="1260" w:hanging="420"/>
      </w:pPr>
      <w:rPr>
        <w:rFonts w:ascii="Wingdings" w:hAnsi="Wingdings" w:hint="default"/>
      </w:rPr>
    </w:lvl>
    <w:lvl w:ilvl="3" w:tplc="2A6A6FBC" w:tentative="1">
      <w:start w:val="1"/>
      <w:numFmt w:val="bullet"/>
      <w:lvlText w:val=""/>
      <w:lvlJc w:val="left"/>
      <w:pPr>
        <w:tabs>
          <w:tab w:val="num" w:pos="1680"/>
        </w:tabs>
        <w:ind w:left="1680" w:hanging="420"/>
      </w:pPr>
      <w:rPr>
        <w:rFonts w:ascii="Wingdings" w:hAnsi="Wingdings" w:hint="default"/>
      </w:rPr>
    </w:lvl>
    <w:lvl w:ilvl="4" w:tplc="DC621FEA" w:tentative="1">
      <w:start w:val="1"/>
      <w:numFmt w:val="bullet"/>
      <w:lvlText w:val=""/>
      <w:lvlJc w:val="left"/>
      <w:pPr>
        <w:tabs>
          <w:tab w:val="num" w:pos="2100"/>
        </w:tabs>
        <w:ind w:left="2100" w:hanging="420"/>
      </w:pPr>
      <w:rPr>
        <w:rFonts w:ascii="Wingdings" w:hAnsi="Wingdings" w:hint="default"/>
      </w:rPr>
    </w:lvl>
    <w:lvl w:ilvl="5" w:tplc="BAF4DB30" w:tentative="1">
      <w:start w:val="1"/>
      <w:numFmt w:val="bullet"/>
      <w:lvlText w:val=""/>
      <w:lvlJc w:val="left"/>
      <w:pPr>
        <w:tabs>
          <w:tab w:val="num" w:pos="2520"/>
        </w:tabs>
        <w:ind w:left="2520" w:hanging="420"/>
      </w:pPr>
      <w:rPr>
        <w:rFonts w:ascii="Wingdings" w:hAnsi="Wingdings" w:hint="default"/>
      </w:rPr>
    </w:lvl>
    <w:lvl w:ilvl="6" w:tplc="7D386470" w:tentative="1">
      <w:start w:val="1"/>
      <w:numFmt w:val="bullet"/>
      <w:lvlText w:val=""/>
      <w:lvlJc w:val="left"/>
      <w:pPr>
        <w:tabs>
          <w:tab w:val="num" w:pos="2940"/>
        </w:tabs>
        <w:ind w:left="2940" w:hanging="420"/>
      </w:pPr>
      <w:rPr>
        <w:rFonts w:ascii="Wingdings" w:hAnsi="Wingdings" w:hint="default"/>
      </w:rPr>
    </w:lvl>
    <w:lvl w:ilvl="7" w:tplc="8C2AC42C" w:tentative="1">
      <w:start w:val="1"/>
      <w:numFmt w:val="bullet"/>
      <w:lvlText w:val=""/>
      <w:lvlJc w:val="left"/>
      <w:pPr>
        <w:tabs>
          <w:tab w:val="num" w:pos="3360"/>
        </w:tabs>
        <w:ind w:left="3360" w:hanging="420"/>
      </w:pPr>
      <w:rPr>
        <w:rFonts w:ascii="Wingdings" w:hAnsi="Wingdings" w:hint="default"/>
      </w:rPr>
    </w:lvl>
    <w:lvl w:ilvl="8" w:tplc="72801A38" w:tentative="1">
      <w:start w:val="1"/>
      <w:numFmt w:val="bullet"/>
      <w:lvlText w:val=""/>
      <w:lvlJc w:val="left"/>
      <w:pPr>
        <w:tabs>
          <w:tab w:val="num" w:pos="3780"/>
        </w:tabs>
        <w:ind w:left="3780" w:hanging="420"/>
      </w:pPr>
      <w:rPr>
        <w:rFonts w:ascii="Wingdings" w:hAnsi="Wingdings" w:hint="default"/>
      </w:rPr>
    </w:lvl>
  </w:abstractNum>
  <w:abstractNum w:abstractNumId="12">
    <w:nsid w:val="33237E95"/>
    <w:multiLevelType w:val="hybridMultilevel"/>
    <w:tmpl w:val="27C288F2"/>
    <w:lvl w:ilvl="0" w:tplc="F752BF6E">
      <w:start w:val="1"/>
      <w:numFmt w:val="decimal"/>
      <w:lvlText w:val="%1."/>
      <w:lvlJc w:val="left"/>
      <w:pPr>
        <w:tabs>
          <w:tab w:val="num" w:pos="360"/>
        </w:tabs>
        <w:ind w:left="360" w:hanging="360"/>
      </w:pPr>
      <w:rPr>
        <w:rFonts w:hint="eastAsia"/>
      </w:rPr>
    </w:lvl>
    <w:lvl w:ilvl="1" w:tplc="7B46B354" w:tentative="1">
      <w:start w:val="1"/>
      <w:numFmt w:val="aiueoFullWidth"/>
      <w:lvlText w:val="(%2)"/>
      <w:lvlJc w:val="left"/>
      <w:pPr>
        <w:tabs>
          <w:tab w:val="num" w:pos="840"/>
        </w:tabs>
        <w:ind w:left="840" w:hanging="420"/>
      </w:pPr>
    </w:lvl>
    <w:lvl w:ilvl="2" w:tplc="3B1277A2" w:tentative="1">
      <w:start w:val="1"/>
      <w:numFmt w:val="decimalEnclosedCircle"/>
      <w:lvlText w:val="%3"/>
      <w:lvlJc w:val="left"/>
      <w:pPr>
        <w:tabs>
          <w:tab w:val="num" w:pos="1260"/>
        </w:tabs>
        <w:ind w:left="1260" w:hanging="420"/>
      </w:pPr>
    </w:lvl>
    <w:lvl w:ilvl="3" w:tplc="F27E72A6" w:tentative="1">
      <w:start w:val="1"/>
      <w:numFmt w:val="decimal"/>
      <w:lvlText w:val="%4."/>
      <w:lvlJc w:val="left"/>
      <w:pPr>
        <w:tabs>
          <w:tab w:val="num" w:pos="1680"/>
        </w:tabs>
        <w:ind w:left="1680" w:hanging="420"/>
      </w:pPr>
    </w:lvl>
    <w:lvl w:ilvl="4" w:tplc="EF1A4ED8" w:tentative="1">
      <w:start w:val="1"/>
      <w:numFmt w:val="aiueoFullWidth"/>
      <w:lvlText w:val="(%5)"/>
      <w:lvlJc w:val="left"/>
      <w:pPr>
        <w:tabs>
          <w:tab w:val="num" w:pos="2100"/>
        </w:tabs>
        <w:ind w:left="2100" w:hanging="420"/>
      </w:pPr>
    </w:lvl>
    <w:lvl w:ilvl="5" w:tplc="29667404" w:tentative="1">
      <w:start w:val="1"/>
      <w:numFmt w:val="decimalEnclosedCircle"/>
      <w:lvlText w:val="%6"/>
      <w:lvlJc w:val="left"/>
      <w:pPr>
        <w:tabs>
          <w:tab w:val="num" w:pos="2520"/>
        </w:tabs>
        <w:ind w:left="2520" w:hanging="420"/>
      </w:pPr>
    </w:lvl>
    <w:lvl w:ilvl="6" w:tplc="576AEAEA" w:tentative="1">
      <w:start w:val="1"/>
      <w:numFmt w:val="decimal"/>
      <w:lvlText w:val="%7."/>
      <w:lvlJc w:val="left"/>
      <w:pPr>
        <w:tabs>
          <w:tab w:val="num" w:pos="2940"/>
        </w:tabs>
        <w:ind w:left="2940" w:hanging="420"/>
      </w:pPr>
    </w:lvl>
    <w:lvl w:ilvl="7" w:tplc="91B8EB96" w:tentative="1">
      <w:start w:val="1"/>
      <w:numFmt w:val="aiueoFullWidth"/>
      <w:lvlText w:val="(%8)"/>
      <w:lvlJc w:val="left"/>
      <w:pPr>
        <w:tabs>
          <w:tab w:val="num" w:pos="3360"/>
        </w:tabs>
        <w:ind w:left="3360" w:hanging="420"/>
      </w:pPr>
    </w:lvl>
    <w:lvl w:ilvl="8" w:tplc="87BE236C" w:tentative="1">
      <w:start w:val="1"/>
      <w:numFmt w:val="decimalEnclosedCircle"/>
      <w:lvlText w:val="%9"/>
      <w:lvlJc w:val="left"/>
      <w:pPr>
        <w:tabs>
          <w:tab w:val="num" w:pos="3780"/>
        </w:tabs>
        <w:ind w:left="3780" w:hanging="420"/>
      </w:pPr>
    </w:lvl>
  </w:abstractNum>
  <w:abstractNum w:abstractNumId="13">
    <w:nsid w:val="367612C7"/>
    <w:multiLevelType w:val="hybridMultilevel"/>
    <w:tmpl w:val="14CC3A0A"/>
    <w:lvl w:ilvl="0" w:tplc="A70863CC">
      <w:start w:val="1"/>
      <w:numFmt w:val="lowerRoman"/>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nsid w:val="3DDD1874"/>
    <w:multiLevelType w:val="hybridMultilevel"/>
    <w:tmpl w:val="EB3C1974"/>
    <w:lvl w:ilvl="0" w:tplc="E36EAC0C">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30149C4"/>
    <w:multiLevelType w:val="hybridMultilevel"/>
    <w:tmpl w:val="A4DAD83A"/>
    <w:lvl w:ilvl="0" w:tplc="21F8AE46">
      <w:start w:val="2"/>
      <w:numFmt w:val="decimal"/>
      <w:lvlText w:val="%1."/>
      <w:lvlJc w:val="left"/>
      <w:pPr>
        <w:tabs>
          <w:tab w:val="num" w:pos="720"/>
        </w:tabs>
        <w:ind w:left="720" w:hanging="360"/>
      </w:pPr>
      <w:rPr>
        <w:rFonts w:hint="default"/>
      </w:rPr>
    </w:lvl>
    <w:lvl w:ilvl="1" w:tplc="42CC0A58" w:tentative="1">
      <w:start w:val="1"/>
      <w:numFmt w:val="lowerLetter"/>
      <w:lvlText w:val="%2."/>
      <w:lvlJc w:val="left"/>
      <w:pPr>
        <w:tabs>
          <w:tab w:val="num" w:pos="1440"/>
        </w:tabs>
        <w:ind w:left="1440" w:hanging="360"/>
      </w:pPr>
    </w:lvl>
    <w:lvl w:ilvl="2" w:tplc="1304F03A" w:tentative="1">
      <w:start w:val="1"/>
      <w:numFmt w:val="lowerRoman"/>
      <w:lvlText w:val="%3."/>
      <w:lvlJc w:val="right"/>
      <w:pPr>
        <w:tabs>
          <w:tab w:val="num" w:pos="2160"/>
        </w:tabs>
        <w:ind w:left="2160" w:hanging="180"/>
      </w:pPr>
    </w:lvl>
    <w:lvl w:ilvl="3" w:tplc="7C821FF8" w:tentative="1">
      <w:start w:val="1"/>
      <w:numFmt w:val="decimal"/>
      <w:lvlText w:val="%4."/>
      <w:lvlJc w:val="left"/>
      <w:pPr>
        <w:tabs>
          <w:tab w:val="num" w:pos="2880"/>
        </w:tabs>
        <w:ind w:left="2880" w:hanging="360"/>
      </w:pPr>
    </w:lvl>
    <w:lvl w:ilvl="4" w:tplc="C09E1930" w:tentative="1">
      <w:start w:val="1"/>
      <w:numFmt w:val="lowerLetter"/>
      <w:lvlText w:val="%5."/>
      <w:lvlJc w:val="left"/>
      <w:pPr>
        <w:tabs>
          <w:tab w:val="num" w:pos="3600"/>
        </w:tabs>
        <w:ind w:left="3600" w:hanging="360"/>
      </w:pPr>
    </w:lvl>
    <w:lvl w:ilvl="5" w:tplc="A2483034" w:tentative="1">
      <w:start w:val="1"/>
      <w:numFmt w:val="lowerRoman"/>
      <w:lvlText w:val="%6."/>
      <w:lvlJc w:val="right"/>
      <w:pPr>
        <w:tabs>
          <w:tab w:val="num" w:pos="4320"/>
        </w:tabs>
        <w:ind w:left="4320" w:hanging="180"/>
      </w:pPr>
    </w:lvl>
    <w:lvl w:ilvl="6" w:tplc="AC246C28" w:tentative="1">
      <w:start w:val="1"/>
      <w:numFmt w:val="decimal"/>
      <w:lvlText w:val="%7."/>
      <w:lvlJc w:val="left"/>
      <w:pPr>
        <w:tabs>
          <w:tab w:val="num" w:pos="5040"/>
        </w:tabs>
        <w:ind w:left="5040" w:hanging="360"/>
      </w:pPr>
    </w:lvl>
    <w:lvl w:ilvl="7" w:tplc="D59073A0" w:tentative="1">
      <w:start w:val="1"/>
      <w:numFmt w:val="lowerLetter"/>
      <w:lvlText w:val="%8."/>
      <w:lvlJc w:val="left"/>
      <w:pPr>
        <w:tabs>
          <w:tab w:val="num" w:pos="5760"/>
        </w:tabs>
        <w:ind w:left="5760" w:hanging="360"/>
      </w:pPr>
    </w:lvl>
    <w:lvl w:ilvl="8" w:tplc="2F38F888" w:tentative="1">
      <w:start w:val="1"/>
      <w:numFmt w:val="lowerRoman"/>
      <w:lvlText w:val="%9."/>
      <w:lvlJc w:val="right"/>
      <w:pPr>
        <w:tabs>
          <w:tab w:val="num" w:pos="6480"/>
        </w:tabs>
        <w:ind w:left="6480" w:hanging="180"/>
      </w:pPr>
    </w:lvl>
  </w:abstractNum>
  <w:abstractNum w:abstractNumId="16">
    <w:nsid w:val="450D599E"/>
    <w:multiLevelType w:val="hybridMultilevel"/>
    <w:tmpl w:val="5D864634"/>
    <w:lvl w:ilvl="0" w:tplc="84B6C3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0F53FA"/>
    <w:multiLevelType w:val="singleLevel"/>
    <w:tmpl w:val="BB181988"/>
    <w:lvl w:ilvl="0">
      <w:start w:val="1"/>
      <w:numFmt w:val="decimal"/>
      <w:lvlText w:val="%1."/>
      <w:lvlJc w:val="left"/>
      <w:pPr>
        <w:tabs>
          <w:tab w:val="num" w:pos="315"/>
        </w:tabs>
        <w:ind w:left="315" w:hanging="315"/>
      </w:pPr>
      <w:rPr>
        <w:rFonts w:hint="eastAsia"/>
        <w:i/>
      </w:rPr>
    </w:lvl>
  </w:abstractNum>
  <w:abstractNum w:abstractNumId="18">
    <w:nsid w:val="486748F8"/>
    <w:multiLevelType w:val="hybridMultilevel"/>
    <w:tmpl w:val="9C62C72A"/>
    <w:lvl w:ilvl="0" w:tplc="4C48B5A8">
      <w:start w:val="1"/>
      <w:numFmt w:val="lowerRoman"/>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4DA92184"/>
    <w:multiLevelType w:val="hybridMultilevel"/>
    <w:tmpl w:val="D69A6558"/>
    <w:lvl w:ilvl="0" w:tplc="AC42E784">
      <w:start w:val="5"/>
      <w:numFmt w:val="decimal"/>
      <w:lvlText w:val="%1."/>
      <w:lvlJc w:val="left"/>
      <w:pPr>
        <w:tabs>
          <w:tab w:val="num" w:pos="360"/>
        </w:tabs>
        <w:ind w:left="360" w:hanging="360"/>
      </w:pPr>
      <w:rPr>
        <w:rFonts w:hint="eastAsia"/>
      </w:rPr>
    </w:lvl>
    <w:lvl w:ilvl="1" w:tplc="7A78DF18" w:tentative="1">
      <w:start w:val="1"/>
      <w:numFmt w:val="aiueoFullWidth"/>
      <w:lvlText w:val="(%2)"/>
      <w:lvlJc w:val="left"/>
      <w:pPr>
        <w:tabs>
          <w:tab w:val="num" w:pos="840"/>
        </w:tabs>
        <w:ind w:left="840" w:hanging="420"/>
      </w:pPr>
    </w:lvl>
    <w:lvl w:ilvl="2" w:tplc="39DC37A8" w:tentative="1">
      <w:start w:val="1"/>
      <w:numFmt w:val="decimalEnclosedCircle"/>
      <w:lvlText w:val="%3"/>
      <w:lvlJc w:val="left"/>
      <w:pPr>
        <w:tabs>
          <w:tab w:val="num" w:pos="1260"/>
        </w:tabs>
        <w:ind w:left="1260" w:hanging="420"/>
      </w:pPr>
    </w:lvl>
    <w:lvl w:ilvl="3" w:tplc="84D2F1CE" w:tentative="1">
      <w:start w:val="1"/>
      <w:numFmt w:val="decimal"/>
      <w:lvlText w:val="%4."/>
      <w:lvlJc w:val="left"/>
      <w:pPr>
        <w:tabs>
          <w:tab w:val="num" w:pos="1680"/>
        </w:tabs>
        <w:ind w:left="1680" w:hanging="420"/>
      </w:pPr>
    </w:lvl>
    <w:lvl w:ilvl="4" w:tplc="07662416" w:tentative="1">
      <w:start w:val="1"/>
      <w:numFmt w:val="aiueoFullWidth"/>
      <w:lvlText w:val="(%5)"/>
      <w:lvlJc w:val="left"/>
      <w:pPr>
        <w:tabs>
          <w:tab w:val="num" w:pos="2100"/>
        </w:tabs>
        <w:ind w:left="2100" w:hanging="420"/>
      </w:pPr>
    </w:lvl>
    <w:lvl w:ilvl="5" w:tplc="DB640C44" w:tentative="1">
      <w:start w:val="1"/>
      <w:numFmt w:val="decimalEnclosedCircle"/>
      <w:lvlText w:val="%6"/>
      <w:lvlJc w:val="left"/>
      <w:pPr>
        <w:tabs>
          <w:tab w:val="num" w:pos="2520"/>
        </w:tabs>
        <w:ind w:left="2520" w:hanging="420"/>
      </w:pPr>
    </w:lvl>
    <w:lvl w:ilvl="6" w:tplc="E74E5660" w:tentative="1">
      <w:start w:val="1"/>
      <w:numFmt w:val="decimal"/>
      <w:lvlText w:val="%7."/>
      <w:lvlJc w:val="left"/>
      <w:pPr>
        <w:tabs>
          <w:tab w:val="num" w:pos="2940"/>
        </w:tabs>
        <w:ind w:left="2940" w:hanging="420"/>
      </w:pPr>
    </w:lvl>
    <w:lvl w:ilvl="7" w:tplc="FF0882F2" w:tentative="1">
      <w:start w:val="1"/>
      <w:numFmt w:val="aiueoFullWidth"/>
      <w:lvlText w:val="(%8)"/>
      <w:lvlJc w:val="left"/>
      <w:pPr>
        <w:tabs>
          <w:tab w:val="num" w:pos="3360"/>
        </w:tabs>
        <w:ind w:left="3360" w:hanging="420"/>
      </w:pPr>
    </w:lvl>
    <w:lvl w:ilvl="8" w:tplc="149E752E" w:tentative="1">
      <w:start w:val="1"/>
      <w:numFmt w:val="decimalEnclosedCircle"/>
      <w:lvlText w:val="%9"/>
      <w:lvlJc w:val="left"/>
      <w:pPr>
        <w:tabs>
          <w:tab w:val="num" w:pos="3780"/>
        </w:tabs>
        <w:ind w:left="3780" w:hanging="420"/>
      </w:pPr>
    </w:lvl>
  </w:abstractNum>
  <w:abstractNum w:abstractNumId="20">
    <w:nsid w:val="4EDF7C68"/>
    <w:multiLevelType w:val="hybridMultilevel"/>
    <w:tmpl w:val="3CD4F224"/>
    <w:lvl w:ilvl="0" w:tplc="A3101D76">
      <w:start w:val="1"/>
      <w:numFmt w:val="upperRoman"/>
      <w:lvlText w:val="%1."/>
      <w:lvlJc w:val="left"/>
      <w:pPr>
        <w:tabs>
          <w:tab w:val="num" w:pos="720"/>
        </w:tabs>
        <w:ind w:left="720" w:hanging="720"/>
      </w:pPr>
      <w:rPr>
        <w:rFonts w:hint="eastAsia"/>
      </w:rPr>
    </w:lvl>
    <w:lvl w:ilvl="1" w:tplc="8D40335E" w:tentative="1">
      <w:start w:val="1"/>
      <w:numFmt w:val="aiueoFullWidth"/>
      <w:lvlText w:val="(%2)"/>
      <w:lvlJc w:val="left"/>
      <w:pPr>
        <w:tabs>
          <w:tab w:val="num" w:pos="840"/>
        </w:tabs>
        <w:ind w:left="840" w:hanging="420"/>
      </w:pPr>
    </w:lvl>
    <w:lvl w:ilvl="2" w:tplc="1D466D72" w:tentative="1">
      <w:start w:val="1"/>
      <w:numFmt w:val="decimalEnclosedCircle"/>
      <w:lvlText w:val="%3"/>
      <w:lvlJc w:val="left"/>
      <w:pPr>
        <w:tabs>
          <w:tab w:val="num" w:pos="1260"/>
        </w:tabs>
        <w:ind w:left="1260" w:hanging="420"/>
      </w:pPr>
    </w:lvl>
    <w:lvl w:ilvl="3" w:tplc="1ABE4C2E" w:tentative="1">
      <w:start w:val="1"/>
      <w:numFmt w:val="decimal"/>
      <w:lvlText w:val="%4."/>
      <w:lvlJc w:val="left"/>
      <w:pPr>
        <w:tabs>
          <w:tab w:val="num" w:pos="1680"/>
        </w:tabs>
        <w:ind w:left="1680" w:hanging="420"/>
      </w:pPr>
    </w:lvl>
    <w:lvl w:ilvl="4" w:tplc="178833DC" w:tentative="1">
      <w:start w:val="1"/>
      <w:numFmt w:val="aiueoFullWidth"/>
      <w:lvlText w:val="(%5)"/>
      <w:lvlJc w:val="left"/>
      <w:pPr>
        <w:tabs>
          <w:tab w:val="num" w:pos="2100"/>
        </w:tabs>
        <w:ind w:left="2100" w:hanging="420"/>
      </w:pPr>
    </w:lvl>
    <w:lvl w:ilvl="5" w:tplc="F3FA5D16" w:tentative="1">
      <w:start w:val="1"/>
      <w:numFmt w:val="decimalEnclosedCircle"/>
      <w:lvlText w:val="%6"/>
      <w:lvlJc w:val="left"/>
      <w:pPr>
        <w:tabs>
          <w:tab w:val="num" w:pos="2520"/>
        </w:tabs>
        <w:ind w:left="2520" w:hanging="420"/>
      </w:pPr>
    </w:lvl>
    <w:lvl w:ilvl="6" w:tplc="6BD67D66" w:tentative="1">
      <w:start w:val="1"/>
      <w:numFmt w:val="decimal"/>
      <w:lvlText w:val="%7."/>
      <w:lvlJc w:val="left"/>
      <w:pPr>
        <w:tabs>
          <w:tab w:val="num" w:pos="2940"/>
        </w:tabs>
        <w:ind w:left="2940" w:hanging="420"/>
      </w:pPr>
    </w:lvl>
    <w:lvl w:ilvl="7" w:tplc="365AAB10" w:tentative="1">
      <w:start w:val="1"/>
      <w:numFmt w:val="aiueoFullWidth"/>
      <w:lvlText w:val="(%8)"/>
      <w:lvlJc w:val="left"/>
      <w:pPr>
        <w:tabs>
          <w:tab w:val="num" w:pos="3360"/>
        </w:tabs>
        <w:ind w:left="3360" w:hanging="420"/>
      </w:pPr>
    </w:lvl>
    <w:lvl w:ilvl="8" w:tplc="FBBE47F6" w:tentative="1">
      <w:start w:val="1"/>
      <w:numFmt w:val="decimalEnclosedCircle"/>
      <w:lvlText w:val="%9"/>
      <w:lvlJc w:val="left"/>
      <w:pPr>
        <w:tabs>
          <w:tab w:val="num" w:pos="3780"/>
        </w:tabs>
        <w:ind w:left="3780" w:hanging="420"/>
      </w:pPr>
    </w:lvl>
  </w:abstractNum>
  <w:abstractNum w:abstractNumId="21">
    <w:nsid w:val="56F0706B"/>
    <w:multiLevelType w:val="hybridMultilevel"/>
    <w:tmpl w:val="633A4112"/>
    <w:lvl w:ilvl="0" w:tplc="A9AA8F5C">
      <w:start w:val="4"/>
      <w:numFmt w:val="upperRoman"/>
      <w:pStyle w:val="berschrift4"/>
      <w:lvlText w:val="%1."/>
      <w:lvlJc w:val="left"/>
      <w:pPr>
        <w:tabs>
          <w:tab w:val="num" w:pos="720"/>
        </w:tabs>
        <w:ind w:left="720" w:hanging="720"/>
      </w:pPr>
      <w:rPr>
        <w:rFonts w:hint="eastAsia"/>
      </w:rPr>
    </w:lvl>
    <w:lvl w:ilvl="1" w:tplc="1E748936" w:tentative="1">
      <w:start w:val="1"/>
      <w:numFmt w:val="aiueoFullWidth"/>
      <w:lvlText w:val="(%2)"/>
      <w:lvlJc w:val="left"/>
      <w:pPr>
        <w:tabs>
          <w:tab w:val="num" w:pos="840"/>
        </w:tabs>
        <w:ind w:left="840" w:hanging="420"/>
      </w:pPr>
    </w:lvl>
    <w:lvl w:ilvl="2" w:tplc="79DA1912" w:tentative="1">
      <w:start w:val="1"/>
      <w:numFmt w:val="decimalEnclosedCircle"/>
      <w:lvlText w:val="%3"/>
      <w:lvlJc w:val="left"/>
      <w:pPr>
        <w:tabs>
          <w:tab w:val="num" w:pos="1260"/>
        </w:tabs>
        <w:ind w:left="1260" w:hanging="420"/>
      </w:pPr>
    </w:lvl>
    <w:lvl w:ilvl="3" w:tplc="108E85B6" w:tentative="1">
      <w:start w:val="1"/>
      <w:numFmt w:val="decimal"/>
      <w:lvlText w:val="%4."/>
      <w:lvlJc w:val="left"/>
      <w:pPr>
        <w:tabs>
          <w:tab w:val="num" w:pos="1680"/>
        </w:tabs>
        <w:ind w:left="1680" w:hanging="420"/>
      </w:pPr>
    </w:lvl>
    <w:lvl w:ilvl="4" w:tplc="3DD43E5E" w:tentative="1">
      <w:start w:val="1"/>
      <w:numFmt w:val="aiueoFullWidth"/>
      <w:lvlText w:val="(%5)"/>
      <w:lvlJc w:val="left"/>
      <w:pPr>
        <w:tabs>
          <w:tab w:val="num" w:pos="2100"/>
        </w:tabs>
        <w:ind w:left="2100" w:hanging="420"/>
      </w:pPr>
    </w:lvl>
    <w:lvl w:ilvl="5" w:tplc="20F249D4" w:tentative="1">
      <w:start w:val="1"/>
      <w:numFmt w:val="decimalEnclosedCircle"/>
      <w:lvlText w:val="%6"/>
      <w:lvlJc w:val="left"/>
      <w:pPr>
        <w:tabs>
          <w:tab w:val="num" w:pos="2520"/>
        </w:tabs>
        <w:ind w:left="2520" w:hanging="420"/>
      </w:pPr>
    </w:lvl>
    <w:lvl w:ilvl="6" w:tplc="C0480960" w:tentative="1">
      <w:start w:val="1"/>
      <w:numFmt w:val="decimal"/>
      <w:lvlText w:val="%7."/>
      <w:lvlJc w:val="left"/>
      <w:pPr>
        <w:tabs>
          <w:tab w:val="num" w:pos="2940"/>
        </w:tabs>
        <w:ind w:left="2940" w:hanging="420"/>
      </w:pPr>
    </w:lvl>
    <w:lvl w:ilvl="7" w:tplc="FA3EA03E" w:tentative="1">
      <w:start w:val="1"/>
      <w:numFmt w:val="aiueoFullWidth"/>
      <w:lvlText w:val="(%8)"/>
      <w:lvlJc w:val="left"/>
      <w:pPr>
        <w:tabs>
          <w:tab w:val="num" w:pos="3360"/>
        </w:tabs>
        <w:ind w:left="3360" w:hanging="420"/>
      </w:pPr>
    </w:lvl>
    <w:lvl w:ilvl="8" w:tplc="EAB4A900" w:tentative="1">
      <w:start w:val="1"/>
      <w:numFmt w:val="decimalEnclosedCircle"/>
      <w:lvlText w:val="%9"/>
      <w:lvlJc w:val="left"/>
      <w:pPr>
        <w:tabs>
          <w:tab w:val="num" w:pos="3780"/>
        </w:tabs>
        <w:ind w:left="3780" w:hanging="420"/>
      </w:pPr>
    </w:lvl>
  </w:abstractNum>
  <w:abstractNum w:abstractNumId="22">
    <w:nsid w:val="57EB25D9"/>
    <w:multiLevelType w:val="hybridMultilevel"/>
    <w:tmpl w:val="5C883726"/>
    <w:lvl w:ilvl="0" w:tplc="9F7622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9567D52"/>
    <w:multiLevelType w:val="hybridMultilevel"/>
    <w:tmpl w:val="1082B1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9677EA3"/>
    <w:multiLevelType w:val="hybridMultilevel"/>
    <w:tmpl w:val="5740C866"/>
    <w:lvl w:ilvl="0" w:tplc="10EC8C42">
      <w:start w:val="1"/>
      <w:numFmt w:val="upperLetter"/>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5">
    <w:nsid w:val="5D5E2BA2"/>
    <w:multiLevelType w:val="multilevel"/>
    <w:tmpl w:val="5A82B1B4"/>
    <w:lvl w:ilvl="0">
      <w:start w:val="1"/>
      <w:numFmt w:val="decimal"/>
      <w:pStyle w:val="NumberedListIte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DDB6B93"/>
    <w:multiLevelType w:val="hybridMultilevel"/>
    <w:tmpl w:val="A7EEF8CC"/>
    <w:lvl w:ilvl="0" w:tplc="3C0CF910">
      <w:start w:val="1"/>
      <w:numFmt w:val="decimal"/>
      <w:lvlText w:val="%1."/>
      <w:lvlJc w:val="left"/>
      <w:pPr>
        <w:ind w:left="1069" w:hanging="360"/>
      </w:pPr>
      <w:rPr>
        <w:rFonts w:ascii="Times New Roman" w:eastAsia="MS Mincho" w:hAnsi="Times New Roman" w:cs="Times New Roman"/>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nsid w:val="60B96D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3E640C0"/>
    <w:multiLevelType w:val="hybridMultilevel"/>
    <w:tmpl w:val="5C883726"/>
    <w:lvl w:ilvl="0" w:tplc="9F7622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55548D0"/>
    <w:multiLevelType w:val="hybridMultilevel"/>
    <w:tmpl w:val="3404D016"/>
    <w:lvl w:ilvl="0" w:tplc="6A70AE7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D2728D"/>
    <w:multiLevelType w:val="multilevel"/>
    <w:tmpl w:val="0FD845EA"/>
    <w:lvl w:ilvl="0">
      <w:start w:val="1"/>
      <w:numFmt w:val="decimal"/>
      <w:lvlText w:val="%1."/>
      <w:lvlJc w:val="left"/>
      <w:pPr>
        <w:ind w:left="1429" w:hanging="360"/>
      </w:pPr>
      <w:rPr>
        <w:rFonts w:ascii="Times New Roman" w:eastAsia="MS Mincho" w:hAnsi="Times New Roman" w:cs="Times New Roman"/>
      </w:rPr>
    </w:lvl>
    <w:lvl w:ilvl="1">
      <w:start w:val="1"/>
      <w:numFmt w:val="decimal"/>
      <w:isLgl/>
      <w:lvlText w:val="%1.%2."/>
      <w:lvlJc w:val="left"/>
      <w:pPr>
        <w:ind w:left="135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nsid w:val="69564450"/>
    <w:multiLevelType w:val="hybridMultilevel"/>
    <w:tmpl w:val="8BDAA588"/>
    <w:lvl w:ilvl="0" w:tplc="669004C2">
      <w:start w:val="2"/>
      <w:numFmt w:val="decimal"/>
      <w:lvlText w:val="%1."/>
      <w:lvlJc w:val="left"/>
      <w:pPr>
        <w:tabs>
          <w:tab w:val="num" w:pos="720"/>
        </w:tabs>
        <w:ind w:left="720" w:hanging="360"/>
      </w:pPr>
      <w:rPr>
        <w:rFonts w:hint="default"/>
      </w:rPr>
    </w:lvl>
    <w:lvl w:ilvl="1" w:tplc="F85445FE" w:tentative="1">
      <w:start w:val="1"/>
      <w:numFmt w:val="lowerLetter"/>
      <w:lvlText w:val="%2."/>
      <w:lvlJc w:val="left"/>
      <w:pPr>
        <w:tabs>
          <w:tab w:val="num" w:pos="1440"/>
        </w:tabs>
        <w:ind w:left="1440" w:hanging="360"/>
      </w:pPr>
    </w:lvl>
    <w:lvl w:ilvl="2" w:tplc="74ECF004" w:tentative="1">
      <w:start w:val="1"/>
      <w:numFmt w:val="lowerRoman"/>
      <w:lvlText w:val="%3."/>
      <w:lvlJc w:val="right"/>
      <w:pPr>
        <w:tabs>
          <w:tab w:val="num" w:pos="2160"/>
        </w:tabs>
        <w:ind w:left="2160" w:hanging="180"/>
      </w:pPr>
    </w:lvl>
    <w:lvl w:ilvl="3" w:tplc="69C89DDA" w:tentative="1">
      <w:start w:val="1"/>
      <w:numFmt w:val="decimal"/>
      <w:lvlText w:val="%4."/>
      <w:lvlJc w:val="left"/>
      <w:pPr>
        <w:tabs>
          <w:tab w:val="num" w:pos="2880"/>
        </w:tabs>
        <w:ind w:left="2880" w:hanging="360"/>
      </w:pPr>
    </w:lvl>
    <w:lvl w:ilvl="4" w:tplc="3DC4DCA6" w:tentative="1">
      <w:start w:val="1"/>
      <w:numFmt w:val="lowerLetter"/>
      <w:lvlText w:val="%5."/>
      <w:lvlJc w:val="left"/>
      <w:pPr>
        <w:tabs>
          <w:tab w:val="num" w:pos="3600"/>
        </w:tabs>
        <w:ind w:left="3600" w:hanging="360"/>
      </w:pPr>
    </w:lvl>
    <w:lvl w:ilvl="5" w:tplc="50C04BE0" w:tentative="1">
      <w:start w:val="1"/>
      <w:numFmt w:val="lowerRoman"/>
      <w:lvlText w:val="%6."/>
      <w:lvlJc w:val="right"/>
      <w:pPr>
        <w:tabs>
          <w:tab w:val="num" w:pos="4320"/>
        </w:tabs>
        <w:ind w:left="4320" w:hanging="180"/>
      </w:pPr>
    </w:lvl>
    <w:lvl w:ilvl="6" w:tplc="67A25304" w:tentative="1">
      <w:start w:val="1"/>
      <w:numFmt w:val="decimal"/>
      <w:lvlText w:val="%7."/>
      <w:lvlJc w:val="left"/>
      <w:pPr>
        <w:tabs>
          <w:tab w:val="num" w:pos="5040"/>
        </w:tabs>
        <w:ind w:left="5040" w:hanging="360"/>
      </w:pPr>
    </w:lvl>
    <w:lvl w:ilvl="7" w:tplc="37E47706" w:tentative="1">
      <w:start w:val="1"/>
      <w:numFmt w:val="lowerLetter"/>
      <w:lvlText w:val="%8."/>
      <w:lvlJc w:val="left"/>
      <w:pPr>
        <w:tabs>
          <w:tab w:val="num" w:pos="5760"/>
        </w:tabs>
        <w:ind w:left="5760" w:hanging="360"/>
      </w:pPr>
    </w:lvl>
    <w:lvl w:ilvl="8" w:tplc="C11AAA20" w:tentative="1">
      <w:start w:val="1"/>
      <w:numFmt w:val="lowerRoman"/>
      <w:lvlText w:val="%9."/>
      <w:lvlJc w:val="right"/>
      <w:pPr>
        <w:tabs>
          <w:tab w:val="num" w:pos="6480"/>
        </w:tabs>
        <w:ind w:left="6480" w:hanging="180"/>
      </w:pPr>
    </w:lvl>
  </w:abstractNum>
  <w:abstractNum w:abstractNumId="32">
    <w:nsid w:val="6D4A76EB"/>
    <w:multiLevelType w:val="hybridMultilevel"/>
    <w:tmpl w:val="5DEA4D8A"/>
    <w:lvl w:ilvl="0" w:tplc="0C7E9FE4">
      <w:start w:val="1"/>
      <w:numFmt w:val="upperLetter"/>
      <w:lvlText w:val="%1."/>
      <w:lvlJc w:val="left"/>
      <w:pPr>
        <w:ind w:left="390" w:hanging="36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3">
    <w:nsid w:val="76B42F18"/>
    <w:multiLevelType w:val="hybridMultilevel"/>
    <w:tmpl w:val="67EC2A20"/>
    <w:lvl w:ilvl="0" w:tplc="C59C885A">
      <w:start w:val="3"/>
      <w:numFmt w:val="bullet"/>
      <w:lvlText w:val=""/>
      <w:lvlJc w:val="left"/>
      <w:pPr>
        <w:tabs>
          <w:tab w:val="num" w:pos="720"/>
        </w:tabs>
        <w:ind w:left="720" w:hanging="360"/>
      </w:pPr>
      <w:rPr>
        <w:rFonts w:ascii="Symbol" w:eastAsia="Times New Roman" w:hAnsi="Symbol" w:cs="Times New Roman" w:hint="default"/>
      </w:rPr>
    </w:lvl>
    <w:lvl w:ilvl="1" w:tplc="6D5278F6" w:tentative="1">
      <w:start w:val="1"/>
      <w:numFmt w:val="bullet"/>
      <w:lvlText w:val="o"/>
      <w:lvlJc w:val="left"/>
      <w:pPr>
        <w:tabs>
          <w:tab w:val="num" w:pos="1440"/>
        </w:tabs>
        <w:ind w:left="1440" w:hanging="360"/>
      </w:pPr>
      <w:rPr>
        <w:rFonts w:ascii="Courier New" w:hAnsi="Courier New" w:hint="default"/>
      </w:rPr>
    </w:lvl>
    <w:lvl w:ilvl="2" w:tplc="DC6C99FE" w:tentative="1">
      <w:start w:val="1"/>
      <w:numFmt w:val="bullet"/>
      <w:lvlText w:val=""/>
      <w:lvlJc w:val="left"/>
      <w:pPr>
        <w:tabs>
          <w:tab w:val="num" w:pos="2160"/>
        </w:tabs>
        <w:ind w:left="2160" w:hanging="360"/>
      </w:pPr>
      <w:rPr>
        <w:rFonts w:ascii="Wingdings" w:hAnsi="Wingdings" w:hint="default"/>
      </w:rPr>
    </w:lvl>
    <w:lvl w:ilvl="3" w:tplc="4FBA1490" w:tentative="1">
      <w:start w:val="1"/>
      <w:numFmt w:val="bullet"/>
      <w:lvlText w:val=""/>
      <w:lvlJc w:val="left"/>
      <w:pPr>
        <w:tabs>
          <w:tab w:val="num" w:pos="2880"/>
        </w:tabs>
        <w:ind w:left="2880" w:hanging="360"/>
      </w:pPr>
      <w:rPr>
        <w:rFonts w:ascii="Symbol" w:hAnsi="Symbol" w:hint="default"/>
      </w:rPr>
    </w:lvl>
    <w:lvl w:ilvl="4" w:tplc="5406CE92" w:tentative="1">
      <w:start w:val="1"/>
      <w:numFmt w:val="bullet"/>
      <w:lvlText w:val="o"/>
      <w:lvlJc w:val="left"/>
      <w:pPr>
        <w:tabs>
          <w:tab w:val="num" w:pos="3600"/>
        </w:tabs>
        <w:ind w:left="3600" w:hanging="360"/>
      </w:pPr>
      <w:rPr>
        <w:rFonts w:ascii="Courier New" w:hAnsi="Courier New" w:hint="default"/>
      </w:rPr>
    </w:lvl>
    <w:lvl w:ilvl="5" w:tplc="364456EE" w:tentative="1">
      <w:start w:val="1"/>
      <w:numFmt w:val="bullet"/>
      <w:lvlText w:val=""/>
      <w:lvlJc w:val="left"/>
      <w:pPr>
        <w:tabs>
          <w:tab w:val="num" w:pos="4320"/>
        </w:tabs>
        <w:ind w:left="4320" w:hanging="360"/>
      </w:pPr>
      <w:rPr>
        <w:rFonts w:ascii="Wingdings" w:hAnsi="Wingdings" w:hint="default"/>
      </w:rPr>
    </w:lvl>
    <w:lvl w:ilvl="6" w:tplc="7A8E3004" w:tentative="1">
      <w:start w:val="1"/>
      <w:numFmt w:val="bullet"/>
      <w:lvlText w:val=""/>
      <w:lvlJc w:val="left"/>
      <w:pPr>
        <w:tabs>
          <w:tab w:val="num" w:pos="5040"/>
        </w:tabs>
        <w:ind w:left="5040" w:hanging="360"/>
      </w:pPr>
      <w:rPr>
        <w:rFonts w:ascii="Symbol" w:hAnsi="Symbol" w:hint="default"/>
      </w:rPr>
    </w:lvl>
    <w:lvl w:ilvl="7" w:tplc="5A7CABEC" w:tentative="1">
      <w:start w:val="1"/>
      <w:numFmt w:val="bullet"/>
      <w:lvlText w:val="o"/>
      <w:lvlJc w:val="left"/>
      <w:pPr>
        <w:tabs>
          <w:tab w:val="num" w:pos="5760"/>
        </w:tabs>
        <w:ind w:left="5760" w:hanging="360"/>
      </w:pPr>
      <w:rPr>
        <w:rFonts w:ascii="Courier New" w:hAnsi="Courier New" w:hint="default"/>
      </w:rPr>
    </w:lvl>
    <w:lvl w:ilvl="8" w:tplc="16EE146E" w:tentative="1">
      <w:start w:val="1"/>
      <w:numFmt w:val="bullet"/>
      <w:lvlText w:val=""/>
      <w:lvlJc w:val="left"/>
      <w:pPr>
        <w:tabs>
          <w:tab w:val="num" w:pos="6480"/>
        </w:tabs>
        <w:ind w:left="6480" w:hanging="360"/>
      </w:pPr>
      <w:rPr>
        <w:rFonts w:ascii="Wingdings" w:hAnsi="Wingdings" w:hint="default"/>
      </w:rPr>
    </w:lvl>
  </w:abstractNum>
  <w:abstractNum w:abstractNumId="34">
    <w:nsid w:val="798A790B"/>
    <w:multiLevelType w:val="hybridMultilevel"/>
    <w:tmpl w:val="BACE10CE"/>
    <w:lvl w:ilvl="0" w:tplc="0D4208C6">
      <w:start w:val="1"/>
      <w:numFmt w:val="decimal"/>
      <w:lvlText w:val="%1."/>
      <w:lvlJc w:val="left"/>
      <w:pPr>
        <w:tabs>
          <w:tab w:val="num" w:pos="360"/>
        </w:tabs>
        <w:ind w:left="360" w:hanging="360"/>
      </w:pPr>
      <w:rPr>
        <w:rFonts w:hint="eastAsia"/>
      </w:rPr>
    </w:lvl>
    <w:lvl w:ilvl="1" w:tplc="E3CA5D50" w:tentative="1">
      <w:start w:val="1"/>
      <w:numFmt w:val="aiueoFullWidth"/>
      <w:lvlText w:val="(%2)"/>
      <w:lvlJc w:val="left"/>
      <w:pPr>
        <w:tabs>
          <w:tab w:val="num" w:pos="840"/>
        </w:tabs>
        <w:ind w:left="840" w:hanging="420"/>
      </w:pPr>
    </w:lvl>
    <w:lvl w:ilvl="2" w:tplc="3D9CF9BC" w:tentative="1">
      <w:start w:val="1"/>
      <w:numFmt w:val="decimalEnclosedCircle"/>
      <w:lvlText w:val="%3"/>
      <w:lvlJc w:val="left"/>
      <w:pPr>
        <w:tabs>
          <w:tab w:val="num" w:pos="1260"/>
        </w:tabs>
        <w:ind w:left="1260" w:hanging="420"/>
      </w:pPr>
    </w:lvl>
    <w:lvl w:ilvl="3" w:tplc="55AE8944" w:tentative="1">
      <w:start w:val="1"/>
      <w:numFmt w:val="decimal"/>
      <w:lvlText w:val="%4."/>
      <w:lvlJc w:val="left"/>
      <w:pPr>
        <w:tabs>
          <w:tab w:val="num" w:pos="1680"/>
        </w:tabs>
        <w:ind w:left="1680" w:hanging="420"/>
      </w:pPr>
    </w:lvl>
    <w:lvl w:ilvl="4" w:tplc="8AD6B4DE" w:tentative="1">
      <w:start w:val="1"/>
      <w:numFmt w:val="aiueoFullWidth"/>
      <w:lvlText w:val="(%5)"/>
      <w:lvlJc w:val="left"/>
      <w:pPr>
        <w:tabs>
          <w:tab w:val="num" w:pos="2100"/>
        </w:tabs>
        <w:ind w:left="2100" w:hanging="420"/>
      </w:pPr>
    </w:lvl>
    <w:lvl w:ilvl="5" w:tplc="1B98F386" w:tentative="1">
      <w:start w:val="1"/>
      <w:numFmt w:val="decimalEnclosedCircle"/>
      <w:lvlText w:val="%6"/>
      <w:lvlJc w:val="left"/>
      <w:pPr>
        <w:tabs>
          <w:tab w:val="num" w:pos="2520"/>
        </w:tabs>
        <w:ind w:left="2520" w:hanging="420"/>
      </w:pPr>
    </w:lvl>
    <w:lvl w:ilvl="6" w:tplc="F5D8E772" w:tentative="1">
      <w:start w:val="1"/>
      <w:numFmt w:val="decimal"/>
      <w:lvlText w:val="%7."/>
      <w:lvlJc w:val="left"/>
      <w:pPr>
        <w:tabs>
          <w:tab w:val="num" w:pos="2940"/>
        </w:tabs>
        <w:ind w:left="2940" w:hanging="420"/>
      </w:pPr>
    </w:lvl>
    <w:lvl w:ilvl="7" w:tplc="B11AAF78" w:tentative="1">
      <w:start w:val="1"/>
      <w:numFmt w:val="aiueoFullWidth"/>
      <w:lvlText w:val="(%8)"/>
      <w:lvlJc w:val="left"/>
      <w:pPr>
        <w:tabs>
          <w:tab w:val="num" w:pos="3360"/>
        </w:tabs>
        <w:ind w:left="3360" w:hanging="420"/>
      </w:pPr>
    </w:lvl>
    <w:lvl w:ilvl="8" w:tplc="32069834" w:tentative="1">
      <w:start w:val="1"/>
      <w:numFmt w:val="decimalEnclosedCircle"/>
      <w:lvlText w:val="%9"/>
      <w:lvlJc w:val="left"/>
      <w:pPr>
        <w:tabs>
          <w:tab w:val="num" w:pos="3780"/>
        </w:tabs>
        <w:ind w:left="3780" w:hanging="420"/>
      </w:pPr>
    </w:lvl>
  </w:abstractNum>
  <w:abstractNum w:abstractNumId="35">
    <w:nsid w:val="7A5B50AA"/>
    <w:multiLevelType w:val="hybridMultilevel"/>
    <w:tmpl w:val="C29A1236"/>
    <w:lvl w:ilvl="0" w:tplc="C6E26C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AC2499F"/>
    <w:multiLevelType w:val="hybridMultilevel"/>
    <w:tmpl w:val="5126A63C"/>
    <w:lvl w:ilvl="0" w:tplc="FC3AC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165C24"/>
    <w:multiLevelType w:val="hybridMultilevel"/>
    <w:tmpl w:val="B3C89538"/>
    <w:lvl w:ilvl="0" w:tplc="0450E386">
      <w:start w:val="1"/>
      <w:numFmt w:val="lowerRoman"/>
      <w:lvlText w:val="(%1)"/>
      <w:lvlJc w:val="left"/>
      <w:pPr>
        <w:ind w:left="720" w:hanging="72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5"/>
  </w:num>
  <w:num w:numId="3">
    <w:abstractNumId w:val="31"/>
  </w:num>
  <w:num w:numId="4">
    <w:abstractNumId w:val="33"/>
  </w:num>
  <w:num w:numId="5">
    <w:abstractNumId w:val="21"/>
  </w:num>
  <w:num w:numId="6">
    <w:abstractNumId w:val="9"/>
  </w:num>
  <w:num w:numId="7">
    <w:abstractNumId w:val="25"/>
  </w:num>
  <w:num w:numId="8">
    <w:abstractNumId w:val="27"/>
  </w:num>
  <w:num w:numId="9">
    <w:abstractNumId w:val="34"/>
  </w:num>
  <w:num w:numId="10">
    <w:abstractNumId w:val="11"/>
  </w:num>
  <w:num w:numId="11">
    <w:abstractNumId w:val="19"/>
  </w:num>
  <w:num w:numId="12">
    <w:abstractNumId w:val="10"/>
  </w:num>
  <w:num w:numId="13">
    <w:abstractNumId w:val="12"/>
  </w:num>
  <w:num w:numId="14">
    <w:abstractNumId w:val="17"/>
  </w:num>
  <w:num w:numId="15">
    <w:abstractNumId w:val="8"/>
  </w:num>
  <w:num w:numId="16">
    <w:abstractNumId w:val="14"/>
  </w:num>
  <w:num w:numId="17">
    <w:abstractNumId w:val="35"/>
  </w:num>
  <w:num w:numId="18">
    <w:abstractNumId w:val="23"/>
  </w:num>
  <w:num w:numId="19">
    <w:abstractNumId w:val="6"/>
  </w:num>
  <w:num w:numId="20">
    <w:abstractNumId w:val="3"/>
  </w:num>
  <w:num w:numId="21">
    <w:abstractNumId w:val="4"/>
  </w:num>
  <w:num w:numId="22">
    <w:abstractNumId w:val="26"/>
  </w:num>
  <w:num w:numId="23">
    <w:abstractNumId w:val="16"/>
  </w:num>
  <w:num w:numId="24">
    <w:abstractNumId w:val="30"/>
  </w:num>
  <w:num w:numId="25">
    <w:abstractNumId w:val="0"/>
  </w:num>
  <w:num w:numId="26">
    <w:abstractNumId w:val="1"/>
  </w:num>
  <w:num w:numId="27">
    <w:abstractNumId w:val="5"/>
  </w:num>
  <w:num w:numId="28">
    <w:abstractNumId w:val="2"/>
  </w:num>
  <w:num w:numId="29">
    <w:abstractNumId w:val="36"/>
  </w:num>
  <w:num w:numId="30">
    <w:abstractNumId w:val="22"/>
  </w:num>
  <w:num w:numId="31">
    <w:abstractNumId w:val="7"/>
  </w:num>
  <w:num w:numId="32">
    <w:abstractNumId w:val="37"/>
  </w:num>
  <w:num w:numId="33">
    <w:abstractNumId w:val="13"/>
  </w:num>
  <w:num w:numId="34">
    <w:abstractNumId w:val="29"/>
  </w:num>
  <w:num w:numId="35">
    <w:abstractNumId w:val="18"/>
  </w:num>
  <w:num w:numId="36">
    <w:abstractNumId w:val="24"/>
  </w:num>
  <w:num w:numId="37">
    <w:abstractNumId w:val="32"/>
  </w:num>
  <w:num w:numId="38">
    <w:abstractNumId w:val="25"/>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rota">
    <w15:presenceInfo w15:providerId="None" w15:userId="Hirota"/>
  </w15:person>
  <w15:person w15:author="Sunder, Shyam">
    <w15:presenceInfo w15:providerId="AD" w15:userId="S-1-5-21-505881439-82067924-1220176271-27266"/>
  </w15:person>
  <w15:person w15:author="Huber, Jürgen">
    <w15:presenceInfo w15:providerId="None" w15:userId="Huber, Jü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00"/>
  <w:drawingGridVerticalSpacing w:val="16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Fmt w:val="chicago"/>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9056B6"/>
    <w:rsid w:val="0000203A"/>
    <w:rsid w:val="00002202"/>
    <w:rsid w:val="000025ED"/>
    <w:rsid w:val="00002FF3"/>
    <w:rsid w:val="000035CF"/>
    <w:rsid w:val="00004105"/>
    <w:rsid w:val="00004508"/>
    <w:rsid w:val="000057B8"/>
    <w:rsid w:val="0000591F"/>
    <w:rsid w:val="0000640D"/>
    <w:rsid w:val="0000648C"/>
    <w:rsid w:val="00006795"/>
    <w:rsid w:val="0000765D"/>
    <w:rsid w:val="000076F9"/>
    <w:rsid w:val="00010A35"/>
    <w:rsid w:val="00011D7A"/>
    <w:rsid w:val="00012060"/>
    <w:rsid w:val="0001247B"/>
    <w:rsid w:val="0001392D"/>
    <w:rsid w:val="00013C35"/>
    <w:rsid w:val="00014F73"/>
    <w:rsid w:val="00016FDD"/>
    <w:rsid w:val="00017162"/>
    <w:rsid w:val="0001724B"/>
    <w:rsid w:val="0002096A"/>
    <w:rsid w:val="00020B93"/>
    <w:rsid w:val="00021197"/>
    <w:rsid w:val="000214AB"/>
    <w:rsid w:val="000219E3"/>
    <w:rsid w:val="00021A14"/>
    <w:rsid w:val="00021C81"/>
    <w:rsid w:val="00021F0D"/>
    <w:rsid w:val="000231E7"/>
    <w:rsid w:val="000242FB"/>
    <w:rsid w:val="000249AC"/>
    <w:rsid w:val="00024E0C"/>
    <w:rsid w:val="00024EF1"/>
    <w:rsid w:val="0002612E"/>
    <w:rsid w:val="00026787"/>
    <w:rsid w:val="0002724C"/>
    <w:rsid w:val="000304A8"/>
    <w:rsid w:val="00030BEB"/>
    <w:rsid w:val="000314ED"/>
    <w:rsid w:val="00032E6B"/>
    <w:rsid w:val="00034918"/>
    <w:rsid w:val="00034CA2"/>
    <w:rsid w:val="00034DF3"/>
    <w:rsid w:val="00035599"/>
    <w:rsid w:val="0003586F"/>
    <w:rsid w:val="00035A21"/>
    <w:rsid w:val="00036982"/>
    <w:rsid w:val="00036F79"/>
    <w:rsid w:val="0004077D"/>
    <w:rsid w:val="0004087D"/>
    <w:rsid w:val="00040970"/>
    <w:rsid w:val="00040E58"/>
    <w:rsid w:val="0004123B"/>
    <w:rsid w:val="0004161B"/>
    <w:rsid w:val="00042233"/>
    <w:rsid w:val="000426CF"/>
    <w:rsid w:val="00042911"/>
    <w:rsid w:val="00043160"/>
    <w:rsid w:val="00043562"/>
    <w:rsid w:val="00043D81"/>
    <w:rsid w:val="00043FCE"/>
    <w:rsid w:val="00044B51"/>
    <w:rsid w:val="000450FF"/>
    <w:rsid w:val="000456F8"/>
    <w:rsid w:val="00046672"/>
    <w:rsid w:val="0005010C"/>
    <w:rsid w:val="0005081D"/>
    <w:rsid w:val="00050A5A"/>
    <w:rsid w:val="00050E15"/>
    <w:rsid w:val="000513F1"/>
    <w:rsid w:val="00052A13"/>
    <w:rsid w:val="00052D2D"/>
    <w:rsid w:val="00053714"/>
    <w:rsid w:val="0005435F"/>
    <w:rsid w:val="00055F86"/>
    <w:rsid w:val="000600C6"/>
    <w:rsid w:val="00060300"/>
    <w:rsid w:val="00060487"/>
    <w:rsid w:val="00060D2C"/>
    <w:rsid w:val="0006111F"/>
    <w:rsid w:val="000616DE"/>
    <w:rsid w:val="00061DBC"/>
    <w:rsid w:val="000632D9"/>
    <w:rsid w:val="00064A34"/>
    <w:rsid w:val="00065E5E"/>
    <w:rsid w:val="0006614B"/>
    <w:rsid w:val="0006649D"/>
    <w:rsid w:val="00066D56"/>
    <w:rsid w:val="000673F2"/>
    <w:rsid w:val="000710B1"/>
    <w:rsid w:val="00071CB4"/>
    <w:rsid w:val="00072524"/>
    <w:rsid w:val="0007295E"/>
    <w:rsid w:val="00072CC7"/>
    <w:rsid w:val="000742E7"/>
    <w:rsid w:val="00074B91"/>
    <w:rsid w:val="00075019"/>
    <w:rsid w:val="00075AD0"/>
    <w:rsid w:val="00076886"/>
    <w:rsid w:val="00077254"/>
    <w:rsid w:val="00077851"/>
    <w:rsid w:val="000800F9"/>
    <w:rsid w:val="000803DB"/>
    <w:rsid w:val="0008337D"/>
    <w:rsid w:val="00083C78"/>
    <w:rsid w:val="0008412C"/>
    <w:rsid w:val="0008631F"/>
    <w:rsid w:val="0008747C"/>
    <w:rsid w:val="00087BD7"/>
    <w:rsid w:val="000901B4"/>
    <w:rsid w:val="00091218"/>
    <w:rsid w:val="00092919"/>
    <w:rsid w:val="0009311F"/>
    <w:rsid w:val="0009359B"/>
    <w:rsid w:val="000939F1"/>
    <w:rsid w:val="00094264"/>
    <w:rsid w:val="0009443A"/>
    <w:rsid w:val="00095985"/>
    <w:rsid w:val="00095A45"/>
    <w:rsid w:val="000969A2"/>
    <w:rsid w:val="000974AC"/>
    <w:rsid w:val="00097908"/>
    <w:rsid w:val="000A0B9E"/>
    <w:rsid w:val="000A120E"/>
    <w:rsid w:val="000A13F1"/>
    <w:rsid w:val="000A221A"/>
    <w:rsid w:val="000A48C3"/>
    <w:rsid w:val="000A4ECB"/>
    <w:rsid w:val="000A506C"/>
    <w:rsid w:val="000A5F3D"/>
    <w:rsid w:val="000A6314"/>
    <w:rsid w:val="000A6A82"/>
    <w:rsid w:val="000A6DAE"/>
    <w:rsid w:val="000A7107"/>
    <w:rsid w:val="000A7590"/>
    <w:rsid w:val="000A7D18"/>
    <w:rsid w:val="000B0242"/>
    <w:rsid w:val="000B23E7"/>
    <w:rsid w:val="000B3222"/>
    <w:rsid w:val="000B358A"/>
    <w:rsid w:val="000B48D9"/>
    <w:rsid w:val="000B51BD"/>
    <w:rsid w:val="000B527A"/>
    <w:rsid w:val="000B5F0B"/>
    <w:rsid w:val="000B6F5B"/>
    <w:rsid w:val="000B7C3E"/>
    <w:rsid w:val="000C0544"/>
    <w:rsid w:val="000C084E"/>
    <w:rsid w:val="000C1505"/>
    <w:rsid w:val="000C1AC7"/>
    <w:rsid w:val="000C39B7"/>
    <w:rsid w:val="000C3E93"/>
    <w:rsid w:val="000C3F63"/>
    <w:rsid w:val="000C412E"/>
    <w:rsid w:val="000C41F0"/>
    <w:rsid w:val="000C50BA"/>
    <w:rsid w:val="000C50F0"/>
    <w:rsid w:val="000C55BC"/>
    <w:rsid w:val="000C5A7E"/>
    <w:rsid w:val="000C5AD1"/>
    <w:rsid w:val="000C5E06"/>
    <w:rsid w:val="000D06C7"/>
    <w:rsid w:val="000D0895"/>
    <w:rsid w:val="000D11DD"/>
    <w:rsid w:val="000D127A"/>
    <w:rsid w:val="000D1479"/>
    <w:rsid w:val="000D18F5"/>
    <w:rsid w:val="000D2281"/>
    <w:rsid w:val="000D2CF3"/>
    <w:rsid w:val="000D32F5"/>
    <w:rsid w:val="000D4164"/>
    <w:rsid w:val="000D4454"/>
    <w:rsid w:val="000D5A25"/>
    <w:rsid w:val="000D5E60"/>
    <w:rsid w:val="000D6BBC"/>
    <w:rsid w:val="000D6C12"/>
    <w:rsid w:val="000D734E"/>
    <w:rsid w:val="000D749D"/>
    <w:rsid w:val="000D7827"/>
    <w:rsid w:val="000D7C91"/>
    <w:rsid w:val="000E036C"/>
    <w:rsid w:val="000E0A79"/>
    <w:rsid w:val="000E0AC1"/>
    <w:rsid w:val="000E0CD8"/>
    <w:rsid w:val="000E0F08"/>
    <w:rsid w:val="000E19BB"/>
    <w:rsid w:val="000E1A78"/>
    <w:rsid w:val="000E20F0"/>
    <w:rsid w:val="000E2286"/>
    <w:rsid w:val="000E4181"/>
    <w:rsid w:val="000E496B"/>
    <w:rsid w:val="000E5B7A"/>
    <w:rsid w:val="000E5BC5"/>
    <w:rsid w:val="000E6A78"/>
    <w:rsid w:val="000E713F"/>
    <w:rsid w:val="000E764E"/>
    <w:rsid w:val="000E7A65"/>
    <w:rsid w:val="000F2711"/>
    <w:rsid w:val="000F4395"/>
    <w:rsid w:val="000F52DD"/>
    <w:rsid w:val="000F6012"/>
    <w:rsid w:val="000F6CF2"/>
    <w:rsid w:val="000F754B"/>
    <w:rsid w:val="00100249"/>
    <w:rsid w:val="0010062C"/>
    <w:rsid w:val="00100B0D"/>
    <w:rsid w:val="00100C63"/>
    <w:rsid w:val="0010154A"/>
    <w:rsid w:val="00101589"/>
    <w:rsid w:val="00101A06"/>
    <w:rsid w:val="00101FDC"/>
    <w:rsid w:val="001042BE"/>
    <w:rsid w:val="0010473D"/>
    <w:rsid w:val="00104845"/>
    <w:rsid w:val="001048C4"/>
    <w:rsid w:val="0010563F"/>
    <w:rsid w:val="0010620E"/>
    <w:rsid w:val="001062DF"/>
    <w:rsid w:val="0010632F"/>
    <w:rsid w:val="00106BC6"/>
    <w:rsid w:val="00106EA5"/>
    <w:rsid w:val="001109E7"/>
    <w:rsid w:val="00110C65"/>
    <w:rsid w:val="00110F7A"/>
    <w:rsid w:val="001126F5"/>
    <w:rsid w:val="00112F69"/>
    <w:rsid w:val="00113205"/>
    <w:rsid w:val="0011326C"/>
    <w:rsid w:val="00113C88"/>
    <w:rsid w:val="00114713"/>
    <w:rsid w:val="00114C4B"/>
    <w:rsid w:val="001165A1"/>
    <w:rsid w:val="00117A44"/>
    <w:rsid w:val="00120299"/>
    <w:rsid w:val="00121434"/>
    <w:rsid w:val="0012236C"/>
    <w:rsid w:val="00123E66"/>
    <w:rsid w:val="00124172"/>
    <w:rsid w:val="0012439E"/>
    <w:rsid w:val="00125782"/>
    <w:rsid w:val="00125E33"/>
    <w:rsid w:val="00126056"/>
    <w:rsid w:val="0012615E"/>
    <w:rsid w:val="00127F92"/>
    <w:rsid w:val="001301D9"/>
    <w:rsid w:val="001305D8"/>
    <w:rsid w:val="00131507"/>
    <w:rsid w:val="00131824"/>
    <w:rsid w:val="00132004"/>
    <w:rsid w:val="0013529F"/>
    <w:rsid w:val="00135781"/>
    <w:rsid w:val="001372E6"/>
    <w:rsid w:val="00137568"/>
    <w:rsid w:val="0013770E"/>
    <w:rsid w:val="001407A2"/>
    <w:rsid w:val="00140CFE"/>
    <w:rsid w:val="00140E5B"/>
    <w:rsid w:val="001413A9"/>
    <w:rsid w:val="001427DF"/>
    <w:rsid w:val="00143172"/>
    <w:rsid w:val="001439A6"/>
    <w:rsid w:val="001445FF"/>
    <w:rsid w:val="00144BE4"/>
    <w:rsid w:val="00145881"/>
    <w:rsid w:val="0014588F"/>
    <w:rsid w:val="00145C8C"/>
    <w:rsid w:val="00146DA1"/>
    <w:rsid w:val="00147A8D"/>
    <w:rsid w:val="00150117"/>
    <w:rsid w:val="00150E0C"/>
    <w:rsid w:val="00151242"/>
    <w:rsid w:val="001513B8"/>
    <w:rsid w:val="001515A3"/>
    <w:rsid w:val="00152C2B"/>
    <w:rsid w:val="00152DD2"/>
    <w:rsid w:val="00153283"/>
    <w:rsid w:val="001533C7"/>
    <w:rsid w:val="00154305"/>
    <w:rsid w:val="00154738"/>
    <w:rsid w:val="00155764"/>
    <w:rsid w:val="001561AB"/>
    <w:rsid w:val="00156899"/>
    <w:rsid w:val="00156AAB"/>
    <w:rsid w:val="00156AC3"/>
    <w:rsid w:val="00156DE6"/>
    <w:rsid w:val="001573F0"/>
    <w:rsid w:val="001578E3"/>
    <w:rsid w:val="001603FF"/>
    <w:rsid w:val="001609EE"/>
    <w:rsid w:val="00161057"/>
    <w:rsid w:val="0016221C"/>
    <w:rsid w:val="00162497"/>
    <w:rsid w:val="001628CA"/>
    <w:rsid w:val="0016357F"/>
    <w:rsid w:val="00164E69"/>
    <w:rsid w:val="00164EC2"/>
    <w:rsid w:val="001655C7"/>
    <w:rsid w:val="0016612E"/>
    <w:rsid w:val="00166209"/>
    <w:rsid w:val="00166AF0"/>
    <w:rsid w:val="001671B3"/>
    <w:rsid w:val="00167387"/>
    <w:rsid w:val="0016758E"/>
    <w:rsid w:val="00170AF7"/>
    <w:rsid w:val="0017320C"/>
    <w:rsid w:val="001736BC"/>
    <w:rsid w:val="00173C32"/>
    <w:rsid w:val="00173C83"/>
    <w:rsid w:val="00173D63"/>
    <w:rsid w:val="00173EDE"/>
    <w:rsid w:val="00174FFE"/>
    <w:rsid w:val="00175655"/>
    <w:rsid w:val="001772F3"/>
    <w:rsid w:val="0017788F"/>
    <w:rsid w:val="001803D2"/>
    <w:rsid w:val="00181BD5"/>
    <w:rsid w:val="00181D8D"/>
    <w:rsid w:val="001820DF"/>
    <w:rsid w:val="001831CF"/>
    <w:rsid w:val="001837E5"/>
    <w:rsid w:val="00183ACA"/>
    <w:rsid w:val="0019035C"/>
    <w:rsid w:val="0019106E"/>
    <w:rsid w:val="0019164D"/>
    <w:rsid w:val="001928F1"/>
    <w:rsid w:val="00192EC6"/>
    <w:rsid w:val="001939AA"/>
    <w:rsid w:val="00193D1F"/>
    <w:rsid w:val="001944E6"/>
    <w:rsid w:val="00195C26"/>
    <w:rsid w:val="00195F56"/>
    <w:rsid w:val="00196672"/>
    <w:rsid w:val="00196700"/>
    <w:rsid w:val="00196D2E"/>
    <w:rsid w:val="00196EEB"/>
    <w:rsid w:val="001973DB"/>
    <w:rsid w:val="001A04A1"/>
    <w:rsid w:val="001A0AE5"/>
    <w:rsid w:val="001A11C8"/>
    <w:rsid w:val="001A20BC"/>
    <w:rsid w:val="001A26B3"/>
    <w:rsid w:val="001A2F0E"/>
    <w:rsid w:val="001A33E3"/>
    <w:rsid w:val="001A36A0"/>
    <w:rsid w:val="001A3954"/>
    <w:rsid w:val="001A5468"/>
    <w:rsid w:val="001A5BD4"/>
    <w:rsid w:val="001A683E"/>
    <w:rsid w:val="001A69E9"/>
    <w:rsid w:val="001A71BE"/>
    <w:rsid w:val="001A76D0"/>
    <w:rsid w:val="001A771F"/>
    <w:rsid w:val="001A7B42"/>
    <w:rsid w:val="001A7D50"/>
    <w:rsid w:val="001B0463"/>
    <w:rsid w:val="001B073F"/>
    <w:rsid w:val="001B1A1B"/>
    <w:rsid w:val="001B1BB6"/>
    <w:rsid w:val="001B1C3B"/>
    <w:rsid w:val="001B1F4B"/>
    <w:rsid w:val="001B22B9"/>
    <w:rsid w:val="001B3C88"/>
    <w:rsid w:val="001B3F33"/>
    <w:rsid w:val="001B49B0"/>
    <w:rsid w:val="001B51B7"/>
    <w:rsid w:val="001B53E7"/>
    <w:rsid w:val="001B62CD"/>
    <w:rsid w:val="001B69D4"/>
    <w:rsid w:val="001B6AF3"/>
    <w:rsid w:val="001B6CCD"/>
    <w:rsid w:val="001B780C"/>
    <w:rsid w:val="001C02B2"/>
    <w:rsid w:val="001C04CF"/>
    <w:rsid w:val="001C0891"/>
    <w:rsid w:val="001C0BF9"/>
    <w:rsid w:val="001C281C"/>
    <w:rsid w:val="001C2A7A"/>
    <w:rsid w:val="001C3664"/>
    <w:rsid w:val="001C3E0F"/>
    <w:rsid w:val="001C4011"/>
    <w:rsid w:val="001C7308"/>
    <w:rsid w:val="001D1FDF"/>
    <w:rsid w:val="001D27D9"/>
    <w:rsid w:val="001D3ACE"/>
    <w:rsid w:val="001D40BE"/>
    <w:rsid w:val="001D4DA1"/>
    <w:rsid w:val="001D6C10"/>
    <w:rsid w:val="001D75EA"/>
    <w:rsid w:val="001D7CB2"/>
    <w:rsid w:val="001D7E3C"/>
    <w:rsid w:val="001E0C44"/>
    <w:rsid w:val="001E0DDA"/>
    <w:rsid w:val="001E11A5"/>
    <w:rsid w:val="001E146C"/>
    <w:rsid w:val="001E15B3"/>
    <w:rsid w:val="001E2ADD"/>
    <w:rsid w:val="001E3D7A"/>
    <w:rsid w:val="001E4B10"/>
    <w:rsid w:val="001E618D"/>
    <w:rsid w:val="001E6946"/>
    <w:rsid w:val="001E6B87"/>
    <w:rsid w:val="001E7A92"/>
    <w:rsid w:val="001F0CC9"/>
    <w:rsid w:val="001F0D8A"/>
    <w:rsid w:val="001F26E8"/>
    <w:rsid w:val="001F45CF"/>
    <w:rsid w:val="001F4CB1"/>
    <w:rsid w:val="001F5A03"/>
    <w:rsid w:val="001F5CF0"/>
    <w:rsid w:val="001F5E0E"/>
    <w:rsid w:val="001F650A"/>
    <w:rsid w:val="001F752C"/>
    <w:rsid w:val="001F75A5"/>
    <w:rsid w:val="001F7C24"/>
    <w:rsid w:val="00200260"/>
    <w:rsid w:val="0020051E"/>
    <w:rsid w:val="00200577"/>
    <w:rsid w:val="0020182F"/>
    <w:rsid w:val="00201E24"/>
    <w:rsid w:val="00202AE0"/>
    <w:rsid w:val="00203024"/>
    <w:rsid w:val="002037F7"/>
    <w:rsid w:val="00203EC1"/>
    <w:rsid w:val="002054C3"/>
    <w:rsid w:val="002063B6"/>
    <w:rsid w:val="0020723A"/>
    <w:rsid w:val="00207D9E"/>
    <w:rsid w:val="00210854"/>
    <w:rsid w:val="002108DE"/>
    <w:rsid w:val="00210A0C"/>
    <w:rsid w:val="00210D7E"/>
    <w:rsid w:val="002115AC"/>
    <w:rsid w:val="00212289"/>
    <w:rsid w:val="002137C6"/>
    <w:rsid w:val="00213D39"/>
    <w:rsid w:val="00214506"/>
    <w:rsid w:val="00214B9B"/>
    <w:rsid w:val="002153C8"/>
    <w:rsid w:val="00215CCA"/>
    <w:rsid w:val="002166C2"/>
    <w:rsid w:val="00216CB5"/>
    <w:rsid w:val="00217E20"/>
    <w:rsid w:val="002206A0"/>
    <w:rsid w:val="0022089F"/>
    <w:rsid w:val="00220E79"/>
    <w:rsid w:val="002216EF"/>
    <w:rsid w:val="00221AC8"/>
    <w:rsid w:val="0022271C"/>
    <w:rsid w:val="00222B25"/>
    <w:rsid w:val="00222D61"/>
    <w:rsid w:val="002233A1"/>
    <w:rsid w:val="002234B4"/>
    <w:rsid w:val="0022381D"/>
    <w:rsid w:val="0022389D"/>
    <w:rsid w:val="0022402D"/>
    <w:rsid w:val="00224E7A"/>
    <w:rsid w:val="002255F4"/>
    <w:rsid w:val="00226174"/>
    <w:rsid w:val="0022659E"/>
    <w:rsid w:val="002267B6"/>
    <w:rsid w:val="0022794C"/>
    <w:rsid w:val="002307F3"/>
    <w:rsid w:val="00231471"/>
    <w:rsid w:val="00232237"/>
    <w:rsid w:val="00233097"/>
    <w:rsid w:val="00233F50"/>
    <w:rsid w:val="00234994"/>
    <w:rsid w:val="00235159"/>
    <w:rsid w:val="00235DA6"/>
    <w:rsid w:val="002361EC"/>
    <w:rsid w:val="00236BD3"/>
    <w:rsid w:val="00237955"/>
    <w:rsid w:val="002379EE"/>
    <w:rsid w:val="00237E43"/>
    <w:rsid w:val="002401DD"/>
    <w:rsid w:val="002405F0"/>
    <w:rsid w:val="00240A04"/>
    <w:rsid w:val="00240B3E"/>
    <w:rsid w:val="0024188C"/>
    <w:rsid w:val="00241937"/>
    <w:rsid w:val="0024262C"/>
    <w:rsid w:val="00243BCC"/>
    <w:rsid w:val="002441ED"/>
    <w:rsid w:val="0024460A"/>
    <w:rsid w:val="00244A48"/>
    <w:rsid w:val="00244AB9"/>
    <w:rsid w:val="002451A9"/>
    <w:rsid w:val="00245E42"/>
    <w:rsid w:val="00245E75"/>
    <w:rsid w:val="00246CC3"/>
    <w:rsid w:val="0025062F"/>
    <w:rsid w:val="00250ACA"/>
    <w:rsid w:val="0025110B"/>
    <w:rsid w:val="00251427"/>
    <w:rsid w:val="0025160E"/>
    <w:rsid w:val="002517BC"/>
    <w:rsid w:val="00251831"/>
    <w:rsid w:val="00251B3B"/>
    <w:rsid w:val="00251EAB"/>
    <w:rsid w:val="00252CDF"/>
    <w:rsid w:val="00253AFF"/>
    <w:rsid w:val="002543B4"/>
    <w:rsid w:val="00254E22"/>
    <w:rsid w:val="00255012"/>
    <w:rsid w:val="0025503F"/>
    <w:rsid w:val="0025570B"/>
    <w:rsid w:val="002558BC"/>
    <w:rsid w:val="002565EC"/>
    <w:rsid w:val="00256F03"/>
    <w:rsid w:val="00261181"/>
    <w:rsid w:val="002619AE"/>
    <w:rsid w:val="00264094"/>
    <w:rsid w:val="002641D8"/>
    <w:rsid w:val="002644DD"/>
    <w:rsid w:val="002674D5"/>
    <w:rsid w:val="00267E7B"/>
    <w:rsid w:val="00271476"/>
    <w:rsid w:val="00271A7B"/>
    <w:rsid w:val="00271D86"/>
    <w:rsid w:val="00272588"/>
    <w:rsid w:val="00272667"/>
    <w:rsid w:val="00272FA8"/>
    <w:rsid w:val="002757C3"/>
    <w:rsid w:val="002768AC"/>
    <w:rsid w:val="0027787E"/>
    <w:rsid w:val="00280385"/>
    <w:rsid w:val="0028133B"/>
    <w:rsid w:val="00281C70"/>
    <w:rsid w:val="00281F82"/>
    <w:rsid w:val="00282005"/>
    <w:rsid w:val="00282275"/>
    <w:rsid w:val="0028288E"/>
    <w:rsid w:val="00283C74"/>
    <w:rsid w:val="0028416E"/>
    <w:rsid w:val="0028451A"/>
    <w:rsid w:val="0028505D"/>
    <w:rsid w:val="002854E0"/>
    <w:rsid w:val="00285E72"/>
    <w:rsid w:val="00286353"/>
    <w:rsid w:val="002863B0"/>
    <w:rsid w:val="0028738C"/>
    <w:rsid w:val="00290798"/>
    <w:rsid w:val="002908B7"/>
    <w:rsid w:val="002918FE"/>
    <w:rsid w:val="00292FF3"/>
    <w:rsid w:val="00293FD0"/>
    <w:rsid w:val="002942B0"/>
    <w:rsid w:val="00294AD9"/>
    <w:rsid w:val="00294E4E"/>
    <w:rsid w:val="00296EF9"/>
    <w:rsid w:val="0029760A"/>
    <w:rsid w:val="002A137F"/>
    <w:rsid w:val="002A16CE"/>
    <w:rsid w:val="002A1CC7"/>
    <w:rsid w:val="002A1E90"/>
    <w:rsid w:val="002A2110"/>
    <w:rsid w:val="002A2DA7"/>
    <w:rsid w:val="002A395F"/>
    <w:rsid w:val="002A4041"/>
    <w:rsid w:val="002A4577"/>
    <w:rsid w:val="002A53D9"/>
    <w:rsid w:val="002A5C86"/>
    <w:rsid w:val="002A5D2C"/>
    <w:rsid w:val="002A5D82"/>
    <w:rsid w:val="002A6D1D"/>
    <w:rsid w:val="002B0472"/>
    <w:rsid w:val="002B0751"/>
    <w:rsid w:val="002B25BA"/>
    <w:rsid w:val="002B29CB"/>
    <w:rsid w:val="002B2CF3"/>
    <w:rsid w:val="002B2EE8"/>
    <w:rsid w:val="002B4065"/>
    <w:rsid w:val="002B4C93"/>
    <w:rsid w:val="002B5974"/>
    <w:rsid w:val="002B5DDF"/>
    <w:rsid w:val="002B6305"/>
    <w:rsid w:val="002B7401"/>
    <w:rsid w:val="002B74C4"/>
    <w:rsid w:val="002B7DFD"/>
    <w:rsid w:val="002C0361"/>
    <w:rsid w:val="002C06FB"/>
    <w:rsid w:val="002C3B2D"/>
    <w:rsid w:val="002C4E88"/>
    <w:rsid w:val="002C4EDD"/>
    <w:rsid w:val="002C525D"/>
    <w:rsid w:val="002C55FC"/>
    <w:rsid w:val="002C59A6"/>
    <w:rsid w:val="002C68B9"/>
    <w:rsid w:val="002C7802"/>
    <w:rsid w:val="002C7819"/>
    <w:rsid w:val="002D0679"/>
    <w:rsid w:val="002D07B9"/>
    <w:rsid w:val="002D1831"/>
    <w:rsid w:val="002D20BE"/>
    <w:rsid w:val="002D36B0"/>
    <w:rsid w:val="002D3F35"/>
    <w:rsid w:val="002D4758"/>
    <w:rsid w:val="002D4AE2"/>
    <w:rsid w:val="002D5D42"/>
    <w:rsid w:val="002D5D95"/>
    <w:rsid w:val="002D6057"/>
    <w:rsid w:val="002D6387"/>
    <w:rsid w:val="002D730F"/>
    <w:rsid w:val="002D74B2"/>
    <w:rsid w:val="002D7EC6"/>
    <w:rsid w:val="002E2DC3"/>
    <w:rsid w:val="002E3443"/>
    <w:rsid w:val="002E3522"/>
    <w:rsid w:val="002E3D14"/>
    <w:rsid w:val="002E4365"/>
    <w:rsid w:val="002E4DB4"/>
    <w:rsid w:val="002E4ED6"/>
    <w:rsid w:val="002E5B9D"/>
    <w:rsid w:val="002E6A77"/>
    <w:rsid w:val="002E726B"/>
    <w:rsid w:val="002E7572"/>
    <w:rsid w:val="002F06FF"/>
    <w:rsid w:val="002F08BC"/>
    <w:rsid w:val="002F143A"/>
    <w:rsid w:val="002F15D6"/>
    <w:rsid w:val="002F174E"/>
    <w:rsid w:val="002F1937"/>
    <w:rsid w:val="002F1A7C"/>
    <w:rsid w:val="002F3659"/>
    <w:rsid w:val="002F39D9"/>
    <w:rsid w:val="002F42C4"/>
    <w:rsid w:val="002F435B"/>
    <w:rsid w:val="002F48B6"/>
    <w:rsid w:val="002F4977"/>
    <w:rsid w:val="002F573B"/>
    <w:rsid w:val="002F5B75"/>
    <w:rsid w:val="002F6C0D"/>
    <w:rsid w:val="00301423"/>
    <w:rsid w:val="00303EDB"/>
    <w:rsid w:val="00303F70"/>
    <w:rsid w:val="00304157"/>
    <w:rsid w:val="00304DF5"/>
    <w:rsid w:val="00305D93"/>
    <w:rsid w:val="00305FAF"/>
    <w:rsid w:val="00305FB9"/>
    <w:rsid w:val="00306569"/>
    <w:rsid w:val="00306E94"/>
    <w:rsid w:val="0031037D"/>
    <w:rsid w:val="00312450"/>
    <w:rsid w:val="0031263B"/>
    <w:rsid w:val="00312B2D"/>
    <w:rsid w:val="00313B13"/>
    <w:rsid w:val="00313D80"/>
    <w:rsid w:val="00314DEC"/>
    <w:rsid w:val="003152C9"/>
    <w:rsid w:val="003169DD"/>
    <w:rsid w:val="00316DEC"/>
    <w:rsid w:val="00316F41"/>
    <w:rsid w:val="0031707B"/>
    <w:rsid w:val="00317387"/>
    <w:rsid w:val="00317620"/>
    <w:rsid w:val="0032030F"/>
    <w:rsid w:val="00320FE1"/>
    <w:rsid w:val="00321056"/>
    <w:rsid w:val="00321485"/>
    <w:rsid w:val="00321A5F"/>
    <w:rsid w:val="00322A45"/>
    <w:rsid w:val="00322B63"/>
    <w:rsid w:val="00324652"/>
    <w:rsid w:val="0032615C"/>
    <w:rsid w:val="0032697F"/>
    <w:rsid w:val="003269BA"/>
    <w:rsid w:val="00326EB8"/>
    <w:rsid w:val="003307EF"/>
    <w:rsid w:val="00330F0A"/>
    <w:rsid w:val="0033174B"/>
    <w:rsid w:val="00332165"/>
    <w:rsid w:val="00332BFB"/>
    <w:rsid w:val="00333879"/>
    <w:rsid w:val="00333B7C"/>
    <w:rsid w:val="00333B7E"/>
    <w:rsid w:val="0033429C"/>
    <w:rsid w:val="003342A8"/>
    <w:rsid w:val="00334664"/>
    <w:rsid w:val="00335175"/>
    <w:rsid w:val="00335772"/>
    <w:rsid w:val="00335B0E"/>
    <w:rsid w:val="003364E0"/>
    <w:rsid w:val="003372F6"/>
    <w:rsid w:val="0033763C"/>
    <w:rsid w:val="00340A59"/>
    <w:rsid w:val="0034246E"/>
    <w:rsid w:val="003427D6"/>
    <w:rsid w:val="0034358F"/>
    <w:rsid w:val="00343B90"/>
    <w:rsid w:val="003442AD"/>
    <w:rsid w:val="00344B71"/>
    <w:rsid w:val="00344C11"/>
    <w:rsid w:val="0034688E"/>
    <w:rsid w:val="00351EDD"/>
    <w:rsid w:val="00352455"/>
    <w:rsid w:val="003524A1"/>
    <w:rsid w:val="00352B6A"/>
    <w:rsid w:val="003536C4"/>
    <w:rsid w:val="0035397C"/>
    <w:rsid w:val="00354305"/>
    <w:rsid w:val="0035475C"/>
    <w:rsid w:val="00354FC8"/>
    <w:rsid w:val="00355896"/>
    <w:rsid w:val="00355FAB"/>
    <w:rsid w:val="003567CF"/>
    <w:rsid w:val="00356D7E"/>
    <w:rsid w:val="0035703F"/>
    <w:rsid w:val="0035727A"/>
    <w:rsid w:val="003610B1"/>
    <w:rsid w:val="0036132F"/>
    <w:rsid w:val="0036139C"/>
    <w:rsid w:val="00362235"/>
    <w:rsid w:val="003624D1"/>
    <w:rsid w:val="0036258D"/>
    <w:rsid w:val="00362A14"/>
    <w:rsid w:val="003638C6"/>
    <w:rsid w:val="00363C87"/>
    <w:rsid w:val="0036495F"/>
    <w:rsid w:val="003655CE"/>
    <w:rsid w:val="003659E6"/>
    <w:rsid w:val="00366014"/>
    <w:rsid w:val="00366D89"/>
    <w:rsid w:val="00366E69"/>
    <w:rsid w:val="00370359"/>
    <w:rsid w:val="003720A6"/>
    <w:rsid w:val="00372890"/>
    <w:rsid w:val="0037305B"/>
    <w:rsid w:val="00375A27"/>
    <w:rsid w:val="003770F1"/>
    <w:rsid w:val="003772BD"/>
    <w:rsid w:val="003779ED"/>
    <w:rsid w:val="00377B05"/>
    <w:rsid w:val="00380C9A"/>
    <w:rsid w:val="003816BF"/>
    <w:rsid w:val="00381880"/>
    <w:rsid w:val="00381BB2"/>
    <w:rsid w:val="00382650"/>
    <w:rsid w:val="00382970"/>
    <w:rsid w:val="00382C30"/>
    <w:rsid w:val="00382CC3"/>
    <w:rsid w:val="00382FC1"/>
    <w:rsid w:val="003839D5"/>
    <w:rsid w:val="003841A3"/>
    <w:rsid w:val="003842D6"/>
    <w:rsid w:val="003851C7"/>
    <w:rsid w:val="00385798"/>
    <w:rsid w:val="00385D47"/>
    <w:rsid w:val="003865B3"/>
    <w:rsid w:val="00386E0E"/>
    <w:rsid w:val="00387639"/>
    <w:rsid w:val="003878E6"/>
    <w:rsid w:val="00390884"/>
    <w:rsid w:val="00390DF4"/>
    <w:rsid w:val="00390ECD"/>
    <w:rsid w:val="00391BDD"/>
    <w:rsid w:val="00391C5E"/>
    <w:rsid w:val="0039246B"/>
    <w:rsid w:val="003932FD"/>
    <w:rsid w:val="00393CC1"/>
    <w:rsid w:val="003950F1"/>
    <w:rsid w:val="0039558E"/>
    <w:rsid w:val="00397A69"/>
    <w:rsid w:val="003A091B"/>
    <w:rsid w:val="003A0D29"/>
    <w:rsid w:val="003A1C41"/>
    <w:rsid w:val="003A23C5"/>
    <w:rsid w:val="003A26B2"/>
    <w:rsid w:val="003A2CBB"/>
    <w:rsid w:val="003A37FA"/>
    <w:rsid w:val="003A3C30"/>
    <w:rsid w:val="003A3D0A"/>
    <w:rsid w:val="003A3F49"/>
    <w:rsid w:val="003A4318"/>
    <w:rsid w:val="003A4601"/>
    <w:rsid w:val="003A46D9"/>
    <w:rsid w:val="003A47C3"/>
    <w:rsid w:val="003A49D4"/>
    <w:rsid w:val="003A4CFA"/>
    <w:rsid w:val="003A4EC1"/>
    <w:rsid w:val="003A6544"/>
    <w:rsid w:val="003A70C3"/>
    <w:rsid w:val="003A71F6"/>
    <w:rsid w:val="003A7463"/>
    <w:rsid w:val="003B0661"/>
    <w:rsid w:val="003B14F8"/>
    <w:rsid w:val="003B1C1C"/>
    <w:rsid w:val="003B2415"/>
    <w:rsid w:val="003B3AC4"/>
    <w:rsid w:val="003B3CF9"/>
    <w:rsid w:val="003B416F"/>
    <w:rsid w:val="003B65BB"/>
    <w:rsid w:val="003B6913"/>
    <w:rsid w:val="003B699C"/>
    <w:rsid w:val="003B6DA0"/>
    <w:rsid w:val="003B75B6"/>
    <w:rsid w:val="003B7D6C"/>
    <w:rsid w:val="003C1541"/>
    <w:rsid w:val="003C1614"/>
    <w:rsid w:val="003C188A"/>
    <w:rsid w:val="003C2716"/>
    <w:rsid w:val="003C32D9"/>
    <w:rsid w:val="003C3465"/>
    <w:rsid w:val="003C3A37"/>
    <w:rsid w:val="003C3AA9"/>
    <w:rsid w:val="003C4180"/>
    <w:rsid w:val="003C4F33"/>
    <w:rsid w:val="003C52EA"/>
    <w:rsid w:val="003C58AA"/>
    <w:rsid w:val="003C62A4"/>
    <w:rsid w:val="003C7130"/>
    <w:rsid w:val="003C7345"/>
    <w:rsid w:val="003C78DC"/>
    <w:rsid w:val="003D0275"/>
    <w:rsid w:val="003D132F"/>
    <w:rsid w:val="003D1926"/>
    <w:rsid w:val="003D227B"/>
    <w:rsid w:val="003D2A3C"/>
    <w:rsid w:val="003D316E"/>
    <w:rsid w:val="003D32BF"/>
    <w:rsid w:val="003D39E9"/>
    <w:rsid w:val="003D4070"/>
    <w:rsid w:val="003D41A2"/>
    <w:rsid w:val="003D4EC8"/>
    <w:rsid w:val="003D55A6"/>
    <w:rsid w:val="003D580D"/>
    <w:rsid w:val="003D5BCA"/>
    <w:rsid w:val="003D5D4F"/>
    <w:rsid w:val="003D7505"/>
    <w:rsid w:val="003D7783"/>
    <w:rsid w:val="003E0094"/>
    <w:rsid w:val="003E1371"/>
    <w:rsid w:val="003E1D54"/>
    <w:rsid w:val="003E4665"/>
    <w:rsid w:val="003E4B50"/>
    <w:rsid w:val="003E54EC"/>
    <w:rsid w:val="003E5820"/>
    <w:rsid w:val="003E5E35"/>
    <w:rsid w:val="003E64E1"/>
    <w:rsid w:val="003E660B"/>
    <w:rsid w:val="003E70F6"/>
    <w:rsid w:val="003E70FD"/>
    <w:rsid w:val="003E7209"/>
    <w:rsid w:val="003F01A2"/>
    <w:rsid w:val="003F07A8"/>
    <w:rsid w:val="003F07BB"/>
    <w:rsid w:val="003F1D78"/>
    <w:rsid w:val="003F2162"/>
    <w:rsid w:val="003F2572"/>
    <w:rsid w:val="003F2B3C"/>
    <w:rsid w:val="003F2FEE"/>
    <w:rsid w:val="003F302F"/>
    <w:rsid w:val="003F33E6"/>
    <w:rsid w:val="003F3F1D"/>
    <w:rsid w:val="003F40AA"/>
    <w:rsid w:val="003F536B"/>
    <w:rsid w:val="003F5408"/>
    <w:rsid w:val="003F5CBC"/>
    <w:rsid w:val="003F70C6"/>
    <w:rsid w:val="003F7B6C"/>
    <w:rsid w:val="00400E4D"/>
    <w:rsid w:val="00401996"/>
    <w:rsid w:val="00401D24"/>
    <w:rsid w:val="00402506"/>
    <w:rsid w:val="00402739"/>
    <w:rsid w:val="00402D7F"/>
    <w:rsid w:val="00402F9D"/>
    <w:rsid w:val="00403797"/>
    <w:rsid w:val="00404874"/>
    <w:rsid w:val="00404915"/>
    <w:rsid w:val="00404A93"/>
    <w:rsid w:val="00405D92"/>
    <w:rsid w:val="004067A1"/>
    <w:rsid w:val="00412176"/>
    <w:rsid w:val="00412F7C"/>
    <w:rsid w:val="00414C14"/>
    <w:rsid w:val="00415525"/>
    <w:rsid w:val="00415E7B"/>
    <w:rsid w:val="004166A0"/>
    <w:rsid w:val="00416783"/>
    <w:rsid w:val="00416D8A"/>
    <w:rsid w:val="00416E2B"/>
    <w:rsid w:val="00417689"/>
    <w:rsid w:val="00417ACF"/>
    <w:rsid w:val="00421134"/>
    <w:rsid w:val="00421460"/>
    <w:rsid w:val="00421FF7"/>
    <w:rsid w:val="004226CF"/>
    <w:rsid w:val="00422867"/>
    <w:rsid w:val="00422CBB"/>
    <w:rsid w:val="00423293"/>
    <w:rsid w:val="00423C5A"/>
    <w:rsid w:val="004250FA"/>
    <w:rsid w:val="0042587C"/>
    <w:rsid w:val="00425B42"/>
    <w:rsid w:val="0042646D"/>
    <w:rsid w:val="00426870"/>
    <w:rsid w:val="00426A67"/>
    <w:rsid w:val="004305F5"/>
    <w:rsid w:val="0043091B"/>
    <w:rsid w:val="00430BA8"/>
    <w:rsid w:val="00430E96"/>
    <w:rsid w:val="0043186A"/>
    <w:rsid w:val="0043187A"/>
    <w:rsid w:val="00431AF6"/>
    <w:rsid w:val="00431EB0"/>
    <w:rsid w:val="00432016"/>
    <w:rsid w:val="00432999"/>
    <w:rsid w:val="00433962"/>
    <w:rsid w:val="004347EE"/>
    <w:rsid w:val="00434C0B"/>
    <w:rsid w:val="004351F9"/>
    <w:rsid w:val="00435219"/>
    <w:rsid w:val="0043538C"/>
    <w:rsid w:val="00436BDE"/>
    <w:rsid w:val="004372A8"/>
    <w:rsid w:val="0043739E"/>
    <w:rsid w:val="00437689"/>
    <w:rsid w:val="004379ED"/>
    <w:rsid w:val="00440147"/>
    <w:rsid w:val="0044059E"/>
    <w:rsid w:val="004405C3"/>
    <w:rsid w:val="0044133F"/>
    <w:rsid w:val="0044134B"/>
    <w:rsid w:val="004420B0"/>
    <w:rsid w:val="00443705"/>
    <w:rsid w:val="00443772"/>
    <w:rsid w:val="004450EF"/>
    <w:rsid w:val="00445695"/>
    <w:rsid w:val="0044650E"/>
    <w:rsid w:val="00446FAA"/>
    <w:rsid w:val="00447818"/>
    <w:rsid w:val="0044788B"/>
    <w:rsid w:val="00450087"/>
    <w:rsid w:val="00450B29"/>
    <w:rsid w:val="004510F5"/>
    <w:rsid w:val="00451DA1"/>
    <w:rsid w:val="0045253B"/>
    <w:rsid w:val="00452678"/>
    <w:rsid w:val="00452950"/>
    <w:rsid w:val="00453684"/>
    <w:rsid w:val="00454369"/>
    <w:rsid w:val="004549B2"/>
    <w:rsid w:val="00454C4A"/>
    <w:rsid w:val="00454DE4"/>
    <w:rsid w:val="00455389"/>
    <w:rsid w:val="004563E8"/>
    <w:rsid w:val="00457DDC"/>
    <w:rsid w:val="00460DD3"/>
    <w:rsid w:val="0046168C"/>
    <w:rsid w:val="0046189E"/>
    <w:rsid w:val="0046204C"/>
    <w:rsid w:val="004629F8"/>
    <w:rsid w:val="00462B82"/>
    <w:rsid w:val="004631CE"/>
    <w:rsid w:val="00463987"/>
    <w:rsid w:val="004643AC"/>
    <w:rsid w:val="00464E07"/>
    <w:rsid w:val="00465A31"/>
    <w:rsid w:val="004665F9"/>
    <w:rsid w:val="00470049"/>
    <w:rsid w:val="00470069"/>
    <w:rsid w:val="00470679"/>
    <w:rsid w:val="004709E3"/>
    <w:rsid w:val="00471024"/>
    <w:rsid w:val="0047111F"/>
    <w:rsid w:val="004713AC"/>
    <w:rsid w:val="004715FD"/>
    <w:rsid w:val="0047614F"/>
    <w:rsid w:val="00476D32"/>
    <w:rsid w:val="00476FD7"/>
    <w:rsid w:val="00480FD0"/>
    <w:rsid w:val="004812D5"/>
    <w:rsid w:val="004813D0"/>
    <w:rsid w:val="004828B1"/>
    <w:rsid w:val="00483F79"/>
    <w:rsid w:val="004843AB"/>
    <w:rsid w:val="00484589"/>
    <w:rsid w:val="004851C6"/>
    <w:rsid w:val="004857F3"/>
    <w:rsid w:val="00485E7C"/>
    <w:rsid w:val="004869BC"/>
    <w:rsid w:val="00486DCF"/>
    <w:rsid w:val="0049025F"/>
    <w:rsid w:val="0049205A"/>
    <w:rsid w:val="00492217"/>
    <w:rsid w:val="0049378D"/>
    <w:rsid w:val="00494862"/>
    <w:rsid w:val="004954FE"/>
    <w:rsid w:val="00495768"/>
    <w:rsid w:val="00496756"/>
    <w:rsid w:val="004970D4"/>
    <w:rsid w:val="004A1532"/>
    <w:rsid w:val="004A19A6"/>
    <w:rsid w:val="004A19DB"/>
    <w:rsid w:val="004A23D0"/>
    <w:rsid w:val="004A245F"/>
    <w:rsid w:val="004A2C0B"/>
    <w:rsid w:val="004A2CEE"/>
    <w:rsid w:val="004A4186"/>
    <w:rsid w:val="004A41C5"/>
    <w:rsid w:val="004A4B14"/>
    <w:rsid w:val="004A54C3"/>
    <w:rsid w:val="004B0914"/>
    <w:rsid w:val="004B0BFC"/>
    <w:rsid w:val="004B1708"/>
    <w:rsid w:val="004B2991"/>
    <w:rsid w:val="004B2C3D"/>
    <w:rsid w:val="004B3A25"/>
    <w:rsid w:val="004B44E7"/>
    <w:rsid w:val="004B5B34"/>
    <w:rsid w:val="004B6F78"/>
    <w:rsid w:val="004B72C1"/>
    <w:rsid w:val="004B7517"/>
    <w:rsid w:val="004C1485"/>
    <w:rsid w:val="004C1E2D"/>
    <w:rsid w:val="004C2930"/>
    <w:rsid w:val="004C30A9"/>
    <w:rsid w:val="004C3E63"/>
    <w:rsid w:val="004C4819"/>
    <w:rsid w:val="004C584E"/>
    <w:rsid w:val="004C5A5C"/>
    <w:rsid w:val="004C5C86"/>
    <w:rsid w:val="004C64F2"/>
    <w:rsid w:val="004C710A"/>
    <w:rsid w:val="004C77BA"/>
    <w:rsid w:val="004C7AE4"/>
    <w:rsid w:val="004D1332"/>
    <w:rsid w:val="004D2199"/>
    <w:rsid w:val="004D2829"/>
    <w:rsid w:val="004D2D3C"/>
    <w:rsid w:val="004D362C"/>
    <w:rsid w:val="004D48FF"/>
    <w:rsid w:val="004D5114"/>
    <w:rsid w:val="004D6859"/>
    <w:rsid w:val="004E0104"/>
    <w:rsid w:val="004E032B"/>
    <w:rsid w:val="004E1596"/>
    <w:rsid w:val="004E19E0"/>
    <w:rsid w:val="004E1D9B"/>
    <w:rsid w:val="004E3B6C"/>
    <w:rsid w:val="004E4687"/>
    <w:rsid w:val="004E62C9"/>
    <w:rsid w:val="004E6BE8"/>
    <w:rsid w:val="004E789D"/>
    <w:rsid w:val="004E7B44"/>
    <w:rsid w:val="004E7BB2"/>
    <w:rsid w:val="004F1462"/>
    <w:rsid w:val="004F1B6B"/>
    <w:rsid w:val="004F3172"/>
    <w:rsid w:val="004F38B0"/>
    <w:rsid w:val="004F46AB"/>
    <w:rsid w:val="004F4BE2"/>
    <w:rsid w:val="004F54AF"/>
    <w:rsid w:val="004F6029"/>
    <w:rsid w:val="004F7C70"/>
    <w:rsid w:val="0050015C"/>
    <w:rsid w:val="0050019B"/>
    <w:rsid w:val="00500A93"/>
    <w:rsid w:val="00501197"/>
    <w:rsid w:val="00501425"/>
    <w:rsid w:val="005017F5"/>
    <w:rsid w:val="0050186C"/>
    <w:rsid w:val="00502114"/>
    <w:rsid w:val="00502160"/>
    <w:rsid w:val="00502534"/>
    <w:rsid w:val="0050312E"/>
    <w:rsid w:val="00503605"/>
    <w:rsid w:val="00503744"/>
    <w:rsid w:val="00503A03"/>
    <w:rsid w:val="00505B9E"/>
    <w:rsid w:val="00505C14"/>
    <w:rsid w:val="00506F55"/>
    <w:rsid w:val="00506F99"/>
    <w:rsid w:val="00507CAE"/>
    <w:rsid w:val="00511965"/>
    <w:rsid w:val="00513141"/>
    <w:rsid w:val="005132A8"/>
    <w:rsid w:val="0051442E"/>
    <w:rsid w:val="00514BD3"/>
    <w:rsid w:val="00514E0C"/>
    <w:rsid w:val="00515014"/>
    <w:rsid w:val="005157DF"/>
    <w:rsid w:val="00516499"/>
    <w:rsid w:val="005165C4"/>
    <w:rsid w:val="005166E9"/>
    <w:rsid w:val="00517036"/>
    <w:rsid w:val="00517220"/>
    <w:rsid w:val="00517C64"/>
    <w:rsid w:val="0052054F"/>
    <w:rsid w:val="00520581"/>
    <w:rsid w:val="0052102B"/>
    <w:rsid w:val="0052146F"/>
    <w:rsid w:val="005228B1"/>
    <w:rsid w:val="005228CF"/>
    <w:rsid w:val="00522D7A"/>
    <w:rsid w:val="00522D85"/>
    <w:rsid w:val="005249DB"/>
    <w:rsid w:val="00525164"/>
    <w:rsid w:val="00525938"/>
    <w:rsid w:val="00525F6C"/>
    <w:rsid w:val="0052719A"/>
    <w:rsid w:val="00527491"/>
    <w:rsid w:val="005279D1"/>
    <w:rsid w:val="00527CDA"/>
    <w:rsid w:val="00527D08"/>
    <w:rsid w:val="00530537"/>
    <w:rsid w:val="00530D38"/>
    <w:rsid w:val="00531065"/>
    <w:rsid w:val="00531D6B"/>
    <w:rsid w:val="00531EF0"/>
    <w:rsid w:val="00532301"/>
    <w:rsid w:val="0053262C"/>
    <w:rsid w:val="005326B2"/>
    <w:rsid w:val="00533C0E"/>
    <w:rsid w:val="0053487C"/>
    <w:rsid w:val="00534CF7"/>
    <w:rsid w:val="00536300"/>
    <w:rsid w:val="00536632"/>
    <w:rsid w:val="00536D6B"/>
    <w:rsid w:val="00537A3D"/>
    <w:rsid w:val="00542940"/>
    <w:rsid w:val="005437DE"/>
    <w:rsid w:val="005463AF"/>
    <w:rsid w:val="0054675F"/>
    <w:rsid w:val="00546CE8"/>
    <w:rsid w:val="0054740A"/>
    <w:rsid w:val="00547D29"/>
    <w:rsid w:val="00547FDB"/>
    <w:rsid w:val="005502E8"/>
    <w:rsid w:val="00550DC0"/>
    <w:rsid w:val="00552338"/>
    <w:rsid w:val="0055283D"/>
    <w:rsid w:val="00552B5D"/>
    <w:rsid w:val="00552E92"/>
    <w:rsid w:val="00554414"/>
    <w:rsid w:val="005554ED"/>
    <w:rsid w:val="00555673"/>
    <w:rsid w:val="0055677F"/>
    <w:rsid w:val="005574C2"/>
    <w:rsid w:val="00557608"/>
    <w:rsid w:val="005577B4"/>
    <w:rsid w:val="00557BCB"/>
    <w:rsid w:val="00560553"/>
    <w:rsid w:val="005609A8"/>
    <w:rsid w:val="00560DDD"/>
    <w:rsid w:val="00561AC5"/>
    <w:rsid w:val="0056309F"/>
    <w:rsid w:val="00563152"/>
    <w:rsid w:val="0056476A"/>
    <w:rsid w:val="00564B18"/>
    <w:rsid w:val="005652A9"/>
    <w:rsid w:val="005661FE"/>
    <w:rsid w:val="0056699F"/>
    <w:rsid w:val="00566E78"/>
    <w:rsid w:val="0056700A"/>
    <w:rsid w:val="0056787C"/>
    <w:rsid w:val="00567C11"/>
    <w:rsid w:val="005704B6"/>
    <w:rsid w:val="005732C6"/>
    <w:rsid w:val="005732EA"/>
    <w:rsid w:val="00576373"/>
    <w:rsid w:val="005764CC"/>
    <w:rsid w:val="005778F4"/>
    <w:rsid w:val="0058086D"/>
    <w:rsid w:val="00580BB6"/>
    <w:rsid w:val="00580D85"/>
    <w:rsid w:val="00580F53"/>
    <w:rsid w:val="00581101"/>
    <w:rsid w:val="0058128D"/>
    <w:rsid w:val="00582114"/>
    <w:rsid w:val="00583A9B"/>
    <w:rsid w:val="00583E48"/>
    <w:rsid w:val="00585D59"/>
    <w:rsid w:val="00586579"/>
    <w:rsid w:val="0058705C"/>
    <w:rsid w:val="00587BE1"/>
    <w:rsid w:val="00591845"/>
    <w:rsid w:val="00591F1A"/>
    <w:rsid w:val="00591FBB"/>
    <w:rsid w:val="005926E0"/>
    <w:rsid w:val="00592BA7"/>
    <w:rsid w:val="00592BFC"/>
    <w:rsid w:val="00593F4E"/>
    <w:rsid w:val="0059467E"/>
    <w:rsid w:val="00595939"/>
    <w:rsid w:val="00596032"/>
    <w:rsid w:val="00596234"/>
    <w:rsid w:val="00596BBD"/>
    <w:rsid w:val="00596E01"/>
    <w:rsid w:val="00596EBC"/>
    <w:rsid w:val="00596F2F"/>
    <w:rsid w:val="005975EE"/>
    <w:rsid w:val="005976E4"/>
    <w:rsid w:val="005A0444"/>
    <w:rsid w:val="005A20D8"/>
    <w:rsid w:val="005A22A1"/>
    <w:rsid w:val="005A2A53"/>
    <w:rsid w:val="005A2A7C"/>
    <w:rsid w:val="005A2ED8"/>
    <w:rsid w:val="005A2FF6"/>
    <w:rsid w:val="005A3275"/>
    <w:rsid w:val="005A360D"/>
    <w:rsid w:val="005A4A14"/>
    <w:rsid w:val="005A6800"/>
    <w:rsid w:val="005A681F"/>
    <w:rsid w:val="005A6B42"/>
    <w:rsid w:val="005A6D43"/>
    <w:rsid w:val="005A753D"/>
    <w:rsid w:val="005A7AFC"/>
    <w:rsid w:val="005A7D4E"/>
    <w:rsid w:val="005B001E"/>
    <w:rsid w:val="005B0068"/>
    <w:rsid w:val="005B08A6"/>
    <w:rsid w:val="005B0B4B"/>
    <w:rsid w:val="005B1E74"/>
    <w:rsid w:val="005B2243"/>
    <w:rsid w:val="005B2347"/>
    <w:rsid w:val="005B329B"/>
    <w:rsid w:val="005B459C"/>
    <w:rsid w:val="005B5152"/>
    <w:rsid w:val="005B629A"/>
    <w:rsid w:val="005B73B7"/>
    <w:rsid w:val="005C0BB1"/>
    <w:rsid w:val="005C0D20"/>
    <w:rsid w:val="005C1807"/>
    <w:rsid w:val="005C1C01"/>
    <w:rsid w:val="005C1D12"/>
    <w:rsid w:val="005C2BF1"/>
    <w:rsid w:val="005C2C6D"/>
    <w:rsid w:val="005C2F96"/>
    <w:rsid w:val="005C3317"/>
    <w:rsid w:val="005C3632"/>
    <w:rsid w:val="005C3A45"/>
    <w:rsid w:val="005C4CF2"/>
    <w:rsid w:val="005C5ABB"/>
    <w:rsid w:val="005C5E59"/>
    <w:rsid w:val="005C79AF"/>
    <w:rsid w:val="005C7C8D"/>
    <w:rsid w:val="005D1AE3"/>
    <w:rsid w:val="005D4E3D"/>
    <w:rsid w:val="005D50CA"/>
    <w:rsid w:val="005D6D8B"/>
    <w:rsid w:val="005D6FC3"/>
    <w:rsid w:val="005D7566"/>
    <w:rsid w:val="005E0564"/>
    <w:rsid w:val="005E1C7D"/>
    <w:rsid w:val="005E245E"/>
    <w:rsid w:val="005E24A8"/>
    <w:rsid w:val="005E27F4"/>
    <w:rsid w:val="005E2B42"/>
    <w:rsid w:val="005E327E"/>
    <w:rsid w:val="005E4279"/>
    <w:rsid w:val="005E47E7"/>
    <w:rsid w:val="005E5471"/>
    <w:rsid w:val="005E5B5A"/>
    <w:rsid w:val="005E5D83"/>
    <w:rsid w:val="005E5D99"/>
    <w:rsid w:val="005E6427"/>
    <w:rsid w:val="005E6B6F"/>
    <w:rsid w:val="005E78D1"/>
    <w:rsid w:val="005F187A"/>
    <w:rsid w:val="005F22D2"/>
    <w:rsid w:val="005F30E4"/>
    <w:rsid w:val="005F3449"/>
    <w:rsid w:val="005F3CF8"/>
    <w:rsid w:val="005F44B6"/>
    <w:rsid w:val="005F4C5A"/>
    <w:rsid w:val="005F5020"/>
    <w:rsid w:val="005F5867"/>
    <w:rsid w:val="00600777"/>
    <w:rsid w:val="00600982"/>
    <w:rsid w:val="00600F8B"/>
    <w:rsid w:val="00601238"/>
    <w:rsid w:val="00601BDA"/>
    <w:rsid w:val="00602199"/>
    <w:rsid w:val="00602281"/>
    <w:rsid w:val="00602838"/>
    <w:rsid w:val="00603728"/>
    <w:rsid w:val="00603D1B"/>
    <w:rsid w:val="006041C1"/>
    <w:rsid w:val="00604C97"/>
    <w:rsid w:val="00605A70"/>
    <w:rsid w:val="00605D05"/>
    <w:rsid w:val="00606005"/>
    <w:rsid w:val="006063A2"/>
    <w:rsid w:val="00606D46"/>
    <w:rsid w:val="006070DD"/>
    <w:rsid w:val="006071B9"/>
    <w:rsid w:val="006075BC"/>
    <w:rsid w:val="006076F0"/>
    <w:rsid w:val="00607BD7"/>
    <w:rsid w:val="00607F48"/>
    <w:rsid w:val="00610ACF"/>
    <w:rsid w:val="00611858"/>
    <w:rsid w:val="006141C4"/>
    <w:rsid w:val="006145B4"/>
    <w:rsid w:val="00614CB2"/>
    <w:rsid w:val="006151AB"/>
    <w:rsid w:val="0061549D"/>
    <w:rsid w:val="00615A50"/>
    <w:rsid w:val="00615C70"/>
    <w:rsid w:val="00615EB2"/>
    <w:rsid w:val="006164C0"/>
    <w:rsid w:val="00616C2F"/>
    <w:rsid w:val="00617AA0"/>
    <w:rsid w:val="00617FC5"/>
    <w:rsid w:val="00620CE8"/>
    <w:rsid w:val="0062255A"/>
    <w:rsid w:val="00622A5F"/>
    <w:rsid w:val="00623361"/>
    <w:rsid w:val="00623883"/>
    <w:rsid w:val="00623D30"/>
    <w:rsid w:val="006246C0"/>
    <w:rsid w:val="00624F4B"/>
    <w:rsid w:val="00625360"/>
    <w:rsid w:val="00625C3A"/>
    <w:rsid w:val="00625CA7"/>
    <w:rsid w:val="00626328"/>
    <w:rsid w:val="00627E55"/>
    <w:rsid w:val="00631B49"/>
    <w:rsid w:val="00632186"/>
    <w:rsid w:val="0063242A"/>
    <w:rsid w:val="006343EC"/>
    <w:rsid w:val="0063534F"/>
    <w:rsid w:val="00635F8C"/>
    <w:rsid w:val="006361F5"/>
    <w:rsid w:val="00637166"/>
    <w:rsid w:val="006408FA"/>
    <w:rsid w:val="00640FE0"/>
    <w:rsid w:val="00641662"/>
    <w:rsid w:val="00642D82"/>
    <w:rsid w:val="00643CDA"/>
    <w:rsid w:val="00645307"/>
    <w:rsid w:val="00645459"/>
    <w:rsid w:val="00646563"/>
    <w:rsid w:val="00647277"/>
    <w:rsid w:val="006476FC"/>
    <w:rsid w:val="00647E06"/>
    <w:rsid w:val="0065060D"/>
    <w:rsid w:val="00652D44"/>
    <w:rsid w:val="0065340C"/>
    <w:rsid w:val="006544BC"/>
    <w:rsid w:val="00654808"/>
    <w:rsid w:val="0065489F"/>
    <w:rsid w:val="006554CB"/>
    <w:rsid w:val="006567A1"/>
    <w:rsid w:val="00656BEB"/>
    <w:rsid w:val="00657AA7"/>
    <w:rsid w:val="00662004"/>
    <w:rsid w:val="00662BD4"/>
    <w:rsid w:val="0066318B"/>
    <w:rsid w:val="006635B6"/>
    <w:rsid w:val="00665317"/>
    <w:rsid w:val="006664F9"/>
    <w:rsid w:val="00667AFC"/>
    <w:rsid w:val="006703D4"/>
    <w:rsid w:val="00670B06"/>
    <w:rsid w:val="00670E47"/>
    <w:rsid w:val="00671492"/>
    <w:rsid w:val="006718D8"/>
    <w:rsid w:val="00671F79"/>
    <w:rsid w:val="006733EF"/>
    <w:rsid w:val="00677E5A"/>
    <w:rsid w:val="006810D8"/>
    <w:rsid w:val="00681F50"/>
    <w:rsid w:val="00682422"/>
    <w:rsid w:val="006824D6"/>
    <w:rsid w:val="00682E7A"/>
    <w:rsid w:val="00683E96"/>
    <w:rsid w:val="00684E7E"/>
    <w:rsid w:val="00685E22"/>
    <w:rsid w:val="00685F60"/>
    <w:rsid w:val="00686147"/>
    <w:rsid w:val="006869CE"/>
    <w:rsid w:val="00686D41"/>
    <w:rsid w:val="00686EC1"/>
    <w:rsid w:val="006907FB"/>
    <w:rsid w:val="00690F25"/>
    <w:rsid w:val="00691039"/>
    <w:rsid w:val="00691977"/>
    <w:rsid w:val="00691C9E"/>
    <w:rsid w:val="00692078"/>
    <w:rsid w:val="00692274"/>
    <w:rsid w:val="0069274E"/>
    <w:rsid w:val="006928D9"/>
    <w:rsid w:val="00692E7B"/>
    <w:rsid w:val="00692FAA"/>
    <w:rsid w:val="006943A4"/>
    <w:rsid w:val="00694B24"/>
    <w:rsid w:val="0069756F"/>
    <w:rsid w:val="006979E2"/>
    <w:rsid w:val="00697E59"/>
    <w:rsid w:val="00697FB5"/>
    <w:rsid w:val="006A145B"/>
    <w:rsid w:val="006A25D0"/>
    <w:rsid w:val="006A2F6B"/>
    <w:rsid w:val="006A366C"/>
    <w:rsid w:val="006A4904"/>
    <w:rsid w:val="006A6362"/>
    <w:rsid w:val="006A66F0"/>
    <w:rsid w:val="006B1669"/>
    <w:rsid w:val="006B1EB6"/>
    <w:rsid w:val="006B21C1"/>
    <w:rsid w:val="006B2724"/>
    <w:rsid w:val="006B27AD"/>
    <w:rsid w:val="006B3083"/>
    <w:rsid w:val="006B33E0"/>
    <w:rsid w:val="006B34A0"/>
    <w:rsid w:val="006B4051"/>
    <w:rsid w:val="006B40AF"/>
    <w:rsid w:val="006B45C8"/>
    <w:rsid w:val="006B4970"/>
    <w:rsid w:val="006B4C45"/>
    <w:rsid w:val="006B6596"/>
    <w:rsid w:val="006C019E"/>
    <w:rsid w:val="006C0FBD"/>
    <w:rsid w:val="006C2489"/>
    <w:rsid w:val="006C2FB0"/>
    <w:rsid w:val="006C3A4D"/>
    <w:rsid w:val="006C3FBE"/>
    <w:rsid w:val="006C5B65"/>
    <w:rsid w:val="006C5BDA"/>
    <w:rsid w:val="006C5C75"/>
    <w:rsid w:val="006C641D"/>
    <w:rsid w:val="006C73AB"/>
    <w:rsid w:val="006C76B4"/>
    <w:rsid w:val="006C799B"/>
    <w:rsid w:val="006D04D3"/>
    <w:rsid w:val="006D14DF"/>
    <w:rsid w:val="006D1FBF"/>
    <w:rsid w:val="006D2111"/>
    <w:rsid w:val="006D2359"/>
    <w:rsid w:val="006D26A1"/>
    <w:rsid w:val="006D28DE"/>
    <w:rsid w:val="006D4212"/>
    <w:rsid w:val="006D4BB2"/>
    <w:rsid w:val="006D58A1"/>
    <w:rsid w:val="006D5999"/>
    <w:rsid w:val="006D67AA"/>
    <w:rsid w:val="006D7082"/>
    <w:rsid w:val="006D732F"/>
    <w:rsid w:val="006D753E"/>
    <w:rsid w:val="006D77B8"/>
    <w:rsid w:val="006E0247"/>
    <w:rsid w:val="006E2133"/>
    <w:rsid w:val="006E2AA3"/>
    <w:rsid w:val="006E2B92"/>
    <w:rsid w:val="006E2BA4"/>
    <w:rsid w:val="006E420F"/>
    <w:rsid w:val="006E4935"/>
    <w:rsid w:val="006E4B7F"/>
    <w:rsid w:val="006E5D42"/>
    <w:rsid w:val="006E6B7F"/>
    <w:rsid w:val="006E6CEA"/>
    <w:rsid w:val="006E6F6D"/>
    <w:rsid w:val="006E75F1"/>
    <w:rsid w:val="006E76D2"/>
    <w:rsid w:val="006F035B"/>
    <w:rsid w:val="006F0F45"/>
    <w:rsid w:val="006F302D"/>
    <w:rsid w:val="006F4772"/>
    <w:rsid w:val="006F50B2"/>
    <w:rsid w:val="006F5203"/>
    <w:rsid w:val="006F58A0"/>
    <w:rsid w:val="006F59D6"/>
    <w:rsid w:val="006F5FEC"/>
    <w:rsid w:val="006F6DC7"/>
    <w:rsid w:val="006F73E8"/>
    <w:rsid w:val="006F79C0"/>
    <w:rsid w:val="00701000"/>
    <w:rsid w:val="0070191A"/>
    <w:rsid w:val="007023C3"/>
    <w:rsid w:val="007031A9"/>
    <w:rsid w:val="007032B5"/>
    <w:rsid w:val="00703D0A"/>
    <w:rsid w:val="007045BE"/>
    <w:rsid w:val="00704FEA"/>
    <w:rsid w:val="00705865"/>
    <w:rsid w:val="00705A7D"/>
    <w:rsid w:val="00706869"/>
    <w:rsid w:val="00706E49"/>
    <w:rsid w:val="007070E8"/>
    <w:rsid w:val="007077D5"/>
    <w:rsid w:val="00707913"/>
    <w:rsid w:val="0070793B"/>
    <w:rsid w:val="00707C39"/>
    <w:rsid w:val="007100CC"/>
    <w:rsid w:val="00710262"/>
    <w:rsid w:val="007104C4"/>
    <w:rsid w:val="00710B96"/>
    <w:rsid w:val="007119F5"/>
    <w:rsid w:val="00711CC9"/>
    <w:rsid w:val="00711D4A"/>
    <w:rsid w:val="00711E6E"/>
    <w:rsid w:val="00712917"/>
    <w:rsid w:val="00712FF4"/>
    <w:rsid w:val="00713B99"/>
    <w:rsid w:val="00714789"/>
    <w:rsid w:val="00715DBF"/>
    <w:rsid w:val="00716A4F"/>
    <w:rsid w:val="00717697"/>
    <w:rsid w:val="00717E67"/>
    <w:rsid w:val="007206E1"/>
    <w:rsid w:val="007208BC"/>
    <w:rsid w:val="00721616"/>
    <w:rsid w:val="00722B12"/>
    <w:rsid w:val="007242E4"/>
    <w:rsid w:val="00724786"/>
    <w:rsid w:val="00726CB2"/>
    <w:rsid w:val="0072715D"/>
    <w:rsid w:val="00727842"/>
    <w:rsid w:val="00727B92"/>
    <w:rsid w:val="00730660"/>
    <w:rsid w:val="00730D23"/>
    <w:rsid w:val="00731576"/>
    <w:rsid w:val="0073170F"/>
    <w:rsid w:val="00731779"/>
    <w:rsid w:val="00732B95"/>
    <w:rsid w:val="00732FF9"/>
    <w:rsid w:val="007341FF"/>
    <w:rsid w:val="0073426C"/>
    <w:rsid w:val="00734495"/>
    <w:rsid w:val="007347D3"/>
    <w:rsid w:val="007350E3"/>
    <w:rsid w:val="007351A7"/>
    <w:rsid w:val="00735392"/>
    <w:rsid w:val="00735BAC"/>
    <w:rsid w:val="0074059A"/>
    <w:rsid w:val="007405D7"/>
    <w:rsid w:val="0074086C"/>
    <w:rsid w:val="00742238"/>
    <w:rsid w:val="007434C5"/>
    <w:rsid w:val="007442E2"/>
    <w:rsid w:val="00744360"/>
    <w:rsid w:val="007444C2"/>
    <w:rsid w:val="007448FC"/>
    <w:rsid w:val="00745A7F"/>
    <w:rsid w:val="00745B22"/>
    <w:rsid w:val="007464DE"/>
    <w:rsid w:val="007465EF"/>
    <w:rsid w:val="00747556"/>
    <w:rsid w:val="007503DB"/>
    <w:rsid w:val="007506DF"/>
    <w:rsid w:val="0075070D"/>
    <w:rsid w:val="00750E4C"/>
    <w:rsid w:val="007516CA"/>
    <w:rsid w:val="00751DF6"/>
    <w:rsid w:val="007532FD"/>
    <w:rsid w:val="00753590"/>
    <w:rsid w:val="00754A0E"/>
    <w:rsid w:val="00754B7C"/>
    <w:rsid w:val="00755EC2"/>
    <w:rsid w:val="00755FA8"/>
    <w:rsid w:val="00756CF2"/>
    <w:rsid w:val="00757D94"/>
    <w:rsid w:val="00757E87"/>
    <w:rsid w:val="00761668"/>
    <w:rsid w:val="00761E34"/>
    <w:rsid w:val="00763009"/>
    <w:rsid w:val="0076372A"/>
    <w:rsid w:val="00763DB9"/>
    <w:rsid w:val="00764F1A"/>
    <w:rsid w:val="00765920"/>
    <w:rsid w:val="007662C3"/>
    <w:rsid w:val="00766656"/>
    <w:rsid w:val="0076686A"/>
    <w:rsid w:val="007704BD"/>
    <w:rsid w:val="00771694"/>
    <w:rsid w:val="00772994"/>
    <w:rsid w:val="00773C31"/>
    <w:rsid w:val="00773C93"/>
    <w:rsid w:val="007741B1"/>
    <w:rsid w:val="00774CDC"/>
    <w:rsid w:val="00774D54"/>
    <w:rsid w:val="007757A8"/>
    <w:rsid w:val="00775874"/>
    <w:rsid w:val="0077724D"/>
    <w:rsid w:val="00777918"/>
    <w:rsid w:val="00777DEE"/>
    <w:rsid w:val="00777E78"/>
    <w:rsid w:val="0078027E"/>
    <w:rsid w:val="00780409"/>
    <w:rsid w:val="00780414"/>
    <w:rsid w:val="00781513"/>
    <w:rsid w:val="007819FF"/>
    <w:rsid w:val="00782393"/>
    <w:rsid w:val="00783887"/>
    <w:rsid w:val="00783892"/>
    <w:rsid w:val="007838BD"/>
    <w:rsid w:val="00784329"/>
    <w:rsid w:val="0078555A"/>
    <w:rsid w:val="007865D6"/>
    <w:rsid w:val="00787FE4"/>
    <w:rsid w:val="00791069"/>
    <w:rsid w:val="00791421"/>
    <w:rsid w:val="00791D6C"/>
    <w:rsid w:val="007923F0"/>
    <w:rsid w:val="007937D1"/>
    <w:rsid w:val="00794579"/>
    <w:rsid w:val="0079474A"/>
    <w:rsid w:val="00794CBE"/>
    <w:rsid w:val="00794D89"/>
    <w:rsid w:val="00795305"/>
    <w:rsid w:val="007953E2"/>
    <w:rsid w:val="00795A53"/>
    <w:rsid w:val="00795FC0"/>
    <w:rsid w:val="00796AE4"/>
    <w:rsid w:val="00797182"/>
    <w:rsid w:val="0079754B"/>
    <w:rsid w:val="007A0A03"/>
    <w:rsid w:val="007A176B"/>
    <w:rsid w:val="007A20AC"/>
    <w:rsid w:val="007A2843"/>
    <w:rsid w:val="007A34EC"/>
    <w:rsid w:val="007A3938"/>
    <w:rsid w:val="007A4BEE"/>
    <w:rsid w:val="007A5401"/>
    <w:rsid w:val="007A5555"/>
    <w:rsid w:val="007A66EE"/>
    <w:rsid w:val="007A6BB6"/>
    <w:rsid w:val="007A7E19"/>
    <w:rsid w:val="007A7E46"/>
    <w:rsid w:val="007B0F81"/>
    <w:rsid w:val="007B134A"/>
    <w:rsid w:val="007B2672"/>
    <w:rsid w:val="007B2FC1"/>
    <w:rsid w:val="007B2FEF"/>
    <w:rsid w:val="007B3E1B"/>
    <w:rsid w:val="007B475A"/>
    <w:rsid w:val="007B48BC"/>
    <w:rsid w:val="007B4DB7"/>
    <w:rsid w:val="007B5375"/>
    <w:rsid w:val="007B67C4"/>
    <w:rsid w:val="007B68F3"/>
    <w:rsid w:val="007B6D98"/>
    <w:rsid w:val="007B6DF6"/>
    <w:rsid w:val="007B6E84"/>
    <w:rsid w:val="007B75FD"/>
    <w:rsid w:val="007C07B8"/>
    <w:rsid w:val="007C0BB3"/>
    <w:rsid w:val="007C1B8F"/>
    <w:rsid w:val="007C1F0F"/>
    <w:rsid w:val="007C371B"/>
    <w:rsid w:val="007C3D90"/>
    <w:rsid w:val="007C4022"/>
    <w:rsid w:val="007C43E3"/>
    <w:rsid w:val="007C5246"/>
    <w:rsid w:val="007C6429"/>
    <w:rsid w:val="007C724D"/>
    <w:rsid w:val="007D010F"/>
    <w:rsid w:val="007D0818"/>
    <w:rsid w:val="007D3750"/>
    <w:rsid w:val="007D5A1A"/>
    <w:rsid w:val="007D722E"/>
    <w:rsid w:val="007D7511"/>
    <w:rsid w:val="007D7545"/>
    <w:rsid w:val="007D76FE"/>
    <w:rsid w:val="007D7A9C"/>
    <w:rsid w:val="007D7E55"/>
    <w:rsid w:val="007E1129"/>
    <w:rsid w:val="007E1BE8"/>
    <w:rsid w:val="007E1DB9"/>
    <w:rsid w:val="007E1FBC"/>
    <w:rsid w:val="007E303A"/>
    <w:rsid w:val="007E3372"/>
    <w:rsid w:val="007E402A"/>
    <w:rsid w:val="007E62E4"/>
    <w:rsid w:val="007E67EF"/>
    <w:rsid w:val="007E68EC"/>
    <w:rsid w:val="007E75FA"/>
    <w:rsid w:val="007E7DAA"/>
    <w:rsid w:val="007F055D"/>
    <w:rsid w:val="007F101C"/>
    <w:rsid w:val="007F2F54"/>
    <w:rsid w:val="007F371D"/>
    <w:rsid w:val="007F3B1D"/>
    <w:rsid w:val="007F4DC7"/>
    <w:rsid w:val="007F4DF4"/>
    <w:rsid w:val="007F5FC2"/>
    <w:rsid w:val="007F758F"/>
    <w:rsid w:val="007F7654"/>
    <w:rsid w:val="00800455"/>
    <w:rsid w:val="0080081E"/>
    <w:rsid w:val="0080141E"/>
    <w:rsid w:val="00801F61"/>
    <w:rsid w:val="008028E8"/>
    <w:rsid w:val="0080376C"/>
    <w:rsid w:val="00803C6F"/>
    <w:rsid w:val="00803E62"/>
    <w:rsid w:val="0080400E"/>
    <w:rsid w:val="00804782"/>
    <w:rsid w:val="00806327"/>
    <w:rsid w:val="008063DC"/>
    <w:rsid w:val="00806669"/>
    <w:rsid w:val="00807892"/>
    <w:rsid w:val="00807E81"/>
    <w:rsid w:val="00807E8B"/>
    <w:rsid w:val="00807F5A"/>
    <w:rsid w:val="008101A0"/>
    <w:rsid w:val="00810C08"/>
    <w:rsid w:val="0081154E"/>
    <w:rsid w:val="008128D6"/>
    <w:rsid w:val="0081291D"/>
    <w:rsid w:val="008134CF"/>
    <w:rsid w:val="00813874"/>
    <w:rsid w:val="008142B7"/>
    <w:rsid w:val="00814E17"/>
    <w:rsid w:val="0081521A"/>
    <w:rsid w:val="008157CF"/>
    <w:rsid w:val="008157D7"/>
    <w:rsid w:val="00815D76"/>
    <w:rsid w:val="00817529"/>
    <w:rsid w:val="008179E0"/>
    <w:rsid w:val="00817A74"/>
    <w:rsid w:val="00817DD2"/>
    <w:rsid w:val="008205FD"/>
    <w:rsid w:val="00820A6B"/>
    <w:rsid w:val="00821717"/>
    <w:rsid w:val="00821739"/>
    <w:rsid w:val="008219DA"/>
    <w:rsid w:val="00821D28"/>
    <w:rsid w:val="00821D3A"/>
    <w:rsid w:val="00823F65"/>
    <w:rsid w:val="00824756"/>
    <w:rsid w:val="0082490D"/>
    <w:rsid w:val="00825E60"/>
    <w:rsid w:val="008301AD"/>
    <w:rsid w:val="00830D8A"/>
    <w:rsid w:val="00831396"/>
    <w:rsid w:val="00831D9E"/>
    <w:rsid w:val="0083233A"/>
    <w:rsid w:val="008328E1"/>
    <w:rsid w:val="00832FB4"/>
    <w:rsid w:val="008335A5"/>
    <w:rsid w:val="008338F7"/>
    <w:rsid w:val="00833CD3"/>
    <w:rsid w:val="00834786"/>
    <w:rsid w:val="00835E12"/>
    <w:rsid w:val="00836346"/>
    <w:rsid w:val="0083696C"/>
    <w:rsid w:val="00836DB4"/>
    <w:rsid w:val="00836F00"/>
    <w:rsid w:val="0083719B"/>
    <w:rsid w:val="00837394"/>
    <w:rsid w:val="00837982"/>
    <w:rsid w:val="00837C5E"/>
    <w:rsid w:val="00837E8B"/>
    <w:rsid w:val="008414E4"/>
    <w:rsid w:val="008415AE"/>
    <w:rsid w:val="0084175A"/>
    <w:rsid w:val="00841AF9"/>
    <w:rsid w:val="0084200B"/>
    <w:rsid w:val="00844E67"/>
    <w:rsid w:val="008452D9"/>
    <w:rsid w:val="008454CA"/>
    <w:rsid w:val="0084622F"/>
    <w:rsid w:val="00846912"/>
    <w:rsid w:val="0084731E"/>
    <w:rsid w:val="00847A62"/>
    <w:rsid w:val="008508A4"/>
    <w:rsid w:val="00850EEE"/>
    <w:rsid w:val="008515AF"/>
    <w:rsid w:val="00851BAF"/>
    <w:rsid w:val="00852955"/>
    <w:rsid w:val="00853385"/>
    <w:rsid w:val="00854D0E"/>
    <w:rsid w:val="00855C35"/>
    <w:rsid w:val="00856312"/>
    <w:rsid w:val="00856928"/>
    <w:rsid w:val="00856E2A"/>
    <w:rsid w:val="0085760F"/>
    <w:rsid w:val="008603F5"/>
    <w:rsid w:val="008616D3"/>
    <w:rsid w:val="0086186F"/>
    <w:rsid w:val="008631CE"/>
    <w:rsid w:val="0086424E"/>
    <w:rsid w:val="008644B7"/>
    <w:rsid w:val="00864C51"/>
    <w:rsid w:val="00864F35"/>
    <w:rsid w:val="00867582"/>
    <w:rsid w:val="008678DE"/>
    <w:rsid w:val="00867EC2"/>
    <w:rsid w:val="00870347"/>
    <w:rsid w:val="008703CC"/>
    <w:rsid w:val="00872020"/>
    <w:rsid w:val="0087209F"/>
    <w:rsid w:val="008735C4"/>
    <w:rsid w:val="00873CB9"/>
    <w:rsid w:val="00873FDB"/>
    <w:rsid w:val="00874505"/>
    <w:rsid w:val="00874589"/>
    <w:rsid w:val="00874AA7"/>
    <w:rsid w:val="0087580A"/>
    <w:rsid w:val="00875BAD"/>
    <w:rsid w:val="00875C65"/>
    <w:rsid w:val="00876000"/>
    <w:rsid w:val="00876041"/>
    <w:rsid w:val="00876DE4"/>
    <w:rsid w:val="00876E65"/>
    <w:rsid w:val="00877051"/>
    <w:rsid w:val="00877AF6"/>
    <w:rsid w:val="00880AA1"/>
    <w:rsid w:val="00881B87"/>
    <w:rsid w:val="00882A50"/>
    <w:rsid w:val="00882ABF"/>
    <w:rsid w:val="00883754"/>
    <w:rsid w:val="00883B24"/>
    <w:rsid w:val="00884775"/>
    <w:rsid w:val="008847E9"/>
    <w:rsid w:val="00885999"/>
    <w:rsid w:val="00886160"/>
    <w:rsid w:val="008876C2"/>
    <w:rsid w:val="00890193"/>
    <w:rsid w:val="00890589"/>
    <w:rsid w:val="00891115"/>
    <w:rsid w:val="00891693"/>
    <w:rsid w:val="00893CA1"/>
    <w:rsid w:val="00894F07"/>
    <w:rsid w:val="0089547B"/>
    <w:rsid w:val="0089557C"/>
    <w:rsid w:val="00895F89"/>
    <w:rsid w:val="00896067"/>
    <w:rsid w:val="0089656D"/>
    <w:rsid w:val="00897738"/>
    <w:rsid w:val="008A0A70"/>
    <w:rsid w:val="008A30B4"/>
    <w:rsid w:val="008A397E"/>
    <w:rsid w:val="008A4708"/>
    <w:rsid w:val="008A47C6"/>
    <w:rsid w:val="008A4899"/>
    <w:rsid w:val="008A5771"/>
    <w:rsid w:val="008A58AD"/>
    <w:rsid w:val="008A5E30"/>
    <w:rsid w:val="008A611A"/>
    <w:rsid w:val="008A6C2B"/>
    <w:rsid w:val="008A7204"/>
    <w:rsid w:val="008A7BDE"/>
    <w:rsid w:val="008B0024"/>
    <w:rsid w:val="008B13F3"/>
    <w:rsid w:val="008B25FB"/>
    <w:rsid w:val="008B38C6"/>
    <w:rsid w:val="008B39F8"/>
    <w:rsid w:val="008B3AAD"/>
    <w:rsid w:val="008B4210"/>
    <w:rsid w:val="008B4294"/>
    <w:rsid w:val="008B4F32"/>
    <w:rsid w:val="008B514D"/>
    <w:rsid w:val="008B5568"/>
    <w:rsid w:val="008B67F0"/>
    <w:rsid w:val="008B6AD7"/>
    <w:rsid w:val="008B7295"/>
    <w:rsid w:val="008B78AF"/>
    <w:rsid w:val="008B7FA3"/>
    <w:rsid w:val="008C06E9"/>
    <w:rsid w:val="008C1385"/>
    <w:rsid w:val="008C2955"/>
    <w:rsid w:val="008C2B41"/>
    <w:rsid w:val="008C301F"/>
    <w:rsid w:val="008C3886"/>
    <w:rsid w:val="008C4C46"/>
    <w:rsid w:val="008C5875"/>
    <w:rsid w:val="008C6917"/>
    <w:rsid w:val="008C73A8"/>
    <w:rsid w:val="008C766B"/>
    <w:rsid w:val="008C782F"/>
    <w:rsid w:val="008C79B3"/>
    <w:rsid w:val="008C7A28"/>
    <w:rsid w:val="008D077D"/>
    <w:rsid w:val="008D07BE"/>
    <w:rsid w:val="008D1106"/>
    <w:rsid w:val="008D19A7"/>
    <w:rsid w:val="008D1B38"/>
    <w:rsid w:val="008D2370"/>
    <w:rsid w:val="008D2AE5"/>
    <w:rsid w:val="008D2D30"/>
    <w:rsid w:val="008D489A"/>
    <w:rsid w:val="008D5079"/>
    <w:rsid w:val="008D5960"/>
    <w:rsid w:val="008D6788"/>
    <w:rsid w:val="008E0211"/>
    <w:rsid w:val="008E09E9"/>
    <w:rsid w:val="008E1680"/>
    <w:rsid w:val="008E182B"/>
    <w:rsid w:val="008E1E22"/>
    <w:rsid w:val="008E2939"/>
    <w:rsid w:val="008E2D49"/>
    <w:rsid w:val="008E44F4"/>
    <w:rsid w:val="008E54B3"/>
    <w:rsid w:val="008E5EE6"/>
    <w:rsid w:val="008E5F72"/>
    <w:rsid w:val="008E65A2"/>
    <w:rsid w:val="008E67B1"/>
    <w:rsid w:val="008E6B33"/>
    <w:rsid w:val="008E7555"/>
    <w:rsid w:val="008E7B46"/>
    <w:rsid w:val="008E7EAF"/>
    <w:rsid w:val="008F0910"/>
    <w:rsid w:val="008F2028"/>
    <w:rsid w:val="008F36F3"/>
    <w:rsid w:val="008F3747"/>
    <w:rsid w:val="008F3922"/>
    <w:rsid w:val="008F4AF4"/>
    <w:rsid w:val="008F4C53"/>
    <w:rsid w:val="008F58A9"/>
    <w:rsid w:val="008F5B89"/>
    <w:rsid w:val="008F6205"/>
    <w:rsid w:val="008F67FE"/>
    <w:rsid w:val="008F69C1"/>
    <w:rsid w:val="008F6D6A"/>
    <w:rsid w:val="008F75FA"/>
    <w:rsid w:val="008F78BA"/>
    <w:rsid w:val="008F78C5"/>
    <w:rsid w:val="00901D3C"/>
    <w:rsid w:val="00901F76"/>
    <w:rsid w:val="00902D48"/>
    <w:rsid w:val="00903B40"/>
    <w:rsid w:val="00903DDC"/>
    <w:rsid w:val="00904294"/>
    <w:rsid w:val="009046FB"/>
    <w:rsid w:val="00904D65"/>
    <w:rsid w:val="00904DF9"/>
    <w:rsid w:val="009056B6"/>
    <w:rsid w:val="009057D7"/>
    <w:rsid w:val="00906F3C"/>
    <w:rsid w:val="009076F6"/>
    <w:rsid w:val="0091012C"/>
    <w:rsid w:val="009115DE"/>
    <w:rsid w:val="00911DF7"/>
    <w:rsid w:val="00911E19"/>
    <w:rsid w:val="009123AD"/>
    <w:rsid w:val="009134AA"/>
    <w:rsid w:val="0091369C"/>
    <w:rsid w:val="009141B4"/>
    <w:rsid w:val="009141BF"/>
    <w:rsid w:val="009143BA"/>
    <w:rsid w:val="009157E7"/>
    <w:rsid w:val="009163E9"/>
    <w:rsid w:val="009165B4"/>
    <w:rsid w:val="0092075B"/>
    <w:rsid w:val="009217A3"/>
    <w:rsid w:val="00921911"/>
    <w:rsid w:val="00922C92"/>
    <w:rsid w:val="00923935"/>
    <w:rsid w:val="00923E28"/>
    <w:rsid w:val="00924BA7"/>
    <w:rsid w:val="00924CE0"/>
    <w:rsid w:val="00924DB0"/>
    <w:rsid w:val="009251C7"/>
    <w:rsid w:val="009261A9"/>
    <w:rsid w:val="00926867"/>
    <w:rsid w:val="00926B30"/>
    <w:rsid w:val="00926D3D"/>
    <w:rsid w:val="00927D0A"/>
    <w:rsid w:val="009305CC"/>
    <w:rsid w:val="0093072B"/>
    <w:rsid w:val="0093117A"/>
    <w:rsid w:val="0093258A"/>
    <w:rsid w:val="009336D2"/>
    <w:rsid w:val="009346B0"/>
    <w:rsid w:val="00934891"/>
    <w:rsid w:val="009360CC"/>
    <w:rsid w:val="009360D2"/>
    <w:rsid w:val="00936C5B"/>
    <w:rsid w:val="00937AA5"/>
    <w:rsid w:val="0094033E"/>
    <w:rsid w:val="00940810"/>
    <w:rsid w:val="00942200"/>
    <w:rsid w:val="009437FF"/>
    <w:rsid w:val="00945011"/>
    <w:rsid w:val="00946122"/>
    <w:rsid w:val="00947105"/>
    <w:rsid w:val="00951B59"/>
    <w:rsid w:val="00951C79"/>
    <w:rsid w:val="00951DF7"/>
    <w:rsid w:val="00951FD6"/>
    <w:rsid w:val="009522AC"/>
    <w:rsid w:val="00952D2C"/>
    <w:rsid w:val="009536E4"/>
    <w:rsid w:val="009542CA"/>
    <w:rsid w:val="00954E4F"/>
    <w:rsid w:val="00955B3A"/>
    <w:rsid w:val="00955BC3"/>
    <w:rsid w:val="00955F15"/>
    <w:rsid w:val="0095619C"/>
    <w:rsid w:val="00956F14"/>
    <w:rsid w:val="00957623"/>
    <w:rsid w:val="00957E77"/>
    <w:rsid w:val="0096031B"/>
    <w:rsid w:val="009607AC"/>
    <w:rsid w:val="0096252E"/>
    <w:rsid w:val="009629B3"/>
    <w:rsid w:val="00962AD4"/>
    <w:rsid w:val="00962E63"/>
    <w:rsid w:val="00962F07"/>
    <w:rsid w:val="00963463"/>
    <w:rsid w:val="00963F6D"/>
    <w:rsid w:val="00964A69"/>
    <w:rsid w:val="009653C7"/>
    <w:rsid w:val="00965E7D"/>
    <w:rsid w:val="0096794F"/>
    <w:rsid w:val="009700E5"/>
    <w:rsid w:val="0097016C"/>
    <w:rsid w:val="00970FA0"/>
    <w:rsid w:val="00970FB1"/>
    <w:rsid w:val="009717A2"/>
    <w:rsid w:val="009717E5"/>
    <w:rsid w:val="0097262C"/>
    <w:rsid w:val="009733E0"/>
    <w:rsid w:val="009736A2"/>
    <w:rsid w:val="00973C39"/>
    <w:rsid w:val="00973EA5"/>
    <w:rsid w:val="00973EB8"/>
    <w:rsid w:val="0097549C"/>
    <w:rsid w:val="009765CF"/>
    <w:rsid w:val="009801E5"/>
    <w:rsid w:val="009804F2"/>
    <w:rsid w:val="00980A55"/>
    <w:rsid w:val="00980B26"/>
    <w:rsid w:val="00980FB4"/>
    <w:rsid w:val="00981ED2"/>
    <w:rsid w:val="00982EBE"/>
    <w:rsid w:val="00983C35"/>
    <w:rsid w:val="00985210"/>
    <w:rsid w:val="009872B3"/>
    <w:rsid w:val="00987461"/>
    <w:rsid w:val="00990D72"/>
    <w:rsid w:val="00991567"/>
    <w:rsid w:val="00991EF0"/>
    <w:rsid w:val="00993937"/>
    <w:rsid w:val="009956A8"/>
    <w:rsid w:val="009964A0"/>
    <w:rsid w:val="00996597"/>
    <w:rsid w:val="0099694E"/>
    <w:rsid w:val="00996B54"/>
    <w:rsid w:val="00996C78"/>
    <w:rsid w:val="009973AD"/>
    <w:rsid w:val="009973AF"/>
    <w:rsid w:val="009A0014"/>
    <w:rsid w:val="009A0231"/>
    <w:rsid w:val="009A0699"/>
    <w:rsid w:val="009A0E32"/>
    <w:rsid w:val="009A1B22"/>
    <w:rsid w:val="009A1F1A"/>
    <w:rsid w:val="009A24CD"/>
    <w:rsid w:val="009A2616"/>
    <w:rsid w:val="009A33D7"/>
    <w:rsid w:val="009A379A"/>
    <w:rsid w:val="009A3A1A"/>
    <w:rsid w:val="009A3C15"/>
    <w:rsid w:val="009A4417"/>
    <w:rsid w:val="009A45CA"/>
    <w:rsid w:val="009A4783"/>
    <w:rsid w:val="009A5484"/>
    <w:rsid w:val="009A57AC"/>
    <w:rsid w:val="009A68FE"/>
    <w:rsid w:val="009A7783"/>
    <w:rsid w:val="009A7B3C"/>
    <w:rsid w:val="009B01AB"/>
    <w:rsid w:val="009B167A"/>
    <w:rsid w:val="009B1F6B"/>
    <w:rsid w:val="009B27EA"/>
    <w:rsid w:val="009B3013"/>
    <w:rsid w:val="009B38CC"/>
    <w:rsid w:val="009B4211"/>
    <w:rsid w:val="009B4F4B"/>
    <w:rsid w:val="009B5885"/>
    <w:rsid w:val="009B66E5"/>
    <w:rsid w:val="009B7E27"/>
    <w:rsid w:val="009B7E76"/>
    <w:rsid w:val="009C05B6"/>
    <w:rsid w:val="009C2CA0"/>
    <w:rsid w:val="009C2EB0"/>
    <w:rsid w:val="009C38A6"/>
    <w:rsid w:val="009C54CB"/>
    <w:rsid w:val="009C7325"/>
    <w:rsid w:val="009C788B"/>
    <w:rsid w:val="009D0F45"/>
    <w:rsid w:val="009D1C08"/>
    <w:rsid w:val="009D1CD4"/>
    <w:rsid w:val="009D24CF"/>
    <w:rsid w:val="009D3297"/>
    <w:rsid w:val="009D4F76"/>
    <w:rsid w:val="009D565E"/>
    <w:rsid w:val="009D751B"/>
    <w:rsid w:val="009D75F6"/>
    <w:rsid w:val="009D78E6"/>
    <w:rsid w:val="009D7A20"/>
    <w:rsid w:val="009E0589"/>
    <w:rsid w:val="009E0C01"/>
    <w:rsid w:val="009E1981"/>
    <w:rsid w:val="009E1EC6"/>
    <w:rsid w:val="009E1F2A"/>
    <w:rsid w:val="009E2450"/>
    <w:rsid w:val="009E2BDE"/>
    <w:rsid w:val="009E431A"/>
    <w:rsid w:val="009E4828"/>
    <w:rsid w:val="009E4A3D"/>
    <w:rsid w:val="009E4B73"/>
    <w:rsid w:val="009E4BAC"/>
    <w:rsid w:val="009E52E2"/>
    <w:rsid w:val="009E5387"/>
    <w:rsid w:val="009E54CF"/>
    <w:rsid w:val="009E5D78"/>
    <w:rsid w:val="009E6959"/>
    <w:rsid w:val="009E6FA7"/>
    <w:rsid w:val="009E711C"/>
    <w:rsid w:val="009F05F9"/>
    <w:rsid w:val="009F0C0F"/>
    <w:rsid w:val="009F0C35"/>
    <w:rsid w:val="009F0F10"/>
    <w:rsid w:val="009F1326"/>
    <w:rsid w:val="009F16D5"/>
    <w:rsid w:val="009F1743"/>
    <w:rsid w:val="009F18DA"/>
    <w:rsid w:val="009F1A21"/>
    <w:rsid w:val="009F1A7A"/>
    <w:rsid w:val="009F2308"/>
    <w:rsid w:val="009F269D"/>
    <w:rsid w:val="009F29B5"/>
    <w:rsid w:val="009F2FC8"/>
    <w:rsid w:val="009F356A"/>
    <w:rsid w:val="009F3B03"/>
    <w:rsid w:val="009F402E"/>
    <w:rsid w:val="009F4574"/>
    <w:rsid w:val="009F4A45"/>
    <w:rsid w:val="009F4EB3"/>
    <w:rsid w:val="009F522E"/>
    <w:rsid w:val="009F54E2"/>
    <w:rsid w:val="009F57DB"/>
    <w:rsid w:val="009F5C60"/>
    <w:rsid w:val="009F63E3"/>
    <w:rsid w:val="009F66B3"/>
    <w:rsid w:val="009F6761"/>
    <w:rsid w:val="009F72B2"/>
    <w:rsid w:val="009F76F0"/>
    <w:rsid w:val="00A01245"/>
    <w:rsid w:val="00A018D8"/>
    <w:rsid w:val="00A02022"/>
    <w:rsid w:val="00A0224A"/>
    <w:rsid w:val="00A0250D"/>
    <w:rsid w:val="00A02B24"/>
    <w:rsid w:val="00A0512C"/>
    <w:rsid w:val="00A051C8"/>
    <w:rsid w:val="00A05576"/>
    <w:rsid w:val="00A0637E"/>
    <w:rsid w:val="00A071D9"/>
    <w:rsid w:val="00A1000A"/>
    <w:rsid w:val="00A103F4"/>
    <w:rsid w:val="00A10C50"/>
    <w:rsid w:val="00A117A6"/>
    <w:rsid w:val="00A126B7"/>
    <w:rsid w:val="00A13E17"/>
    <w:rsid w:val="00A13F64"/>
    <w:rsid w:val="00A14825"/>
    <w:rsid w:val="00A1593B"/>
    <w:rsid w:val="00A160BF"/>
    <w:rsid w:val="00A16648"/>
    <w:rsid w:val="00A168EA"/>
    <w:rsid w:val="00A16931"/>
    <w:rsid w:val="00A169EB"/>
    <w:rsid w:val="00A16FDB"/>
    <w:rsid w:val="00A179B2"/>
    <w:rsid w:val="00A2019C"/>
    <w:rsid w:val="00A2048A"/>
    <w:rsid w:val="00A21921"/>
    <w:rsid w:val="00A21C14"/>
    <w:rsid w:val="00A22938"/>
    <w:rsid w:val="00A22975"/>
    <w:rsid w:val="00A23260"/>
    <w:rsid w:val="00A23CCB"/>
    <w:rsid w:val="00A23F56"/>
    <w:rsid w:val="00A25A88"/>
    <w:rsid w:val="00A261D5"/>
    <w:rsid w:val="00A26B5C"/>
    <w:rsid w:val="00A26C65"/>
    <w:rsid w:val="00A27692"/>
    <w:rsid w:val="00A27AF4"/>
    <w:rsid w:val="00A30AC7"/>
    <w:rsid w:val="00A31F82"/>
    <w:rsid w:val="00A3218F"/>
    <w:rsid w:val="00A33E15"/>
    <w:rsid w:val="00A33F15"/>
    <w:rsid w:val="00A3413C"/>
    <w:rsid w:val="00A34230"/>
    <w:rsid w:val="00A34C87"/>
    <w:rsid w:val="00A350D0"/>
    <w:rsid w:val="00A35274"/>
    <w:rsid w:val="00A3648C"/>
    <w:rsid w:val="00A36722"/>
    <w:rsid w:val="00A3769B"/>
    <w:rsid w:val="00A37E95"/>
    <w:rsid w:val="00A40548"/>
    <w:rsid w:val="00A40640"/>
    <w:rsid w:val="00A4087E"/>
    <w:rsid w:val="00A40C1F"/>
    <w:rsid w:val="00A430DA"/>
    <w:rsid w:val="00A431DD"/>
    <w:rsid w:val="00A43321"/>
    <w:rsid w:val="00A4338B"/>
    <w:rsid w:val="00A44A1B"/>
    <w:rsid w:val="00A45E96"/>
    <w:rsid w:val="00A4628E"/>
    <w:rsid w:val="00A47CF7"/>
    <w:rsid w:val="00A47DBC"/>
    <w:rsid w:val="00A5001C"/>
    <w:rsid w:val="00A50C07"/>
    <w:rsid w:val="00A514C8"/>
    <w:rsid w:val="00A51570"/>
    <w:rsid w:val="00A51A21"/>
    <w:rsid w:val="00A51CF3"/>
    <w:rsid w:val="00A51D4F"/>
    <w:rsid w:val="00A52A17"/>
    <w:rsid w:val="00A54F0A"/>
    <w:rsid w:val="00A55322"/>
    <w:rsid w:val="00A556E3"/>
    <w:rsid w:val="00A56277"/>
    <w:rsid w:val="00A56554"/>
    <w:rsid w:val="00A5660C"/>
    <w:rsid w:val="00A56828"/>
    <w:rsid w:val="00A56CA0"/>
    <w:rsid w:val="00A56FEE"/>
    <w:rsid w:val="00A57B66"/>
    <w:rsid w:val="00A60073"/>
    <w:rsid w:val="00A60613"/>
    <w:rsid w:val="00A60BBB"/>
    <w:rsid w:val="00A619B0"/>
    <w:rsid w:val="00A62977"/>
    <w:rsid w:val="00A634E6"/>
    <w:rsid w:val="00A63543"/>
    <w:rsid w:val="00A6424B"/>
    <w:rsid w:val="00A656D2"/>
    <w:rsid w:val="00A658E3"/>
    <w:rsid w:val="00A67696"/>
    <w:rsid w:val="00A67777"/>
    <w:rsid w:val="00A678F2"/>
    <w:rsid w:val="00A67B33"/>
    <w:rsid w:val="00A70394"/>
    <w:rsid w:val="00A7094A"/>
    <w:rsid w:val="00A70D80"/>
    <w:rsid w:val="00A71533"/>
    <w:rsid w:val="00A72604"/>
    <w:rsid w:val="00A72844"/>
    <w:rsid w:val="00A72C6F"/>
    <w:rsid w:val="00A73DAE"/>
    <w:rsid w:val="00A741DA"/>
    <w:rsid w:val="00A7438E"/>
    <w:rsid w:val="00A74EDA"/>
    <w:rsid w:val="00A75673"/>
    <w:rsid w:val="00A76605"/>
    <w:rsid w:val="00A76A8C"/>
    <w:rsid w:val="00A777EB"/>
    <w:rsid w:val="00A812E8"/>
    <w:rsid w:val="00A8310F"/>
    <w:rsid w:val="00A838D3"/>
    <w:rsid w:val="00A83993"/>
    <w:rsid w:val="00A848C0"/>
    <w:rsid w:val="00A84E35"/>
    <w:rsid w:val="00A8757F"/>
    <w:rsid w:val="00A8768F"/>
    <w:rsid w:val="00A87B8D"/>
    <w:rsid w:val="00A87CFA"/>
    <w:rsid w:val="00A9092A"/>
    <w:rsid w:val="00A90C9B"/>
    <w:rsid w:val="00A91D94"/>
    <w:rsid w:val="00A923F4"/>
    <w:rsid w:val="00A93AC7"/>
    <w:rsid w:val="00A94546"/>
    <w:rsid w:val="00A94A4E"/>
    <w:rsid w:val="00A955F2"/>
    <w:rsid w:val="00A964ED"/>
    <w:rsid w:val="00A96B69"/>
    <w:rsid w:val="00A96B72"/>
    <w:rsid w:val="00A97114"/>
    <w:rsid w:val="00A97318"/>
    <w:rsid w:val="00AA0BD9"/>
    <w:rsid w:val="00AA2326"/>
    <w:rsid w:val="00AA23EE"/>
    <w:rsid w:val="00AA2796"/>
    <w:rsid w:val="00AA2B24"/>
    <w:rsid w:val="00AA3A8A"/>
    <w:rsid w:val="00AA3AAF"/>
    <w:rsid w:val="00AA3C44"/>
    <w:rsid w:val="00AA3F9E"/>
    <w:rsid w:val="00AA43AA"/>
    <w:rsid w:val="00AA44CC"/>
    <w:rsid w:val="00AA47AB"/>
    <w:rsid w:val="00AA4CC1"/>
    <w:rsid w:val="00AA4EF8"/>
    <w:rsid w:val="00AA6091"/>
    <w:rsid w:val="00AA66B6"/>
    <w:rsid w:val="00AA71B3"/>
    <w:rsid w:val="00AA7D9C"/>
    <w:rsid w:val="00AB0803"/>
    <w:rsid w:val="00AB088D"/>
    <w:rsid w:val="00AB0C9D"/>
    <w:rsid w:val="00AB1191"/>
    <w:rsid w:val="00AB2191"/>
    <w:rsid w:val="00AB27F4"/>
    <w:rsid w:val="00AB3D56"/>
    <w:rsid w:val="00AB48E0"/>
    <w:rsid w:val="00AB4927"/>
    <w:rsid w:val="00AB5145"/>
    <w:rsid w:val="00AB5934"/>
    <w:rsid w:val="00AB6891"/>
    <w:rsid w:val="00AB78B3"/>
    <w:rsid w:val="00AB79B1"/>
    <w:rsid w:val="00AC1454"/>
    <w:rsid w:val="00AC1619"/>
    <w:rsid w:val="00AC2541"/>
    <w:rsid w:val="00AC2AD5"/>
    <w:rsid w:val="00AC2E44"/>
    <w:rsid w:val="00AC31A8"/>
    <w:rsid w:val="00AC36AF"/>
    <w:rsid w:val="00AC403C"/>
    <w:rsid w:val="00AC4495"/>
    <w:rsid w:val="00AC5451"/>
    <w:rsid w:val="00AC5993"/>
    <w:rsid w:val="00AC5E54"/>
    <w:rsid w:val="00AC6B0E"/>
    <w:rsid w:val="00AC7A52"/>
    <w:rsid w:val="00AD00FE"/>
    <w:rsid w:val="00AD0DE3"/>
    <w:rsid w:val="00AD153B"/>
    <w:rsid w:val="00AD1989"/>
    <w:rsid w:val="00AD1BAD"/>
    <w:rsid w:val="00AD2108"/>
    <w:rsid w:val="00AD2653"/>
    <w:rsid w:val="00AD3271"/>
    <w:rsid w:val="00AD540E"/>
    <w:rsid w:val="00AD601C"/>
    <w:rsid w:val="00AD63BD"/>
    <w:rsid w:val="00AD662A"/>
    <w:rsid w:val="00AD6942"/>
    <w:rsid w:val="00AD6988"/>
    <w:rsid w:val="00AD6A9B"/>
    <w:rsid w:val="00AE0BF5"/>
    <w:rsid w:val="00AE158D"/>
    <w:rsid w:val="00AE199D"/>
    <w:rsid w:val="00AE3145"/>
    <w:rsid w:val="00AE420F"/>
    <w:rsid w:val="00AE45A7"/>
    <w:rsid w:val="00AE4FA6"/>
    <w:rsid w:val="00AE504D"/>
    <w:rsid w:val="00AE56E8"/>
    <w:rsid w:val="00AE654C"/>
    <w:rsid w:val="00AF06DE"/>
    <w:rsid w:val="00AF1116"/>
    <w:rsid w:val="00AF117E"/>
    <w:rsid w:val="00AF1D59"/>
    <w:rsid w:val="00AF326A"/>
    <w:rsid w:val="00AF6B28"/>
    <w:rsid w:val="00B00FC2"/>
    <w:rsid w:val="00B015F5"/>
    <w:rsid w:val="00B017EC"/>
    <w:rsid w:val="00B01916"/>
    <w:rsid w:val="00B02F25"/>
    <w:rsid w:val="00B0398D"/>
    <w:rsid w:val="00B03CD1"/>
    <w:rsid w:val="00B0416D"/>
    <w:rsid w:val="00B0421A"/>
    <w:rsid w:val="00B04600"/>
    <w:rsid w:val="00B04A6D"/>
    <w:rsid w:val="00B05F14"/>
    <w:rsid w:val="00B060C4"/>
    <w:rsid w:val="00B06736"/>
    <w:rsid w:val="00B06A6D"/>
    <w:rsid w:val="00B10870"/>
    <w:rsid w:val="00B1092F"/>
    <w:rsid w:val="00B117B7"/>
    <w:rsid w:val="00B13251"/>
    <w:rsid w:val="00B1532E"/>
    <w:rsid w:val="00B17031"/>
    <w:rsid w:val="00B17A04"/>
    <w:rsid w:val="00B20C15"/>
    <w:rsid w:val="00B20F0F"/>
    <w:rsid w:val="00B21F3B"/>
    <w:rsid w:val="00B22337"/>
    <w:rsid w:val="00B2329D"/>
    <w:rsid w:val="00B2367B"/>
    <w:rsid w:val="00B23716"/>
    <w:rsid w:val="00B24374"/>
    <w:rsid w:val="00B24377"/>
    <w:rsid w:val="00B24424"/>
    <w:rsid w:val="00B2600E"/>
    <w:rsid w:val="00B26769"/>
    <w:rsid w:val="00B26AAC"/>
    <w:rsid w:val="00B26B44"/>
    <w:rsid w:val="00B27F62"/>
    <w:rsid w:val="00B30BCE"/>
    <w:rsid w:val="00B30D42"/>
    <w:rsid w:val="00B30F5B"/>
    <w:rsid w:val="00B31DF6"/>
    <w:rsid w:val="00B32693"/>
    <w:rsid w:val="00B328A5"/>
    <w:rsid w:val="00B34252"/>
    <w:rsid w:val="00B363F3"/>
    <w:rsid w:val="00B36C11"/>
    <w:rsid w:val="00B37ECB"/>
    <w:rsid w:val="00B4041D"/>
    <w:rsid w:val="00B408A9"/>
    <w:rsid w:val="00B41472"/>
    <w:rsid w:val="00B417A0"/>
    <w:rsid w:val="00B4180C"/>
    <w:rsid w:val="00B4204A"/>
    <w:rsid w:val="00B42550"/>
    <w:rsid w:val="00B430A2"/>
    <w:rsid w:val="00B44E48"/>
    <w:rsid w:val="00B465DD"/>
    <w:rsid w:val="00B47857"/>
    <w:rsid w:val="00B50818"/>
    <w:rsid w:val="00B5106A"/>
    <w:rsid w:val="00B51A16"/>
    <w:rsid w:val="00B51C0C"/>
    <w:rsid w:val="00B52B6C"/>
    <w:rsid w:val="00B52BC7"/>
    <w:rsid w:val="00B53707"/>
    <w:rsid w:val="00B53742"/>
    <w:rsid w:val="00B54B35"/>
    <w:rsid w:val="00B54B5C"/>
    <w:rsid w:val="00B55325"/>
    <w:rsid w:val="00B55874"/>
    <w:rsid w:val="00B56A7F"/>
    <w:rsid w:val="00B57196"/>
    <w:rsid w:val="00B606DA"/>
    <w:rsid w:val="00B60A8C"/>
    <w:rsid w:val="00B60E25"/>
    <w:rsid w:val="00B60FC4"/>
    <w:rsid w:val="00B61E6A"/>
    <w:rsid w:val="00B62658"/>
    <w:rsid w:val="00B62ED0"/>
    <w:rsid w:val="00B63143"/>
    <w:rsid w:val="00B6318B"/>
    <w:rsid w:val="00B640BA"/>
    <w:rsid w:val="00B6417D"/>
    <w:rsid w:val="00B645F6"/>
    <w:rsid w:val="00B64BCB"/>
    <w:rsid w:val="00B64DED"/>
    <w:rsid w:val="00B656FE"/>
    <w:rsid w:val="00B6598E"/>
    <w:rsid w:val="00B65DE6"/>
    <w:rsid w:val="00B66403"/>
    <w:rsid w:val="00B667E9"/>
    <w:rsid w:val="00B670F2"/>
    <w:rsid w:val="00B676C2"/>
    <w:rsid w:val="00B67A3C"/>
    <w:rsid w:val="00B70662"/>
    <w:rsid w:val="00B7093A"/>
    <w:rsid w:val="00B70CF5"/>
    <w:rsid w:val="00B70D4E"/>
    <w:rsid w:val="00B72780"/>
    <w:rsid w:val="00B7365A"/>
    <w:rsid w:val="00B73714"/>
    <w:rsid w:val="00B73946"/>
    <w:rsid w:val="00B74AD2"/>
    <w:rsid w:val="00B757DA"/>
    <w:rsid w:val="00B75A4C"/>
    <w:rsid w:val="00B80307"/>
    <w:rsid w:val="00B80D30"/>
    <w:rsid w:val="00B80FA3"/>
    <w:rsid w:val="00B813B8"/>
    <w:rsid w:val="00B8167D"/>
    <w:rsid w:val="00B8285F"/>
    <w:rsid w:val="00B82E64"/>
    <w:rsid w:val="00B84646"/>
    <w:rsid w:val="00B853C8"/>
    <w:rsid w:val="00B85468"/>
    <w:rsid w:val="00B866E4"/>
    <w:rsid w:val="00B86CD3"/>
    <w:rsid w:val="00B8705F"/>
    <w:rsid w:val="00B87418"/>
    <w:rsid w:val="00B87AD9"/>
    <w:rsid w:val="00B87D7D"/>
    <w:rsid w:val="00B907F8"/>
    <w:rsid w:val="00B91CA5"/>
    <w:rsid w:val="00B938E6"/>
    <w:rsid w:val="00B940E4"/>
    <w:rsid w:val="00B9501A"/>
    <w:rsid w:val="00B95B74"/>
    <w:rsid w:val="00B95DF0"/>
    <w:rsid w:val="00B96C16"/>
    <w:rsid w:val="00BA0628"/>
    <w:rsid w:val="00BA101F"/>
    <w:rsid w:val="00BA346A"/>
    <w:rsid w:val="00BA458E"/>
    <w:rsid w:val="00BA52F0"/>
    <w:rsid w:val="00BA5B62"/>
    <w:rsid w:val="00BA7A1C"/>
    <w:rsid w:val="00BA7D1B"/>
    <w:rsid w:val="00BB06F9"/>
    <w:rsid w:val="00BB0F00"/>
    <w:rsid w:val="00BB0FE1"/>
    <w:rsid w:val="00BB11C2"/>
    <w:rsid w:val="00BB14D9"/>
    <w:rsid w:val="00BB17AB"/>
    <w:rsid w:val="00BB1F00"/>
    <w:rsid w:val="00BB234C"/>
    <w:rsid w:val="00BB29B2"/>
    <w:rsid w:val="00BB305F"/>
    <w:rsid w:val="00BB3AD1"/>
    <w:rsid w:val="00BB3C1D"/>
    <w:rsid w:val="00BB4C33"/>
    <w:rsid w:val="00BB4F3F"/>
    <w:rsid w:val="00BB50C1"/>
    <w:rsid w:val="00BB5105"/>
    <w:rsid w:val="00BB662D"/>
    <w:rsid w:val="00BB6C36"/>
    <w:rsid w:val="00BB71AA"/>
    <w:rsid w:val="00BB7572"/>
    <w:rsid w:val="00BB7F74"/>
    <w:rsid w:val="00BC135C"/>
    <w:rsid w:val="00BC1F59"/>
    <w:rsid w:val="00BC277F"/>
    <w:rsid w:val="00BC31B9"/>
    <w:rsid w:val="00BC3215"/>
    <w:rsid w:val="00BC3EBC"/>
    <w:rsid w:val="00BC412C"/>
    <w:rsid w:val="00BC4DE1"/>
    <w:rsid w:val="00BC5CD2"/>
    <w:rsid w:val="00BC6A36"/>
    <w:rsid w:val="00BC6B01"/>
    <w:rsid w:val="00BC7C6D"/>
    <w:rsid w:val="00BC7F45"/>
    <w:rsid w:val="00BD0553"/>
    <w:rsid w:val="00BD0ED8"/>
    <w:rsid w:val="00BD1B1C"/>
    <w:rsid w:val="00BD2251"/>
    <w:rsid w:val="00BD2B62"/>
    <w:rsid w:val="00BD2C7F"/>
    <w:rsid w:val="00BD2CDE"/>
    <w:rsid w:val="00BD3BC3"/>
    <w:rsid w:val="00BD44AC"/>
    <w:rsid w:val="00BD45CC"/>
    <w:rsid w:val="00BD48E7"/>
    <w:rsid w:val="00BD4D3B"/>
    <w:rsid w:val="00BD552C"/>
    <w:rsid w:val="00BD6A77"/>
    <w:rsid w:val="00BD72BE"/>
    <w:rsid w:val="00BD7592"/>
    <w:rsid w:val="00BE0B5F"/>
    <w:rsid w:val="00BE0C00"/>
    <w:rsid w:val="00BE0C12"/>
    <w:rsid w:val="00BE0CDA"/>
    <w:rsid w:val="00BE0E7D"/>
    <w:rsid w:val="00BE166D"/>
    <w:rsid w:val="00BE21AD"/>
    <w:rsid w:val="00BE2A67"/>
    <w:rsid w:val="00BE301E"/>
    <w:rsid w:val="00BE337B"/>
    <w:rsid w:val="00BE35FB"/>
    <w:rsid w:val="00BE3BFB"/>
    <w:rsid w:val="00BE40AD"/>
    <w:rsid w:val="00BE459F"/>
    <w:rsid w:val="00BE4864"/>
    <w:rsid w:val="00BE566D"/>
    <w:rsid w:val="00BE5A96"/>
    <w:rsid w:val="00BE79F5"/>
    <w:rsid w:val="00BE7B45"/>
    <w:rsid w:val="00BF15EE"/>
    <w:rsid w:val="00BF1688"/>
    <w:rsid w:val="00BF18FF"/>
    <w:rsid w:val="00BF2B16"/>
    <w:rsid w:val="00BF2F75"/>
    <w:rsid w:val="00BF346E"/>
    <w:rsid w:val="00BF4BC5"/>
    <w:rsid w:val="00BF541C"/>
    <w:rsid w:val="00BF590A"/>
    <w:rsid w:val="00BF6092"/>
    <w:rsid w:val="00BF6C14"/>
    <w:rsid w:val="00BF78F1"/>
    <w:rsid w:val="00C005C4"/>
    <w:rsid w:val="00C0232B"/>
    <w:rsid w:val="00C02B08"/>
    <w:rsid w:val="00C03551"/>
    <w:rsid w:val="00C043BC"/>
    <w:rsid w:val="00C04DF5"/>
    <w:rsid w:val="00C061CE"/>
    <w:rsid w:val="00C07324"/>
    <w:rsid w:val="00C1119A"/>
    <w:rsid w:val="00C11FA2"/>
    <w:rsid w:val="00C12870"/>
    <w:rsid w:val="00C13B80"/>
    <w:rsid w:val="00C13D1E"/>
    <w:rsid w:val="00C142BC"/>
    <w:rsid w:val="00C14932"/>
    <w:rsid w:val="00C14EE6"/>
    <w:rsid w:val="00C15ECF"/>
    <w:rsid w:val="00C15F7A"/>
    <w:rsid w:val="00C16481"/>
    <w:rsid w:val="00C16A7D"/>
    <w:rsid w:val="00C1714D"/>
    <w:rsid w:val="00C17229"/>
    <w:rsid w:val="00C2017D"/>
    <w:rsid w:val="00C203FE"/>
    <w:rsid w:val="00C2071C"/>
    <w:rsid w:val="00C20E61"/>
    <w:rsid w:val="00C210F2"/>
    <w:rsid w:val="00C22838"/>
    <w:rsid w:val="00C249CD"/>
    <w:rsid w:val="00C26241"/>
    <w:rsid w:val="00C3004D"/>
    <w:rsid w:val="00C30403"/>
    <w:rsid w:val="00C306F8"/>
    <w:rsid w:val="00C308AF"/>
    <w:rsid w:val="00C30BFB"/>
    <w:rsid w:val="00C323FE"/>
    <w:rsid w:val="00C32713"/>
    <w:rsid w:val="00C33286"/>
    <w:rsid w:val="00C33597"/>
    <w:rsid w:val="00C33E8E"/>
    <w:rsid w:val="00C344F1"/>
    <w:rsid w:val="00C34CDB"/>
    <w:rsid w:val="00C3563E"/>
    <w:rsid w:val="00C35A99"/>
    <w:rsid w:val="00C35B20"/>
    <w:rsid w:val="00C36C79"/>
    <w:rsid w:val="00C40B63"/>
    <w:rsid w:val="00C40F67"/>
    <w:rsid w:val="00C411E2"/>
    <w:rsid w:val="00C41269"/>
    <w:rsid w:val="00C41D02"/>
    <w:rsid w:val="00C431D4"/>
    <w:rsid w:val="00C435BA"/>
    <w:rsid w:val="00C43EDC"/>
    <w:rsid w:val="00C4457C"/>
    <w:rsid w:val="00C44652"/>
    <w:rsid w:val="00C44A40"/>
    <w:rsid w:val="00C46C1B"/>
    <w:rsid w:val="00C47971"/>
    <w:rsid w:val="00C50123"/>
    <w:rsid w:val="00C5035E"/>
    <w:rsid w:val="00C50827"/>
    <w:rsid w:val="00C50B3A"/>
    <w:rsid w:val="00C50DA7"/>
    <w:rsid w:val="00C51212"/>
    <w:rsid w:val="00C51B0E"/>
    <w:rsid w:val="00C53200"/>
    <w:rsid w:val="00C5331A"/>
    <w:rsid w:val="00C53AFB"/>
    <w:rsid w:val="00C540D6"/>
    <w:rsid w:val="00C54356"/>
    <w:rsid w:val="00C5497E"/>
    <w:rsid w:val="00C55D9F"/>
    <w:rsid w:val="00C56914"/>
    <w:rsid w:val="00C602CF"/>
    <w:rsid w:val="00C604D4"/>
    <w:rsid w:val="00C60E06"/>
    <w:rsid w:val="00C60E65"/>
    <w:rsid w:val="00C6108A"/>
    <w:rsid w:val="00C61C23"/>
    <w:rsid w:val="00C6273F"/>
    <w:rsid w:val="00C6277C"/>
    <w:rsid w:val="00C629A7"/>
    <w:rsid w:val="00C62D8F"/>
    <w:rsid w:val="00C62DEE"/>
    <w:rsid w:val="00C63CCA"/>
    <w:rsid w:val="00C66332"/>
    <w:rsid w:val="00C66879"/>
    <w:rsid w:val="00C71BA8"/>
    <w:rsid w:val="00C71ECC"/>
    <w:rsid w:val="00C732CA"/>
    <w:rsid w:val="00C73781"/>
    <w:rsid w:val="00C74074"/>
    <w:rsid w:val="00C76C85"/>
    <w:rsid w:val="00C76DD6"/>
    <w:rsid w:val="00C811FC"/>
    <w:rsid w:val="00C81E26"/>
    <w:rsid w:val="00C83731"/>
    <w:rsid w:val="00C83DA9"/>
    <w:rsid w:val="00C8401B"/>
    <w:rsid w:val="00C844A1"/>
    <w:rsid w:val="00C852E1"/>
    <w:rsid w:val="00C85734"/>
    <w:rsid w:val="00C85A12"/>
    <w:rsid w:val="00C86AE7"/>
    <w:rsid w:val="00C8793D"/>
    <w:rsid w:val="00C87B4C"/>
    <w:rsid w:val="00C92646"/>
    <w:rsid w:val="00C927FA"/>
    <w:rsid w:val="00C93010"/>
    <w:rsid w:val="00C93C62"/>
    <w:rsid w:val="00C93DF4"/>
    <w:rsid w:val="00C93F56"/>
    <w:rsid w:val="00C94388"/>
    <w:rsid w:val="00C95374"/>
    <w:rsid w:val="00C955C9"/>
    <w:rsid w:val="00C97329"/>
    <w:rsid w:val="00C973E8"/>
    <w:rsid w:val="00C976D3"/>
    <w:rsid w:val="00C97CF1"/>
    <w:rsid w:val="00CA0772"/>
    <w:rsid w:val="00CA0F7D"/>
    <w:rsid w:val="00CA311F"/>
    <w:rsid w:val="00CA38A5"/>
    <w:rsid w:val="00CA410F"/>
    <w:rsid w:val="00CA4386"/>
    <w:rsid w:val="00CA482C"/>
    <w:rsid w:val="00CA4D4E"/>
    <w:rsid w:val="00CA55C5"/>
    <w:rsid w:val="00CA5A30"/>
    <w:rsid w:val="00CA6D6B"/>
    <w:rsid w:val="00CB1485"/>
    <w:rsid w:val="00CB1F05"/>
    <w:rsid w:val="00CB29B6"/>
    <w:rsid w:val="00CB38A4"/>
    <w:rsid w:val="00CB3952"/>
    <w:rsid w:val="00CB3B53"/>
    <w:rsid w:val="00CB5643"/>
    <w:rsid w:val="00CB5809"/>
    <w:rsid w:val="00CB5FA1"/>
    <w:rsid w:val="00CB62DE"/>
    <w:rsid w:val="00CB7254"/>
    <w:rsid w:val="00CC112C"/>
    <w:rsid w:val="00CC12AD"/>
    <w:rsid w:val="00CC131D"/>
    <w:rsid w:val="00CC1429"/>
    <w:rsid w:val="00CC233D"/>
    <w:rsid w:val="00CC2AA6"/>
    <w:rsid w:val="00CC3057"/>
    <w:rsid w:val="00CC36D0"/>
    <w:rsid w:val="00CC4090"/>
    <w:rsid w:val="00CC4386"/>
    <w:rsid w:val="00CD0739"/>
    <w:rsid w:val="00CD0764"/>
    <w:rsid w:val="00CD09C2"/>
    <w:rsid w:val="00CD1E29"/>
    <w:rsid w:val="00CD1EB3"/>
    <w:rsid w:val="00CD366E"/>
    <w:rsid w:val="00CD3CAD"/>
    <w:rsid w:val="00CD3F4A"/>
    <w:rsid w:val="00CD48A7"/>
    <w:rsid w:val="00CD4AC1"/>
    <w:rsid w:val="00CD5751"/>
    <w:rsid w:val="00CD5C66"/>
    <w:rsid w:val="00CD5DDE"/>
    <w:rsid w:val="00CD74E6"/>
    <w:rsid w:val="00CE1B37"/>
    <w:rsid w:val="00CE21DD"/>
    <w:rsid w:val="00CE2659"/>
    <w:rsid w:val="00CE5422"/>
    <w:rsid w:val="00CE5A0F"/>
    <w:rsid w:val="00CE5DDD"/>
    <w:rsid w:val="00CE5F03"/>
    <w:rsid w:val="00CE6F18"/>
    <w:rsid w:val="00CE6FAD"/>
    <w:rsid w:val="00CE7000"/>
    <w:rsid w:val="00CE7FDF"/>
    <w:rsid w:val="00CF19E6"/>
    <w:rsid w:val="00CF234F"/>
    <w:rsid w:val="00CF26A9"/>
    <w:rsid w:val="00CF28F6"/>
    <w:rsid w:val="00CF2F05"/>
    <w:rsid w:val="00CF31E1"/>
    <w:rsid w:val="00CF4FA7"/>
    <w:rsid w:val="00CF5849"/>
    <w:rsid w:val="00CF5A52"/>
    <w:rsid w:val="00CF6C28"/>
    <w:rsid w:val="00CF6D3B"/>
    <w:rsid w:val="00CF785D"/>
    <w:rsid w:val="00CF7A10"/>
    <w:rsid w:val="00D007E1"/>
    <w:rsid w:val="00D01968"/>
    <w:rsid w:val="00D01FFF"/>
    <w:rsid w:val="00D03DD1"/>
    <w:rsid w:val="00D04321"/>
    <w:rsid w:val="00D04E89"/>
    <w:rsid w:val="00D05104"/>
    <w:rsid w:val="00D0521C"/>
    <w:rsid w:val="00D052C9"/>
    <w:rsid w:val="00D063A5"/>
    <w:rsid w:val="00D06662"/>
    <w:rsid w:val="00D06AAB"/>
    <w:rsid w:val="00D07B90"/>
    <w:rsid w:val="00D07DA1"/>
    <w:rsid w:val="00D100DF"/>
    <w:rsid w:val="00D1028B"/>
    <w:rsid w:val="00D11684"/>
    <w:rsid w:val="00D11DB7"/>
    <w:rsid w:val="00D13325"/>
    <w:rsid w:val="00D13F75"/>
    <w:rsid w:val="00D14014"/>
    <w:rsid w:val="00D147F8"/>
    <w:rsid w:val="00D1587B"/>
    <w:rsid w:val="00D15B57"/>
    <w:rsid w:val="00D16449"/>
    <w:rsid w:val="00D164B6"/>
    <w:rsid w:val="00D1771D"/>
    <w:rsid w:val="00D2192B"/>
    <w:rsid w:val="00D22D93"/>
    <w:rsid w:val="00D2363E"/>
    <w:rsid w:val="00D241CF"/>
    <w:rsid w:val="00D24429"/>
    <w:rsid w:val="00D2443E"/>
    <w:rsid w:val="00D24616"/>
    <w:rsid w:val="00D268C6"/>
    <w:rsid w:val="00D270A6"/>
    <w:rsid w:val="00D270BE"/>
    <w:rsid w:val="00D2751A"/>
    <w:rsid w:val="00D30979"/>
    <w:rsid w:val="00D313EB"/>
    <w:rsid w:val="00D316AC"/>
    <w:rsid w:val="00D31C4D"/>
    <w:rsid w:val="00D31F78"/>
    <w:rsid w:val="00D3240B"/>
    <w:rsid w:val="00D329F5"/>
    <w:rsid w:val="00D32C20"/>
    <w:rsid w:val="00D34100"/>
    <w:rsid w:val="00D349DF"/>
    <w:rsid w:val="00D3556C"/>
    <w:rsid w:val="00D3596A"/>
    <w:rsid w:val="00D37281"/>
    <w:rsid w:val="00D40510"/>
    <w:rsid w:val="00D40D8C"/>
    <w:rsid w:val="00D423F5"/>
    <w:rsid w:val="00D42485"/>
    <w:rsid w:val="00D42ECB"/>
    <w:rsid w:val="00D43CFD"/>
    <w:rsid w:val="00D4520B"/>
    <w:rsid w:val="00D453FD"/>
    <w:rsid w:val="00D455A5"/>
    <w:rsid w:val="00D458CD"/>
    <w:rsid w:val="00D45E39"/>
    <w:rsid w:val="00D473F7"/>
    <w:rsid w:val="00D47FEE"/>
    <w:rsid w:val="00D507AB"/>
    <w:rsid w:val="00D50FB8"/>
    <w:rsid w:val="00D51532"/>
    <w:rsid w:val="00D52B79"/>
    <w:rsid w:val="00D546C4"/>
    <w:rsid w:val="00D55560"/>
    <w:rsid w:val="00D55DEF"/>
    <w:rsid w:val="00D56060"/>
    <w:rsid w:val="00D569F2"/>
    <w:rsid w:val="00D56C4B"/>
    <w:rsid w:val="00D57DDE"/>
    <w:rsid w:val="00D57E77"/>
    <w:rsid w:val="00D607CD"/>
    <w:rsid w:val="00D61F3A"/>
    <w:rsid w:val="00D62F8B"/>
    <w:rsid w:val="00D63BC2"/>
    <w:rsid w:val="00D63D97"/>
    <w:rsid w:val="00D63FB4"/>
    <w:rsid w:val="00D643E5"/>
    <w:rsid w:val="00D64949"/>
    <w:rsid w:val="00D64D1F"/>
    <w:rsid w:val="00D65A91"/>
    <w:rsid w:val="00D66372"/>
    <w:rsid w:val="00D66D1B"/>
    <w:rsid w:val="00D66E06"/>
    <w:rsid w:val="00D672D5"/>
    <w:rsid w:val="00D6748C"/>
    <w:rsid w:val="00D6750A"/>
    <w:rsid w:val="00D679DB"/>
    <w:rsid w:val="00D67A2E"/>
    <w:rsid w:val="00D702BA"/>
    <w:rsid w:val="00D70B56"/>
    <w:rsid w:val="00D71403"/>
    <w:rsid w:val="00D71EE1"/>
    <w:rsid w:val="00D72318"/>
    <w:rsid w:val="00D741DC"/>
    <w:rsid w:val="00D7430F"/>
    <w:rsid w:val="00D74562"/>
    <w:rsid w:val="00D74D99"/>
    <w:rsid w:val="00D74FB6"/>
    <w:rsid w:val="00D763F5"/>
    <w:rsid w:val="00D764FE"/>
    <w:rsid w:val="00D80956"/>
    <w:rsid w:val="00D81000"/>
    <w:rsid w:val="00D82778"/>
    <w:rsid w:val="00D82EE3"/>
    <w:rsid w:val="00D83095"/>
    <w:rsid w:val="00D83F1E"/>
    <w:rsid w:val="00D848EB"/>
    <w:rsid w:val="00D849D4"/>
    <w:rsid w:val="00D85321"/>
    <w:rsid w:val="00D859DA"/>
    <w:rsid w:val="00D86219"/>
    <w:rsid w:val="00D8660C"/>
    <w:rsid w:val="00D86B63"/>
    <w:rsid w:val="00D911CB"/>
    <w:rsid w:val="00D9178F"/>
    <w:rsid w:val="00D9188D"/>
    <w:rsid w:val="00D9307D"/>
    <w:rsid w:val="00D9326D"/>
    <w:rsid w:val="00D9402E"/>
    <w:rsid w:val="00D94A61"/>
    <w:rsid w:val="00D94E80"/>
    <w:rsid w:val="00D95226"/>
    <w:rsid w:val="00D95552"/>
    <w:rsid w:val="00D9559F"/>
    <w:rsid w:val="00D97542"/>
    <w:rsid w:val="00DA0481"/>
    <w:rsid w:val="00DA07D5"/>
    <w:rsid w:val="00DA0DC3"/>
    <w:rsid w:val="00DA10B2"/>
    <w:rsid w:val="00DA1C76"/>
    <w:rsid w:val="00DA2602"/>
    <w:rsid w:val="00DA2DCA"/>
    <w:rsid w:val="00DA42CE"/>
    <w:rsid w:val="00DA42EF"/>
    <w:rsid w:val="00DA46CF"/>
    <w:rsid w:val="00DA674E"/>
    <w:rsid w:val="00DA69E2"/>
    <w:rsid w:val="00DA6F7E"/>
    <w:rsid w:val="00DA7109"/>
    <w:rsid w:val="00DB0857"/>
    <w:rsid w:val="00DB129C"/>
    <w:rsid w:val="00DB15FC"/>
    <w:rsid w:val="00DB1969"/>
    <w:rsid w:val="00DB1BC0"/>
    <w:rsid w:val="00DB1BFD"/>
    <w:rsid w:val="00DB3341"/>
    <w:rsid w:val="00DB5FD8"/>
    <w:rsid w:val="00DB6BC2"/>
    <w:rsid w:val="00DB7D09"/>
    <w:rsid w:val="00DC0547"/>
    <w:rsid w:val="00DC1B9C"/>
    <w:rsid w:val="00DC2269"/>
    <w:rsid w:val="00DC3E7D"/>
    <w:rsid w:val="00DC4579"/>
    <w:rsid w:val="00DC4BCD"/>
    <w:rsid w:val="00DC610D"/>
    <w:rsid w:val="00DC6A58"/>
    <w:rsid w:val="00DC7172"/>
    <w:rsid w:val="00DC737D"/>
    <w:rsid w:val="00DC7768"/>
    <w:rsid w:val="00DC7981"/>
    <w:rsid w:val="00DD03B7"/>
    <w:rsid w:val="00DD0678"/>
    <w:rsid w:val="00DD085E"/>
    <w:rsid w:val="00DD0B46"/>
    <w:rsid w:val="00DD0E46"/>
    <w:rsid w:val="00DD2B46"/>
    <w:rsid w:val="00DD3987"/>
    <w:rsid w:val="00DD3990"/>
    <w:rsid w:val="00DD4146"/>
    <w:rsid w:val="00DD4AC8"/>
    <w:rsid w:val="00DD4B43"/>
    <w:rsid w:val="00DD5055"/>
    <w:rsid w:val="00DD5CEA"/>
    <w:rsid w:val="00DD5D26"/>
    <w:rsid w:val="00DD664A"/>
    <w:rsid w:val="00DD6B17"/>
    <w:rsid w:val="00DD71AC"/>
    <w:rsid w:val="00DE077D"/>
    <w:rsid w:val="00DE0D19"/>
    <w:rsid w:val="00DE1A2D"/>
    <w:rsid w:val="00DE387F"/>
    <w:rsid w:val="00DE3D59"/>
    <w:rsid w:val="00DE3FAD"/>
    <w:rsid w:val="00DE4F32"/>
    <w:rsid w:val="00DE514F"/>
    <w:rsid w:val="00DE6B8C"/>
    <w:rsid w:val="00DE72BF"/>
    <w:rsid w:val="00DE7BC6"/>
    <w:rsid w:val="00DE7F2D"/>
    <w:rsid w:val="00DF0556"/>
    <w:rsid w:val="00DF1036"/>
    <w:rsid w:val="00DF1AF3"/>
    <w:rsid w:val="00DF1F4F"/>
    <w:rsid w:val="00DF2E6A"/>
    <w:rsid w:val="00DF336C"/>
    <w:rsid w:val="00DF33AC"/>
    <w:rsid w:val="00DF3776"/>
    <w:rsid w:val="00DF4C9C"/>
    <w:rsid w:val="00DF4F22"/>
    <w:rsid w:val="00DF57D5"/>
    <w:rsid w:val="00DF5C52"/>
    <w:rsid w:val="00E000C1"/>
    <w:rsid w:val="00E00597"/>
    <w:rsid w:val="00E01151"/>
    <w:rsid w:val="00E01F97"/>
    <w:rsid w:val="00E03F12"/>
    <w:rsid w:val="00E04075"/>
    <w:rsid w:val="00E04BCE"/>
    <w:rsid w:val="00E1046F"/>
    <w:rsid w:val="00E11657"/>
    <w:rsid w:val="00E116ED"/>
    <w:rsid w:val="00E11B81"/>
    <w:rsid w:val="00E11C94"/>
    <w:rsid w:val="00E1224E"/>
    <w:rsid w:val="00E12829"/>
    <w:rsid w:val="00E13D78"/>
    <w:rsid w:val="00E14B96"/>
    <w:rsid w:val="00E15FFA"/>
    <w:rsid w:val="00E16183"/>
    <w:rsid w:val="00E16360"/>
    <w:rsid w:val="00E1695B"/>
    <w:rsid w:val="00E1740D"/>
    <w:rsid w:val="00E1785C"/>
    <w:rsid w:val="00E17BA4"/>
    <w:rsid w:val="00E20732"/>
    <w:rsid w:val="00E22B25"/>
    <w:rsid w:val="00E2524A"/>
    <w:rsid w:val="00E26D7C"/>
    <w:rsid w:val="00E303A0"/>
    <w:rsid w:val="00E303EE"/>
    <w:rsid w:val="00E304E3"/>
    <w:rsid w:val="00E3111E"/>
    <w:rsid w:val="00E31C03"/>
    <w:rsid w:val="00E32F06"/>
    <w:rsid w:val="00E33207"/>
    <w:rsid w:val="00E34968"/>
    <w:rsid w:val="00E358E5"/>
    <w:rsid w:val="00E3748C"/>
    <w:rsid w:val="00E37CC3"/>
    <w:rsid w:val="00E37FB0"/>
    <w:rsid w:val="00E400C3"/>
    <w:rsid w:val="00E4028F"/>
    <w:rsid w:val="00E40F4F"/>
    <w:rsid w:val="00E4118F"/>
    <w:rsid w:val="00E4137A"/>
    <w:rsid w:val="00E41D8C"/>
    <w:rsid w:val="00E428BE"/>
    <w:rsid w:val="00E43213"/>
    <w:rsid w:val="00E43A5C"/>
    <w:rsid w:val="00E43C39"/>
    <w:rsid w:val="00E446A2"/>
    <w:rsid w:val="00E448A6"/>
    <w:rsid w:val="00E44B0A"/>
    <w:rsid w:val="00E44EA0"/>
    <w:rsid w:val="00E45191"/>
    <w:rsid w:val="00E4519A"/>
    <w:rsid w:val="00E45917"/>
    <w:rsid w:val="00E45A7B"/>
    <w:rsid w:val="00E46A12"/>
    <w:rsid w:val="00E47B5F"/>
    <w:rsid w:val="00E47FDA"/>
    <w:rsid w:val="00E503D0"/>
    <w:rsid w:val="00E50CFD"/>
    <w:rsid w:val="00E51EF0"/>
    <w:rsid w:val="00E52793"/>
    <w:rsid w:val="00E544BE"/>
    <w:rsid w:val="00E54F01"/>
    <w:rsid w:val="00E551F6"/>
    <w:rsid w:val="00E558BA"/>
    <w:rsid w:val="00E55D65"/>
    <w:rsid w:val="00E5612E"/>
    <w:rsid w:val="00E56346"/>
    <w:rsid w:val="00E56354"/>
    <w:rsid w:val="00E5677A"/>
    <w:rsid w:val="00E56D55"/>
    <w:rsid w:val="00E56FA1"/>
    <w:rsid w:val="00E60761"/>
    <w:rsid w:val="00E60D6B"/>
    <w:rsid w:val="00E61224"/>
    <w:rsid w:val="00E61627"/>
    <w:rsid w:val="00E61BE4"/>
    <w:rsid w:val="00E6233B"/>
    <w:rsid w:val="00E62415"/>
    <w:rsid w:val="00E62B26"/>
    <w:rsid w:val="00E62E65"/>
    <w:rsid w:val="00E63420"/>
    <w:rsid w:val="00E6383E"/>
    <w:rsid w:val="00E647AF"/>
    <w:rsid w:val="00E65205"/>
    <w:rsid w:val="00E66A91"/>
    <w:rsid w:val="00E66D43"/>
    <w:rsid w:val="00E66E66"/>
    <w:rsid w:val="00E67592"/>
    <w:rsid w:val="00E67964"/>
    <w:rsid w:val="00E67C13"/>
    <w:rsid w:val="00E7078E"/>
    <w:rsid w:val="00E70FC8"/>
    <w:rsid w:val="00E7143E"/>
    <w:rsid w:val="00E71CF7"/>
    <w:rsid w:val="00E71E9F"/>
    <w:rsid w:val="00E73284"/>
    <w:rsid w:val="00E74827"/>
    <w:rsid w:val="00E75157"/>
    <w:rsid w:val="00E75E5F"/>
    <w:rsid w:val="00E76750"/>
    <w:rsid w:val="00E7721C"/>
    <w:rsid w:val="00E77B23"/>
    <w:rsid w:val="00E77D71"/>
    <w:rsid w:val="00E77F11"/>
    <w:rsid w:val="00E812C7"/>
    <w:rsid w:val="00E82890"/>
    <w:rsid w:val="00E82B95"/>
    <w:rsid w:val="00E82E38"/>
    <w:rsid w:val="00E831C8"/>
    <w:rsid w:val="00E8369A"/>
    <w:rsid w:val="00E8381C"/>
    <w:rsid w:val="00E84B47"/>
    <w:rsid w:val="00E854E8"/>
    <w:rsid w:val="00E855FF"/>
    <w:rsid w:val="00E856B1"/>
    <w:rsid w:val="00E86012"/>
    <w:rsid w:val="00E874D3"/>
    <w:rsid w:val="00E9135D"/>
    <w:rsid w:val="00E9154C"/>
    <w:rsid w:val="00E91596"/>
    <w:rsid w:val="00E91AE0"/>
    <w:rsid w:val="00E92352"/>
    <w:rsid w:val="00E93166"/>
    <w:rsid w:val="00E937C7"/>
    <w:rsid w:val="00E93D6E"/>
    <w:rsid w:val="00E941FB"/>
    <w:rsid w:val="00E94461"/>
    <w:rsid w:val="00E9454C"/>
    <w:rsid w:val="00E958F0"/>
    <w:rsid w:val="00E964AE"/>
    <w:rsid w:val="00E97161"/>
    <w:rsid w:val="00E97BCB"/>
    <w:rsid w:val="00EA0102"/>
    <w:rsid w:val="00EA0E5C"/>
    <w:rsid w:val="00EA0F15"/>
    <w:rsid w:val="00EA1D4B"/>
    <w:rsid w:val="00EA2047"/>
    <w:rsid w:val="00EA3793"/>
    <w:rsid w:val="00EA4388"/>
    <w:rsid w:val="00EA4597"/>
    <w:rsid w:val="00EA4811"/>
    <w:rsid w:val="00EA4AAD"/>
    <w:rsid w:val="00EA4C6A"/>
    <w:rsid w:val="00EA5484"/>
    <w:rsid w:val="00EA549B"/>
    <w:rsid w:val="00EA61B8"/>
    <w:rsid w:val="00EA6408"/>
    <w:rsid w:val="00EA662D"/>
    <w:rsid w:val="00EA6F5A"/>
    <w:rsid w:val="00EB0245"/>
    <w:rsid w:val="00EB0EBB"/>
    <w:rsid w:val="00EB1B13"/>
    <w:rsid w:val="00EB259D"/>
    <w:rsid w:val="00EB3103"/>
    <w:rsid w:val="00EB33B3"/>
    <w:rsid w:val="00EB387E"/>
    <w:rsid w:val="00EB4CFC"/>
    <w:rsid w:val="00EB5108"/>
    <w:rsid w:val="00EB53A4"/>
    <w:rsid w:val="00EB5A5B"/>
    <w:rsid w:val="00EB6182"/>
    <w:rsid w:val="00EB6829"/>
    <w:rsid w:val="00EB6989"/>
    <w:rsid w:val="00EC0762"/>
    <w:rsid w:val="00EC0947"/>
    <w:rsid w:val="00EC0DF6"/>
    <w:rsid w:val="00EC1161"/>
    <w:rsid w:val="00EC11BB"/>
    <w:rsid w:val="00EC14CE"/>
    <w:rsid w:val="00EC1CCF"/>
    <w:rsid w:val="00EC1EAE"/>
    <w:rsid w:val="00EC2AA9"/>
    <w:rsid w:val="00EC2C2B"/>
    <w:rsid w:val="00EC358A"/>
    <w:rsid w:val="00EC3634"/>
    <w:rsid w:val="00EC3972"/>
    <w:rsid w:val="00EC5B41"/>
    <w:rsid w:val="00EC620C"/>
    <w:rsid w:val="00EC660C"/>
    <w:rsid w:val="00ED1E56"/>
    <w:rsid w:val="00ED2698"/>
    <w:rsid w:val="00ED283A"/>
    <w:rsid w:val="00ED3FC8"/>
    <w:rsid w:val="00ED42F1"/>
    <w:rsid w:val="00ED46C0"/>
    <w:rsid w:val="00ED5D23"/>
    <w:rsid w:val="00ED5D62"/>
    <w:rsid w:val="00ED6287"/>
    <w:rsid w:val="00ED639C"/>
    <w:rsid w:val="00ED6540"/>
    <w:rsid w:val="00ED6927"/>
    <w:rsid w:val="00ED6EEC"/>
    <w:rsid w:val="00ED6FD7"/>
    <w:rsid w:val="00ED7A74"/>
    <w:rsid w:val="00EE0693"/>
    <w:rsid w:val="00EE1048"/>
    <w:rsid w:val="00EE12D2"/>
    <w:rsid w:val="00EE2AB1"/>
    <w:rsid w:val="00EE4596"/>
    <w:rsid w:val="00EE4AAE"/>
    <w:rsid w:val="00EE567D"/>
    <w:rsid w:val="00EE6875"/>
    <w:rsid w:val="00EE6948"/>
    <w:rsid w:val="00EE6BF9"/>
    <w:rsid w:val="00EE7BEC"/>
    <w:rsid w:val="00EF0637"/>
    <w:rsid w:val="00EF0677"/>
    <w:rsid w:val="00EF1B49"/>
    <w:rsid w:val="00EF225F"/>
    <w:rsid w:val="00EF47B6"/>
    <w:rsid w:val="00EF4E4D"/>
    <w:rsid w:val="00EF4E53"/>
    <w:rsid w:val="00EF508E"/>
    <w:rsid w:val="00EF5460"/>
    <w:rsid w:val="00EF57C1"/>
    <w:rsid w:val="00EF688F"/>
    <w:rsid w:val="00EF7340"/>
    <w:rsid w:val="00EF7B5C"/>
    <w:rsid w:val="00EF7E37"/>
    <w:rsid w:val="00F000ED"/>
    <w:rsid w:val="00F004C2"/>
    <w:rsid w:val="00F00BFC"/>
    <w:rsid w:val="00F01317"/>
    <w:rsid w:val="00F01B66"/>
    <w:rsid w:val="00F01B67"/>
    <w:rsid w:val="00F01EB3"/>
    <w:rsid w:val="00F025F2"/>
    <w:rsid w:val="00F028E9"/>
    <w:rsid w:val="00F03183"/>
    <w:rsid w:val="00F050CC"/>
    <w:rsid w:val="00F0554C"/>
    <w:rsid w:val="00F061D4"/>
    <w:rsid w:val="00F06782"/>
    <w:rsid w:val="00F06944"/>
    <w:rsid w:val="00F07DF0"/>
    <w:rsid w:val="00F108A6"/>
    <w:rsid w:val="00F10DB7"/>
    <w:rsid w:val="00F11055"/>
    <w:rsid w:val="00F11987"/>
    <w:rsid w:val="00F122E3"/>
    <w:rsid w:val="00F124B8"/>
    <w:rsid w:val="00F1289B"/>
    <w:rsid w:val="00F12E65"/>
    <w:rsid w:val="00F12E8B"/>
    <w:rsid w:val="00F13597"/>
    <w:rsid w:val="00F1399F"/>
    <w:rsid w:val="00F15272"/>
    <w:rsid w:val="00F15CFA"/>
    <w:rsid w:val="00F15E84"/>
    <w:rsid w:val="00F16B0D"/>
    <w:rsid w:val="00F16BB5"/>
    <w:rsid w:val="00F16CE8"/>
    <w:rsid w:val="00F17008"/>
    <w:rsid w:val="00F175B9"/>
    <w:rsid w:val="00F2054A"/>
    <w:rsid w:val="00F20FC4"/>
    <w:rsid w:val="00F24942"/>
    <w:rsid w:val="00F25616"/>
    <w:rsid w:val="00F25E9F"/>
    <w:rsid w:val="00F26919"/>
    <w:rsid w:val="00F273A2"/>
    <w:rsid w:val="00F27AC5"/>
    <w:rsid w:val="00F30200"/>
    <w:rsid w:val="00F31311"/>
    <w:rsid w:val="00F31420"/>
    <w:rsid w:val="00F31E14"/>
    <w:rsid w:val="00F32469"/>
    <w:rsid w:val="00F32889"/>
    <w:rsid w:val="00F3310A"/>
    <w:rsid w:val="00F346FA"/>
    <w:rsid w:val="00F358AE"/>
    <w:rsid w:val="00F35B55"/>
    <w:rsid w:val="00F37290"/>
    <w:rsid w:val="00F400C2"/>
    <w:rsid w:val="00F40F17"/>
    <w:rsid w:val="00F420A3"/>
    <w:rsid w:val="00F42153"/>
    <w:rsid w:val="00F423B6"/>
    <w:rsid w:val="00F4247E"/>
    <w:rsid w:val="00F439F2"/>
    <w:rsid w:val="00F43DFC"/>
    <w:rsid w:val="00F440FF"/>
    <w:rsid w:val="00F4561B"/>
    <w:rsid w:val="00F457EF"/>
    <w:rsid w:val="00F45C60"/>
    <w:rsid w:val="00F45FB7"/>
    <w:rsid w:val="00F46101"/>
    <w:rsid w:val="00F461A2"/>
    <w:rsid w:val="00F4639D"/>
    <w:rsid w:val="00F4645E"/>
    <w:rsid w:val="00F46536"/>
    <w:rsid w:val="00F46628"/>
    <w:rsid w:val="00F46660"/>
    <w:rsid w:val="00F502B2"/>
    <w:rsid w:val="00F542C1"/>
    <w:rsid w:val="00F55018"/>
    <w:rsid w:val="00F55402"/>
    <w:rsid w:val="00F5634E"/>
    <w:rsid w:val="00F56BF3"/>
    <w:rsid w:val="00F57072"/>
    <w:rsid w:val="00F608E6"/>
    <w:rsid w:val="00F621E3"/>
    <w:rsid w:val="00F62919"/>
    <w:rsid w:val="00F62C05"/>
    <w:rsid w:val="00F63049"/>
    <w:rsid w:val="00F635DA"/>
    <w:rsid w:val="00F638D6"/>
    <w:rsid w:val="00F63D70"/>
    <w:rsid w:val="00F65176"/>
    <w:rsid w:val="00F65C5D"/>
    <w:rsid w:val="00F667EC"/>
    <w:rsid w:val="00F70A8E"/>
    <w:rsid w:val="00F7653D"/>
    <w:rsid w:val="00F76D5B"/>
    <w:rsid w:val="00F76F87"/>
    <w:rsid w:val="00F8048F"/>
    <w:rsid w:val="00F80526"/>
    <w:rsid w:val="00F81441"/>
    <w:rsid w:val="00F8187A"/>
    <w:rsid w:val="00F81A9A"/>
    <w:rsid w:val="00F82F04"/>
    <w:rsid w:val="00F84389"/>
    <w:rsid w:val="00F85140"/>
    <w:rsid w:val="00F85DB3"/>
    <w:rsid w:val="00F86138"/>
    <w:rsid w:val="00F87E8F"/>
    <w:rsid w:val="00F90D9C"/>
    <w:rsid w:val="00F91559"/>
    <w:rsid w:val="00F91648"/>
    <w:rsid w:val="00F91D00"/>
    <w:rsid w:val="00F932E3"/>
    <w:rsid w:val="00F9343D"/>
    <w:rsid w:val="00F93591"/>
    <w:rsid w:val="00F937BC"/>
    <w:rsid w:val="00F93AE5"/>
    <w:rsid w:val="00F961F3"/>
    <w:rsid w:val="00F97587"/>
    <w:rsid w:val="00F9778F"/>
    <w:rsid w:val="00F97ADA"/>
    <w:rsid w:val="00F97D49"/>
    <w:rsid w:val="00FA0BCD"/>
    <w:rsid w:val="00FA0DBA"/>
    <w:rsid w:val="00FA15AE"/>
    <w:rsid w:val="00FA2249"/>
    <w:rsid w:val="00FA2BF7"/>
    <w:rsid w:val="00FA2F82"/>
    <w:rsid w:val="00FA3333"/>
    <w:rsid w:val="00FA4A17"/>
    <w:rsid w:val="00FA67CB"/>
    <w:rsid w:val="00FA6C08"/>
    <w:rsid w:val="00FA7362"/>
    <w:rsid w:val="00FA7410"/>
    <w:rsid w:val="00FA781D"/>
    <w:rsid w:val="00FB00B6"/>
    <w:rsid w:val="00FB05E0"/>
    <w:rsid w:val="00FB0738"/>
    <w:rsid w:val="00FB1E65"/>
    <w:rsid w:val="00FB23B7"/>
    <w:rsid w:val="00FB23D7"/>
    <w:rsid w:val="00FB25C4"/>
    <w:rsid w:val="00FB26CD"/>
    <w:rsid w:val="00FB40E5"/>
    <w:rsid w:val="00FB463B"/>
    <w:rsid w:val="00FB470A"/>
    <w:rsid w:val="00FB5141"/>
    <w:rsid w:val="00FB6218"/>
    <w:rsid w:val="00FB650E"/>
    <w:rsid w:val="00FB6B6D"/>
    <w:rsid w:val="00FB792A"/>
    <w:rsid w:val="00FC14E9"/>
    <w:rsid w:val="00FC1EBE"/>
    <w:rsid w:val="00FC2119"/>
    <w:rsid w:val="00FC3972"/>
    <w:rsid w:val="00FC4400"/>
    <w:rsid w:val="00FC4615"/>
    <w:rsid w:val="00FC477B"/>
    <w:rsid w:val="00FC4809"/>
    <w:rsid w:val="00FC4E37"/>
    <w:rsid w:val="00FC5B83"/>
    <w:rsid w:val="00FC631D"/>
    <w:rsid w:val="00FC6C02"/>
    <w:rsid w:val="00FC7726"/>
    <w:rsid w:val="00FC78CA"/>
    <w:rsid w:val="00FD0F9D"/>
    <w:rsid w:val="00FD0FDC"/>
    <w:rsid w:val="00FD1022"/>
    <w:rsid w:val="00FD2D84"/>
    <w:rsid w:val="00FD40AE"/>
    <w:rsid w:val="00FD4EE1"/>
    <w:rsid w:val="00FD696D"/>
    <w:rsid w:val="00FD727E"/>
    <w:rsid w:val="00FD7420"/>
    <w:rsid w:val="00FD74A3"/>
    <w:rsid w:val="00FE0132"/>
    <w:rsid w:val="00FE0B44"/>
    <w:rsid w:val="00FE12AA"/>
    <w:rsid w:val="00FE16C8"/>
    <w:rsid w:val="00FE177D"/>
    <w:rsid w:val="00FE208F"/>
    <w:rsid w:val="00FE25A6"/>
    <w:rsid w:val="00FE2A33"/>
    <w:rsid w:val="00FE354B"/>
    <w:rsid w:val="00FE3AA9"/>
    <w:rsid w:val="00FE3F7E"/>
    <w:rsid w:val="00FE505F"/>
    <w:rsid w:val="00FE559A"/>
    <w:rsid w:val="00FE5A0A"/>
    <w:rsid w:val="00FE62E5"/>
    <w:rsid w:val="00FE657A"/>
    <w:rsid w:val="00FF01B1"/>
    <w:rsid w:val="00FF0314"/>
    <w:rsid w:val="00FF0BBF"/>
    <w:rsid w:val="00FF1946"/>
    <w:rsid w:val="00FF1F65"/>
    <w:rsid w:val="00FF2091"/>
    <w:rsid w:val="00FF28B6"/>
    <w:rsid w:val="00FF2B57"/>
    <w:rsid w:val="00FF411C"/>
    <w:rsid w:val="00FF4AAF"/>
    <w:rsid w:val="00FF6015"/>
    <w:rsid w:val="00FF6701"/>
    <w:rsid w:val="00FF6B0E"/>
    <w:rsid w:val="00FF70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13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DD3"/>
    <w:rPr>
      <w:lang w:eastAsia="en-US"/>
    </w:rPr>
  </w:style>
  <w:style w:type="paragraph" w:styleId="berschrift1">
    <w:name w:val="heading 1"/>
    <w:basedOn w:val="Standard"/>
    <w:next w:val="Standard"/>
    <w:qFormat/>
    <w:rsid w:val="00460DD3"/>
    <w:pPr>
      <w:keepNext/>
      <w:jc w:val="center"/>
      <w:outlineLvl w:val="0"/>
    </w:pPr>
    <w:rPr>
      <w:b/>
      <w:bCs/>
      <w:sz w:val="24"/>
    </w:rPr>
  </w:style>
  <w:style w:type="paragraph" w:styleId="berschrift2">
    <w:name w:val="heading 2"/>
    <w:basedOn w:val="Standard"/>
    <w:next w:val="Standard"/>
    <w:qFormat/>
    <w:rsid w:val="00460DD3"/>
    <w:pPr>
      <w:keepNext/>
      <w:jc w:val="center"/>
      <w:outlineLvl w:val="1"/>
    </w:pPr>
    <w:rPr>
      <w:sz w:val="28"/>
      <w:szCs w:val="24"/>
      <w:lang w:eastAsia="ja-JP"/>
    </w:rPr>
  </w:style>
  <w:style w:type="paragraph" w:styleId="berschrift3">
    <w:name w:val="heading 3"/>
    <w:basedOn w:val="Standard"/>
    <w:next w:val="Standard"/>
    <w:qFormat/>
    <w:rsid w:val="00460DD3"/>
    <w:pPr>
      <w:keepNext/>
      <w:spacing w:line="360" w:lineRule="auto"/>
      <w:jc w:val="center"/>
      <w:outlineLvl w:val="2"/>
    </w:pPr>
    <w:rPr>
      <w:b/>
      <w:bCs/>
      <w:sz w:val="24"/>
      <w:szCs w:val="24"/>
      <w:lang w:eastAsia="ja-JP"/>
    </w:rPr>
  </w:style>
  <w:style w:type="paragraph" w:styleId="berschrift4">
    <w:name w:val="heading 4"/>
    <w:basedOn w:val="Standard"/>
    <w:next w:val="Standard"/>
    <w:qFormat/>
    <w:rsid w:val="00460DD3"/>
    <w:pPr>
      <w:keepNext/>
      <w:numPr>
        <w:numId w:val="5"/>
      </w:numPr>
      <w:spacing w:line="480" w:lineRule="auto"/>
      <w:outlineLvl w:val="3"/>
    </w:pPr>
    <w:rPr>
      <w:sz w:val="24"/>
    </w:rPr>
  </w:style>
  <w:style w:type="paragraph" w:styleId="berschrift5">
    <w:name w:val="heading 5"/>
    <w:basedOn w:val="Standard"/>
    <w:next w:val="Standard"/>
    <w:qFormat/>
    <w:rsid w:val="00460DD3"/>
    <w:pPr>
      <w:keepNext/>
      <w:spacing w:line="480" w:lineRule="auto"/>
      <w:outlineLvl w:val="4"/>
    </w:pPr>
    <w:rPr>
      <w:b/>
      <w:bCs/>
      <w:sz w:val="24"/>
    </w:rPr>
  </w:style>
  <w:style w:type="paragraph" w:styleId="berschrift6">
    <w:name w:val="heading 6"/>
    <w:basedOn w:val="Standard"/>
    <w:next w:val="Standard"/>
    <w:qFormat/>
    <w:rsid w:val="00460DD3"/>
    <w:pPr>
      <w:keepNext/>
      <w:spacing w:line="480" w:lineRule="auto"/>
      <w:outlineLvl w:val="5"/>
    </w:pPr>
    <w:rPr>
      <w:sz w:val="24"/>
    </w:rPr>
  </w:style>
  <w:style w:type="paragraph" w:styleId="berschrift7">
    <w:name w:val="heading 7"/>
    <w:basedOn w:val="Standard"/>
    <w:next w:val="Standard"/>
    <w:qFormat/>
    <w:rsid w:val="00460DD3"/>
    <w:pPr>
      <w:keepNext/>
      <w:spacing w:afterLines="50" w:line="480" w:lineRule="auto"/>
      <w:jc w:val="both"/>
      <w:outlineLvl w:val="6"/>
    </w:pPr>
    <w:rPr>
      <w:b/>
      <w:bCs/>
      <w:sz w:val="24"/>
      <w:lang w:eastAsia="ja-JP"/>
    </w:rPr>
  </w:style>
  <w:style w:type="paragraph" w:styleId="berschrift8">
    <w:name w:val="heading 8"/>
    <w:basedOn w:val="Standard"/>
    <w:next w:val="Standard"/>
    <w:qFormat/>
    <w:rsid w:val="00460DD3"/>
    <w:pPr>
      <w:keepNext/>
      <w:outlineLvl w:val="7"/>
    </w:pPr>
    <w:rPr>
      <w:sz w:val="24"/>
      <w:u w:val="single"/>
      <w:lang w:eastAsia="ja-JP"/>
    </w:rPr>
  </w:style>
  <w:style w:type="paragraph" w:styleId="berschrift9">
    <w:name w:val="heading 9"/>
    <w:basedOn w:val="Standard"/>
    <w:next w:val="Standard"/>
    <w:qFormat/>
    <w:rsid w:val="00460DD3"/>
    <w:pPr>
      <w:keepNext/>
      <w:framePr w:hSpace="180" w:wrap="notBeside" w:hAnchor="margin" w:xAlign="center" w:y="561"/>
      <w:jc w:val="cente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60DD3"/>
    <w:pPr>
      <w:widowControl w:val="0"/>
      <w:jc w:val="center"/>
    </w:pPr>
    <w:rPr>
      <w:b/>
      <w:bCs/>
      <w:kern w:val="2"/>
      <w:sz w:val="24"/>
      <w:szCs w:val="24"/>
      <w:lang w:eastAsia="ja-JP"/>
    </w:rPr>
  </w:style>
  <w:style w:type="paragraph" w:styleId="Textkrper">
    <w:name w:val="Body Text"/>
    <w:basedOn w:val="Standard"/>
    <w:rsid w:val="00460DD3"/>
    <w:pPr>
      <w:widowControl w:val="0"/>
      <w:jc w:val="both"/>
    </w:pPr>
    <w:rPr>
      <w:kern w:val="2"/>
      <w:sz w:val="24"/>
      <w:szCs w:val="24"/>
      <w:lang w:eastAsia="ja-JP"/>
    </w:rPr>
  </w:style>
  <w:style w:type="paragraph" w:styleId="Funotentext">
    <w:name w:val="footnote text"/>
    <w:basedOn w:val="Standard"/>
    <w:semiHidden/>
    <w:rsid w:val="00460DD3"/>
    <w:pPr>
      <w:widowControl w:val="0"/>
      <w:jc w:val="both"/>
    </w:pPr>
    <w:rPr>
      <w:kern w:val="2"/>
      <w:lang w:eastAsia="ja-JP"/>
    </w:rPr>
  </w:style>
  <w:style w:type="character" w:styleId="Funotenzeichen">
    <w:name w:val="footnote reference"/>
    <w:semiHidden/>
    <w:rsid w:val="00460DD3"/>
    <w:rPr>
      <w:vertAlign w:val="superscript"/>
    </w:rPr>
  </w:style>
  <w:style w:type="paragraph" w:customStyle="1" w:styleId="NumberedListItem">
    <w:name w:val="Numbered List Item"/>
    <w:basedOn w:val="Standard"/>
    <w:rsid w:val="00460DD3"/>
    <w:pPr>
      <w:numPr>
        <w:numId w:val="7"/>
      </w:numPr>
    </w:pPr>
    <w:rPr>
      <w:rFonts w:ascii="Garamond" w:hAnsi="Garamond"/>
    </w:rPr>
  </w:style>
  <w:style w:type="paragraph" w:customStyle="1" w:styleId="Non-Numberedlistitem">
    <w:name w:val="Non-Numbered list item"/>
    <w:basedOn w:val="NumberedListItem"/>
    <w:rsid w:val="00460DD3"/>
    <w:pPr>
      <w:numPr>
        <w:numId w:val="0"/>
      </w:numPr>
    </w:pPr>
  </w:style>
  <w:style w:type="paragraph" w:customStyle="1" w:styleId="Numberedlistitemspaced">
    <w:name w:val="Numbered list item (spaced)"/>
    <w:basedOn w:val="NumberedListItem"/>
    <w:rsid w:val="00460DD3"/>
    <w:pPr>
      <w:spacing w:after="120"/>
    </w:pPr>
  </w:style>
  <w:style w:type="paragraph" w:styleId="Kopfzeile">
    <w:name w:val="header"/>
    <w:basedOn w:val="Standard"/>
    <w:rsid w:val="00460DD3"/>
    <w:pPr>
      <w:tabs>
        <w:tab w:val="center" w:pos="4320"/>
        <w:tab w:val="right" w:pos="8640"/>
      </w:tabs>
    </w:pPr>
  </w:style>
  <w:style w:type="paragraph" w:styleId="Fuzeile">
    <w:name w:val="footer"/>
    <w:basedOn w:val="Standard"/>
    <w:link w:val="FuzeileZchn"/>
    <w:uiPriority w:val="99"/>
    <w:rsid w:val="00460DD3"/>
    <w:pPr>
      <w:tabs>
        <w:tab w:val="center" w:pos="4320"/>
        <w:tab w:val="right" w:pos="8640"/>
      </w:tabs>
    </w:pPr>
  </w:style>
  <w:style w:type="character" w:styleId="Seitenzahl">
    <w:name w:val="page number"/>
    <w:basedOn w:val="Absatz-Standardschriftart"/>
    <w:rsid w:val="00460DD3"/>
  </w:style>
  <w:style w:type="paragraph" w:styleId="Textkrper-Einzug2">
    <w:name w:val="Body Text Indent 2"/>
    <w:basedOn w:val="Standard"/>
    <w:rsid w:val="00460DD3"/>
    <w:pPr>
      <w:ind w:firstLine="720"/>
    </w:pPr>
    <w:rPr>
      <w:sz w:val="24"/>
      <w:szCs w:val="24"/>
    </w:rPr>
  </w:style>
  <w:style w:type="paragraph" w:customStyle="1" w:styleId="MTDisplayEquation">
    <w:name w:val="MTDisplayEquation"/>
    <w:basedOn w:val="Standard"/>
    <w:rsid w:val="00460DD3"/>
    <w:pPr>
      <w:widowControl w:val="0"/>
      <w:tabs>
        <w:tab w:val="center" w:pos="4420"/>
        <w:tab w:val="right" w:pos="8840"/>
      </w:tabs>
      <w:jc w:val="both"/>
    </w:pPr>
    <w:rPr>
      <w:kern w:val="2"/>
      <w:sz w:val="22"/>
      <w:szCs w:val="24"/>
      <w:lang w:eastAsia="ja-JP"/>
    </w:rPr>
  </w:style>
  <w:style w:type="character" w:customStyle="1" w:styleId="MTEquationSection">
    <w:name w:val="MTEquationSection"/>
    <w:rsid w:val="00460DD3"/>
    <w:rPr>
      <w:vanish/>
      <w:color w:val="FF0000"/>
    </w:rPr>
  </w:style>
  <w:style w:type="character" w:styleId="Hyperlink">
    <w:name w:val="Hyperlink"/>
    <w:rsid w:val="00460DD3"/>
    <w:rPr>
      <w:color w:val="0000FF"/>
      <w:u w:val="single"/>
    </w:rPr>
  </w:style>
  <w:style w:type="paragraph" w:styleId="Beschriftung">
    <w:name w:val="caption"/>
    <w:basedOn w:val="Standard"/>
    <w:next w:val="Standard"/>
    <w:qFormat/>
    <w:rsid w:val="00460DD3"/>
    <w:pPr>
      <w:jc w:val="center"/>
    </w:pPr>
    <w:rPr>
      <w:rFonts w:eastAsia="Times New Roman"/>
      <w:b/>
      <w:bCs/>
    </w:rPr>
  </w:style>
  <w:style w:type="paragraph" w:styleId="Textkrper-Einzug3">
    <w:name w:val="Body Text Indent 3"/>
    <w:basedOn w:val="Standard"/>
    <w:rsid w:val="00460DD3"/>
    <w:pPr>
      <w:spacing w:line="480" w:lineRule="auto"/>
      <w:ind w:leftChars="177" w:left="425"/>
      <w:jc w:val="both"/>
    </w:pPr>
    <w:rPr>
      <w:kern w:val="2"/>
      <w:sz w:val="24"/>
      <w:szCs w:val="24"/>
      <w:lang w:eastAsia="ja-JP"/>
    </w:rPr>
  </w:style>
  <w:style w:type="character" w:styleId="BesuchterHyperlink">
    <w:name w:val="FollowedHyperlink"/>
    <w:rsid w:val="00460DD3"/>
    <w:rPr>
      <w:color w:val="800080"/>
      <w:u w:val="single"/>
    </w:rPr>
  </w:style>
  <w:style w:type="paragraph" w:styleId="Textkrper2">
    <w:name w:val="Body Text 2"/>
    <w:basedOn w:val="Standard"/>
    <w:rsid w:val="00460DD3"/>
    <w:rPr>
      <w:sz w:val="24"/>
      <w:lang w:eastAsia="ja-JP"/>
    </w:rPr>
  </w:style>
  <w:style w:type="paragraph" w:styleId="Textkrper-Zeileneinzug">
    <w:name w:val="Body Text Indent"/>
    <w:basedOn w:val="Standard"/>
    <w:rsid w:val="00460DD3"/>
    <w:pPr>
      <w:spacing w:line="480" w:lineRule="auto"/>
      <w:ind w:firstLine="720"/>
      <w:jc w:val="both"/>
    </w:pPr>
    <w:rPr>
      <w:sz w:val="24"/>
      <w:lang w:eastAsia="ja-JP"/>
    </w:rPr>
  </w:style>
  <w:style w:type="paragraph" w:customStyle="1" w:styleId="BalloonText1">
    <w:name w:val="Balloon Text1"/>
    <w:basedOn w:val="Standard"/>
    <w:semiHidden/>
    <w:rsid w:val="00460DD3"/>
    <w:rPr>
      <w:rFonts w:ascii="Tahoma" w:hAnsi="Tahoma" w:cs="Tahoma"/>
      <w:sz w:val="16"/>
      <w:szCs w:val="16"/>
    </w:rPr>
  </w:style>
  <w:style w:type="paragraph" w:styleId="Endnotentext">
    <w:name w:val="endnote text"/>
    <w:basedOn w:val="Standard"/>
    <w:semiHidden/>
    <w:rsid w:val="00460DD3"/>
  </w:style>
  <w:style w:type="character" w:styleId="Endnotenzeichen">
    <w:name w:val="endnote reference"/>
    <w:semiHidden/>
    <w:rsid w:val="00460DD3"/>
    <w:rPr>
      <w:vertAlign w:val="superscript"/>
    </w:rPr>
  </w:style>
  <w:style w:type="paragraph" w:styleId="Sprechblasentext">
    <w:name w:val="Balloon Text"/>
    <w:basedOn w:val="Standard"/>
    <w:link w:val="SprechblasentextZchn"/>
    <w:uiPriority w:val="99"/>
    <w:semiHidden/>
    <w:rsid w:val="009056B6"/>
    <w:rPr>
      <w:rFonts w:ascii="Arial" w:eastAsia="MS Gothic" w:hAnsi="Arial"/>
      <w:sz w:val="18"/>
      <w:szCs w:val="18"/>
    </w:rPr>
  </w:style>
  <w:style w:type="paragraph" w:styleId="Datum">
    <w:name w:val="Date"/>
    <w:basedOn w:val="Standard"/>
    <w:next w:val="Standard"/>
    <w:rsid w:val="00433961"/>
  </w:style>
  <w:style w:type="table" w:styleId="Tabellenraster">
    <w:name w:val="Table Grid"/>
    <w:basedOn w:val="NormaleTabelle"/>
    <w:rsid w:val="00D90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rsid w:val="00A35274"/>
    <w:rPr>
      <w:sz w:val="16"/>
      <w:szCs w:val="16"/>
    </w:rPr>
  </w:style>
  <w:style w:type="paragraph" w:styleId="Kommentartext">
    <w:name w:val="annotation text"/>
    <w:basedOn w:val="Standard"/>
    <w:link w:val="KommentartextZchn"/>
    <w:uiPriority w:val="99"/>
    <w:rsid w:val="00A35274"/>
  </w:style>
  <w:style w:type="character" w:customStyle="1" w:styleId="KommentartextZchn">
    <w:name w:val="Kommentartext Zchn"/>
    <w:basedOn w:val="Absatz-Standardschriftart"/>
    <w:link w:val="Kommentartext"/>
    <w:uiPriority w:val="99"/>
    <w:rsid w:val="00A35274"/>
  </w:style>
  <w:style w:type="paragraph" w:styleId="Kommentarthema">
    <w:name w:val="annotation subject"/>
    <w:basedOn w:val="Kommentartext"/>
    <w:next w:val="Kommentartext"/>
    <w:link w:val="KommentarthemaZchn"/>
    <w:rsid w:val="00A35274"/>
    <w:rPr>
      <w:b/>
      <w:bCs/>
    </w:rPr>
  </w:style>
  <w:style w:type="character" w:customStyle="1" w:styleId="KommentarthemaZchn">
    <w:name w:val="Kommentarthema Zchn"/>
    <w:link w:val="Kommentarthema"/>
    <w:rsid w:val="00A35274"/>
    <w:rPr>
      <w:b/>
      <w:bCs/>
    </w:rPr>
  </w:style>
  <w:style w:type="paragraph" w:styleId="Listenabsatz">
    <w:name w:val="List Paragraph"/>
    <w:basedOn w:val="Standard"/>
    <w:uiPriority w:val="34"/>
    <w:qFormat/>
    <w:rsid w:val="00517036"/>
    <w:pPr>
      <w:ind w:left="720"/>
    </w:pPr>
  </w:style>
  <w:style w:type="character" w:customStyle="1" w:styleId="FuzeileZchn">
    <w:name w:val="Fußzeile Zchn"/>
    <w:link w:val="Fuzeile"/>
    <w:uiPriority w:val="99"/>
    <w:rsid w:val="00F937BC"/>
  </w:style>
  <w:style w:type="paragraph" w:styleId="NurText">
    <w:name w:val="Plain Text"/>
    <w:basedOn w:val="Standard"/>
    <w:link w:val="NurTextZchn"/>
    <w:uiPriority w:val="99"/>
    <w:unhideWhenUsed/>
    <w:rsid w:val="00ED5D62"/>
    <w:rPr>
      <w:rFonts w:ascii="Calibri" w:eastAsia="Calibri" w:hAnsi="Calibri"/>
      <w:sz w:val="22"/>
      <w:szCs w:val="21"/>
    </w:rPr>
  </w:style>
  <w:style w:type="character" w:customStyle="1" w:styleId="NurTextZchn">
    <w:name w:val="Nur Text Zchn"/>
    <w:link w:val="NurText"/>
    <w:uiPriority w:val="99"/>
    <w:rsid w:val="00ED5D62"/>
    <w:rPr>
      <w:rFonts w:ascii="Calibri" w:eastAsia="Calibri" w:hAnsi="Calibri"/>
      <w:sz w:val="22"/>
      <w:szCs w:val="21"/>
    </w:rPr>
  </w:style>
  <w:style w:type="character" w:styleId="Platzhaltertext">
    <w:name w:val="Placeholder Text"/>
    <w:basedOn w:val="Absatz-Standardschriftart"/>
    <w:uiPriority w:val="99"/>
    <w:semiHidden/>
    <w:rsid w:val="00563152"/>
    <w:rPr>
      <w:color w:val="808080"/>
    </w:rPr>
  </w:style>
  <w:style w:type="character" w:customStyle="1" w:styleId="SprechblasentextZchn">
    <w:name w:val="Sprechblasentext Zchn"/>
    <w:basedOn w:val="Absatz-Standardschriftart"/>
    <w:link w:val="Sprechblasentext"/>
    <w:uiPriority w:val="99"/>
    <w:semiHidden/>
    <w:rsid w:val="000C50F0"/>
    <w:rPr>
      <w:rFonts w:ascii="Arial" w:eastAsia="MS Gothic" w:hAnsi="Arial"/>
      <w:sz w:val="18"/>
      <w:szCs w:val="18"/>
      <w:lang w:eastAsia="en-US"/>
    </w:rPr>
  </w:style>
  <w:style w:type="paragraph" w:styleId="berarbeitung">
    <w:name w:val="Revision"/>
    <w:hidden/>
    <w:uiPriority w:val="99"/>
    <w:semiHidden/>
    <w:rsid w:val="00E84B47"/>
    <w:rPr>
      <w:lang w:eastAsia="en-US"/>
    </w:rPr>
  </w:style>
  <w:style w:type="character" w:customStyle="1" w:styleId="apple-converted-space">
    <w:name w:val="apple-converted-space"/>
    <w:basedOn w:val="Absatz-Standardschriftart"/>
    <w:rsid w:val="00401996"/>
  </w:style>
  <w:style w:type="character" w:styleId="Hervorhebung">
    <w:name w:val="Emphasis"/>
    <w:basedOn w:val="Absatz-Standardschriftart"/>
    <w:uiPriority w:val="20"/>
    <w:qFormat/>
    <w:rsid w:val="00401996"/>
    <w:rPr>
      <w:i/>
      <w:iCs/>
    </w:rPr>
  </w:style>
  <w:style w:type="table" w:customStyle="1" w:styleId="Tabellenraster1">
    <w:name w:val="Tabellenraster1"/>
    <w:basedOn w:val="NormaleTabelle"/>
    <w:next w:val="Tabellenraster"/>
    <w:rsid w:val="00F9164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DD3"/>
    <w:rPr>
      <w:lang w:eastAsia="en-US"/>
    </w:rPr>
  </w:style>
  <w:style w:type="paragraph" w:styleId="berschrift1">
    <w:name w:val="heading 1"/>
    <w:basedOn w:val="Standard"/>
    <w:next w:val="Standard"/>
    <w:qFormat/>
    <w:rsid w:val="00460DD3"/>
    <w:pPr>
      <w:keepNext/>
      <w:jc w:val="center"/>
      <w:outlineLvl w:val="0"/>
    </w:pPr>
    <w:rPr>
      <w:b/>
      <w:bCs/>
      <w:sz w:val="24"/>
    </w:rPr>
  </w:style>
  <w:style w:type="paragraph" w:styleId="berschrift2">
    <w:name w:val="heading 2"/>
    <w:basedOn w:val="Standard"/>
    <w:next w:val="Standard"/>
    <w:qFormat/>
    <w:rsid w:val="00460DD3"/>
    <w:pPr>
      <w:keepNext/>
      <w:jc w:val="center"/>
      <w:outlineLvl w:val="1"/>
    </w:pPr>
    <w:rPr>
      <w:sz w:val="28"/>
      <w:szCs w:val="24"/>
      <w:lang w:eastAsia="ja-JP"/>
    </w:rPr>
  </w:style>
  <w:style w:type="paragraph" w:styleId="berschrift3">
    <w:name w:val="heading 3"/>
    <w:basedOn w:val="Standard"/>
    <w:next w:val="Standard"/>
    <w:qFormat/>
    <w:rsid w:val="00460DD3"/>
    <w:pPr>
      <w:keepNext/>
      <w:spacing w:line="360" w:lineRule="auto"/>
      <w:jc w:val="center"/>
      <w:outlineLvl w:val="2"/>
    </w:pPr>
    <w:rPr>
      <w:b/>
      <w:bCs/>
      <w:sz w:val="24"/>
      <w:szCs w:val="24"/>
      <w:lang w:eastAsia="ja-JP"/>
    </w:rPr>
  </w:style>
  <w:style w:type="paragraph" w:styleId="berschrift4">
    <w:name w:val="heading 4"/>
    <w:basedOn w:val="Standard"/>
    <w:next w:val="Standard"/>
    <w:qFormat/>
    <w:rsid w:val="00460DD3"/>
    <w:pPr>
      <w:keepNext/>
      <w:numPr>
        <w:numId w:val="5"/>
      </w:numPr>
      <w:spacing w:line="480" w:lineRule="auto"/>
      <w:outlineLvl w:val="3"/>
    </w:pPr>
    <w:rPr>
      <w:sz w:val="24"/>
    </w:rPr>
  </w:style>
  <w:style w:type="paragraph" w:styleId="berschrift5">
    <w:name w:val="heading 5"/>
    <w:basedOn w:val="Standard"/>
    <w:next w:val="Standard"/>
    <w:qFormat/>
    <w:rsid w:val="00460DD3"/>
    <w:pPr>
      <w:keepNext/>
      <w:spacing w:line="480" w:lineRule="auto"/>
      <w:outlineLvl w:val="4"/>
    </w:pPr>
    <w:rPr>
      <w:b/>
      <w:bCs/>
      <w:sz w:val="24"/>
    </w:rPr>
  </w:style>
  <w:style w:type="paragraph" w:styleId="berschrift6">
    <w:name w:val="heading 6"/>
    <w:basedOn w:val="Standard"/>
    <w:next w:val="Standard"/>
    <w:qFormat/>
    <w:rsid w:val="00460DD3"/>
    <w:pPr>
      <w:keepNext/>
      <w:spacing w:line="480" w:lineRule="auto"/>
      <w:outlineLvl w:val="5"/>
    </w:pPr>
    <w:rPr>
      <w:sz w:val="24"/>
    </w:rPr>
  </w:style>
  <w:style w:type="paragraph" w:styleId="berschrift7">
    <w:name w:val="heading 7"/>
    <w:basedOn w:val="Standard"/>
    <w:next w:val="Standard"/>
    <w:qFormat/>
    <w:rsid w:val="00460DD3"/>
    <w:pPr>
      <w:keepNext/>
      <w:spacing w:afterLines="50" w:line="480" w:lineRule="auto"/>
      <w:jc w:val="both"/>
      <w:outlineLvl w:val="6"/>
    </w:pPr>
    <w:rPr>
      <w:b/>
      <w:bCs/>
      <w:sz w:val="24"/>
      <w:lang w:eastAsia="ja-JP"/>
    </w:rPr>
  </w:style>
  <w:style w:type="paragraph" w:styleId="berschrift8">
    <w:name w:val="heading 8"/>
    <w:basedOn w:val="Standard"/>
    <w:next w:val="Standard"/>
    <w:qFormat/>
    <w:rsid w:val="00460DD3"/>
    <w:pPr>
      <w:keepNext/>
      <w:outlineLvl w:val="7"/>
    </w:pPr>
    <w:rPr>
      <w:sz w:val="24"/>
      <w:u w:val="single"/>
      <w:lang w:eastAsia="ja-JP"/>
    </w:rPr>
  </w:style>
  <w:style w:type="paragraph" w:styleId="berschrift9">
    <w:name w:val="heading 9"/>
    <w:basedOn w:val="Standard"/>
    <w:next w:val="Standard"/>
    <w:qFormat/>
    <w:rsid w:val="00460DD3"/>
    <w:pPr>
      <w:keepNext/>
      <w:framePr w:hSpace="180" w:wrap="notBeside" w:hAnchor="margin" w:xAlign="center" w:y="561"/>
      <w:jc w:val="cente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60DD3"/>
    <w:pPr>
      <w:widowControl w:val="0"/>
      <w:jc w:val="center"/>
    </w:pPr>
    <w:rPr>
      <w:b/>
      <w:bCs/>
      <w:kern w:val="2"/>
      <w:sz w:val="24"/>
      <w:szCs w:val="24"/>
      <w:lang w:eastAsia="ja-JP"/>
    </w:rPr>
  </w:style>
  <w:style w:type="paragraph" w:styleId="Textkrper">
    <w:name w:val="Body Text"/>
    <w:basedOn w:val="Standard"/>
    <w:rsid w:val="00460DD3"/>
    <w:pPr>
      <w:widowControl w:val="0"/>
      <w:jc w:val="both"/>
    </w:pPr>
    <w:rPr>
      <w:kern w:val="2"/>
      <w:sz w:val="24"/>
      <w:szCs w:val="24"/>
      <w:lang w:eastAsia="ja-JP"/>
    </w:rPr>
  </w:style>
  <w:style w:type="paragraph" w:styleId="Funotentext">
    <w:name w:val="footnote text"/>
    <w:basedOn w:val="Standard"/>
    <w:semiHidden/>
    <w:rsid w:val="00460DD3"/>
    <w:pPr>
      <w:widowControl w:val="0"/>
      <w:jc w:val="both"/>
    </w:pPr>
    <w:rPr>
      <w:kern w:val="2"/>
      <w:lang w:eastAsia="ja-JP"/>
    </w:rPr>
  </w:style>
  <w:style w:type="character" w:styleId="Funotenzeichen">
    <w:name w:val="footnote reference"/>
    <w:semiHidden/>
    <w:rsid w:val="00460DD3"/>
    <w:rPr>
      <w:vertAlign w:val="superscript"/>
    </w:rPr>
  </w:style>
  <w:style w:type="paragraph" w:customStyle="1" w:styleId="NumberedListItem">
    <w:name w:val="Numbered List Item"/>
    <w:basedOn w:val="Standard"/>
    <w:rsid w:val="00460DD3"/>
    <w:pPr>
      <w:numPr>
        <w:numId w:val="7"/>
      </w:numPr>
    </w:pPr>
    <w:rPr>
      <w:rFonts w:ascii="Garamond" w:hAnsi="Garamond"/>
    </w:rPr>
  </w:style>
  <w:style w:type="paragraph" w:customStyle="1" w:styleId="Non-Numberedlistitem">
    <w:name w:val="Non-Numbered list item"/>
    <w:basedOn w:val="NumberedListItem"/>
    <w:rsid w:val="00460DD3"/>
    <w:pPr>
      <w:numPr>
        <w:numId w:val="0"/>
      </w:numPr>
    </w:pPr>
  </w:style>
  <w:style w:type="paragraph" w:customStyle="1" w:styleId="Numberedlistitemspaced">
    <w:name w:val="Numbered list item (spaced)"/>
    <w:basedOn w:val="NumberedListItem"/>
    <w:rsid w:val="00460DD3"/>
    <w:pPr>
      <w:spacing w:after="120"/>
    </w:pPr>
  </w:style>
  <w:style w:type="paragraph" w:styleId="Kopfzeile">
    <w:name w:val="header"/>
    <w:basedOn w:val="Standard"/>
    <w:rsid w:val="00460DD3"/>
    <w:pPr>
      <w:tabs>
        <w:tab w:val="center" w:pos="4320"/>
        <w:tab w:val="right" w:pos="8640"/>
      </w:tabs>
    </w:pPr>
  </w:style>
  <w:style w:type="paragraph" w:styleId="Fuzeile">
    <w:name w:val="footer"/>
    <w:basedOn w:val="Standard"/>
    <w:link w:val="FuzeileZchn"/>
    <w:uiPriority w:val="99"/>
    <w:rsid w:val="00460DD3"/>
    <w:pPr>
      <w:tabs>
        <w:tab w:val="center" w:pos="4320"/>
        <w:tab w:val="right" w:pos="8640"/>
      </w:tabs>
    </w:pPr>
  </w:style>
  <w:style w:type="character" w:styleId="Seitenzahl">
    <w:name w:val="page number"/>
    <w:basedOn w:val="Absatz-Standardschriftart"/>
    <w:rsid w:val="00460DD3"/>
  </w:style>
  <w:style w:type="paragraph" w:styleId="Textkrper-Einzug2">
    <w:name w:val="Body Text Indent 2"/>
    <w:basedOn w:val="Standard"/>
    <w:rsid w:val="00460DD3"/>
    <w:pPr>
      <w:ind w:firstLine="720"/>
    </w:pPr>
    <w:rPr>
      <w:sz w:val="24"/>
      <w:szCs w:val="24"/>
    </w:rPr>
  </w:style>
  <w:style w:type="paragraph" w:customStyle="1" w:styleId="MTDisplayEquation">
    <w:name w:val="MTDisplayEquation"/>
    <w:basedOn w:val="Standard"/>
    <w:rsid w:val="00460DD3"/>
    <w:pPr>
      <w:widowControl w:val="0"/>
      <w:tabs>
        <w:tab w:val="center" w:pos="4420"/>
        <w:tab w:val="right" w:pos="8840"/>
      </w:tabs>
      <w:jc w:val="both"/>
    </w:pPr>
    <w:rPr>
      <w:kern w:val="2"/>
      <w:sz w:val="22"/>
      <w:szCs w:val="24"/>
      <w:lang w:eastAsia="ja-JP"/>
    </w:rPr>
  </w:style>
  <w:style w:type="character" w:customStyle="1" w:styleId="MTEquationSection">
    <w:name w:val="MTEquationSection"/>
    <w:rsid w:val="00460DD3"/>
    <w:rPr>
      <w:vanish/>
      <w:color w:val="FF0000"/>
    </w:rPr>
  </w:style>
  <w:style w:type="character" w:styleId="Hyperlink">
    <w:name w:val="Hyperlink"/>
    <w:rsid w:val="00460DD3"/>
    <w:rPr>
      <w:color w:val="0000FF"/>
      <w:u w:val="single"/>
    </w:rPr>
  </w:style>
  <w:style w:type="paragraph" w:styleId="Beschriftung">
    <w:name w:val="caption"/>
    <w:basedOn w:val="Standard"/>
    <w:next w:val="Standard"/>
    <w:qFormat/>
    <w:rsid w:val="00460DD3"/>
    <w:pPr>
      <w:jc w:val="center"/>
    </w:pPr>
    <w:rPr>
      <w:rFonts w:eastAsia="Times New Roman"/>
      <w:b/>
      <w:bCs/>
    </w:rPr>
  </w:style>
  <w:style w:type="paragraph" w:styleId="Textkrper-Einzug3">
    <w:name w:val="Body Text Indent 3"/>
    <w:basedOn w:val="Standard"/>
    <w:rsid w:val="00460DD3"/>
    <w:pPr>
      <w:spacing w:line="480" w:lineRule="auto"/>
      <w:ind w:leftChars="177" w:left="425"/>
      <w:jc w:val="both"/>
    </w:pPr>
    <w:rPr>
      <w:kern w:val="2"/>
      <w:sz w:val="24"/>
      <w:szCs w:val="24"/>
      <w:lang w:eastAsia="ja-JP"/>
    </w:rPr>
  </w:style>
  <w:style w:type="character" w:styleId="BesuchterHyperlink">
    <w:name w:val="FollowedHyperlink"/>
    <w:rsid w:val="00460DD3"/>
    <w:rPr>
      <w:color w:val="800080"/>
      <w:u w:val="single"/>
    </w:rPr>
  </w:style>
  <w:style w:type="paragraph" w:styleId="Textkrper2">
    <w:name w:val="Body Text 2"/>
    <w:basedOn w:val="Standard"/>
    <w:rsid w:val="00460DD3"/>
    <w:rPr>
      <w:sz w:val="24"/>
      <w:lang w:eastAsia="ja-JP"/>
    </w:rPr>
  </w:style>
  <w:style w:type="paragraph" w:styleId="Textkrper-Zeileneinzug">
    <w:name w:val="Body Text Indent"/>
    <w:basedOn w:val="Standard"/>
    <w:rsid w:val="00460DD3"/>
    <w:pPr>
      <w:spacing w:line="480" w:lineRule="auto"/>
      <w:ind w:firstLine="720"/>
      <w:jc w:val="both"/>
    </w:pPr>
    <w:rPr>
      <w:sz w:val="24"/>
      <w:lang w:eastAsia="ja-JP"/>
    </w:rPr>
  </w:style>
  <w:style w:type="paragraph" w:customStyle="1" w:styleId="BalloonText1">
    <w:name w:val="Balloon Text1"/>
    <w:basedOn w:val="Standard"/>
    <w:semiHidden/>
    <w:rsid w:val="00460DD3"/>
    <w:rPr>
      <w:rFonts w:ascii="Tahoma" w:hAnsi="Tahoma" w:cs="Tahoma"/>
      <w:sz w:val="16"/>
      <w:szCs w:val="16"/>
    </w:rPr>
  </w:style>
  <w:style w:type="paragraph" w:styleId="Endnotentext">
    <w:name w:val="endnote text"/>
    <w:basedOn w:val="Standard"/>
    <w:semiHidden/>
    <w:rsid w:val="00460DD3"/>
  </w:style>
  <w:style w:type="character" w:styleId="Endnotenzeichen">
    <w:name w:val="endnote reference"/>
    <w:semiHidden/>
    <w:rsid w:val="00460DD3"/>
    <w:rPr>
      <w:vertAlign w:val="superscript"/>
    </w:rPr>
  </w:style>
  <w:style w:type="paragraph" w:styleId="Sprechblasentext">
    <w:name w:val="Balloon Text"/>
    <w:basedOn w:val="Standard"/>
    <w:link w:val="SprechblasentextZchn"/>
    <w:uiPriority w:val="99"/>
    <w:semiHidden/>
    <w:rsid w:val="009056B6"/>
    <w:rPr>
      <w:rFonts w:ascii="Arial" w:eastAsia="MS Gothic" w:hAnsi="Arial"/>
      <w:sz w:val="18"/>
      <w:szCs w:val="18"/>
    </w:rPr>
  </w:style>
  <w:style w:type="paragraph" w:styleId="Datum">
    <w:name w:val="Date"/>
    <w:basedOn w:val="Standard"/>
    <w:next w:val="Standard"/>
    <w:rsid w:val="00433961"/>
  </w:style>
  <w:style w:type="table" w:styleId="Tabellenraster">
    <w:name w:val="Table Grid"/>
    <w:basedOn w:val="NormaleTabelle"/>
    <w:rsid w:val="00D90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rsid w:val="00A35274"/>
    <w:rPr>
      <w:sz w:val="16"/>
      <w:szCs w:val="16"/>
    </w:rPr>
  </w:style>
  <w:style w:type="paragraph" w:styleId="Kommentartext">
    <w:name w:val="annotation text"/>
    <w:basedOn w:val="Standard"/>
    <w:link w:val="KommentartextZchn"/>
    <w:uiPriority w:val="99"/>
    <w:rsid w:val="00A35274"/>
  </w:style>
  <w:style w:type="character" w:customStyle="1" w:styleId="KommentartextZchn">
    <w:name w:val="Kommentartext Zchn"/>
    <w:basedOn w:val="Absatz-Standardschriftart"/>
    <w:link w:val="Kommentartext"/>
    <w:uiPriority w:val="99"/>
    <w:rsid w:val="00A35274"/>
  </w:style>
  <w:style w:type="paragraph" w:styleId="Kommentarthema">
    <w:name w:val="annotation subject"/>
    <w:basedOn w:val="Kommentartext"/>
    <w:next w:val="Kommentartext"/>
    <w:link w:val="KommentarthemaZchn"/>
    <w:rsid w:val="00A35274"/>
    <w:rPr>
      <w:b/>
      <w:bCs/>
    </w:rPr>
  </w:style>
  <w:style w:type="character" w:customStyle="1" w:styleId="KommentarthemaZchn">
    <w:name w:val="Kommentarthema Zchn"/>
    <w:link w:val="Kommentarthema"/>
    <w:rsid w:val="00A35274"/>
    <w:rPr>
      <w:b/>
      <w:bCs/>
    </w:rPr>
  </w:style>
  <w:style w:type="paragraph" w:styleId="Listenabsatz">
    <w:name w:val="List Paragraph"/>
    <w:basedOn w:val="Standard"/>
    <w:uiPriority w:val="34"/>
    <w:qFormat/>
    <w:rsid w:val="00517036"/>
    <w:pPr>
      <w:ind w:left="720"/>
    </w:pPr>
  </w:style>
  <w:style w:type="character" w:customStyle="1" w:styleId="FuzeileZchn">
    <w:name w:val="Fußzeile Zchn"/>
    <w:link w:val="Fuzeile"/>
    <w:uiPriority w:val="99"/>
    <w:rsid w:val="00F937BC"/>
  </w:style>
  <w:style w:type="paragraph" w:styleId="NurText">
    <w:name w:val="Plain Text"/>
    <w:basedOn w:val="Standard"/>
    <w:link w:val="NurTextZchn"/>
    <w:uiPriority w:val="99"/>
    <w:unhideWhenUsed/>
    <w:rsid w:val="00ED5D62"/>
    <w:rPr>
      <w:rFonts w:ascii="Calibri" w:eastAsia="Calibri" w:hAnsi="Calibri"/>
      <w:sz w:val="22"/>
      <w:szCs w:val="21"/>
    </w:rPr>
  </w:style>
  <w:style w:type="character" w:customStyle="1" w:styleId="NurTextZchn">
    <w:name w:val="Nur Text Zchn"/>
    <w:link w:val="NurText"/>
    <w:uiPriority w:val="99"/>
    <w:rsid w:val="00ED5D62"/>
    <w:rPr>
      <w:rFonts w:ascii="Calibri" w:eastAsia="Calibri" w:hAnsi="Calibri"/>
      <w:sz w:val="22"/>
      <w:szCs w:val="21"/>
    </w:rPr>
  </w:style>
  <w:style w:type="character" w:styleId="Platzhaltertext">
    <w:name w:val="Placeholder Text"/>
    <w:basedOn w:val="Absatz-Standardschriftart"/>
    <w:uiPriority w:val="99"/>
    <w:semiHidden/>
    <w:rsid w:val="00563152"/>
    <w:rPr>
      <w:color w:val="808080"/>
    </w:rPr>
  </w:style>
  <w:style w:type="character" w:customStyle="1" w:styleId="SprechblasentextZchn">
    <w:name w:val="Sprechblasentext Zchn"/>
    <w:basedOn w:val="Absatz-Standardschriftart"/>
    <w:link w:val="Sprechblasentext"/>
    <w:uiPriority w:val="99"/>
    <w:semiHidden/>
    <w:rsid w:val="000C50F0"/>
    <w:rPr>
      <w:rFonts w:ascii="Arial" w:eastAsia="MS Gothic" w:hAnsi="Arial"/>
      <w:sz w:val="18"/>
      <w:szCs w:val="18"/>
      <w:lang w:eastAsia="en-US"/>
    </w:rPr>
  </w:style>
  <w:style w:type="paragraph" w:styleId="berarbeitung">
    <w:name w:val="Revision"/>
    <w:hidden/>
    <w:uiPriority w:val="99"/>
    <w:semiHidden/>
    <w:rsid w:val="00E84B47"/>
    <w:rPr>
      <w:lang w:eastAsia="en-US"/>
    </w:rPr>
  </w:style>
  <w:style w:type="character" w:customStyle="1" w:styleId="apple-converted-space">
    <w:name w:val="apple-converted-space"/>
    <w:basedOn w:val="Absatz-Standardschriftart"/>
    <w:rsid w:val="00401996"/>
  </w:style>
  <w:style w:type="character" w:styleId="Hervorhebung">
    <w:name w:val="Emphasis"/>
    <w:basedOn w:val="Absatz-Standardschriftart"/>
    <w:uiPriority w:val="20"/>
    <w:qFormat/>
    <w:rsid w:val="00401996"/>
    <w:rPr>
      <w:i/>
      <w:iCs/>
    </w:rPr>
  </w:style>
  <w:style w:type="table" w:customStyle="1" w:styleId="Tabellenraster1">
    <w:name w:val="Tabellenraster1"/>
    <w:basedOn w:val="NormaleTabelle"/>
    <w:next w:val="Tabellenraster"/>
    <w:rsid w:val="00F9164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69">
      <w:bodyDiv w:val="1"/>
      <w:marLeft w:val="0"/>
      <w:marRight w:val="0"/>
      <w:marTop w:val="0"/>
      <w:marBottom w:val="0"/>
      <w:divBdr>
        <w:top w:val="none" w:sz="0" w:space="0" w:color="auto"/>
        <w:left w:val="none" w:sz="0" w:space="0" w:color="auto"/>
        <w:bottom w:val="none" w:sz="0" w:space="0" w:color="auto"/>
        <w:right w:val="none" w:sz="0" w:space="0" w:color="auto"/>
      </w:divBdr>
    </w:div>
    <w:div w:id="50232886">
      <w:bodyDiv w:val="1"/>
      <w:marLeft w:val="0"/>
      <w:marRight w:val="0"/>
      <w:marTop w:val="0"/>
      <w:marBottom w:val="0"/>
      <w:divBdr>
        <w:top w:val="none" w:sz="0" w:space="0" w:color="auto"/>
        <w:left w:val="none" w:sz="0" w:space="0" w:color="auto"/>
        <w:bottom w:val="none" w:sz="0" w:space="0" w:color="auto"/>
        <w:right w:val="none" w:sz="0" w:space="0" w:color="auto"/>
      </w:divBdr>
    </w:div>
    <w:div w:id="81151953">
      <w:bodyDiv w:val="1"/>
      <w:marLeft w:val="0"/>
      <w:marRight w:val="0"/>
      <w:marTop w:val="0"/>
      <w:marBottom w:val="0"/>
      <w:divBdr>
        <w:top w:val="none" w:sz="0" w:space="0" w:color="auto"/>
        <w:left w:val="none" w:sz="0" w:space="0" w:color="auto"/>
        <w:bottom w:val="none" w:sz="0" w:space="0" w:color="auto"/>
        <w:right w:val="none" w:sz="0" w:space="0" w:color="auto"/>
      </w:divBdr>
    </w:div>
    <w:div w:id="257255526">
      <w:bodyDiv w:val="1"/>
      <w:marLeft w:val="0"/>
      <w:marRight w:val="0"/>
      <w:marTop w:val="0"/>
      <w:marBottom w:val="0"/>
      <w:divBdr>
        <w:top w:val="none" w:sz="0" w:space="0" w:color="auto"/>
        <w:left w:val="none" w:sz="0" w:space="0" w:color="auto"/>
        <w:bottom w:val="none" w:sz="0" w:space="0" w:color="auto"/>
        <w:right w:val="none" w:sz="0" w:space="0" w:color="auto"/>
      </w:divBdr>
    </w:div>
    <w:div w:id="467477119">
      <w:bodyDiv w:val="1"/>
      <w:marLeft w:val="0"/>
      <w:marRight w:val="0"/>
      <w:marTop w:val="0"/>
      <w:marBottom w:val="0"/>
      <w:divBdr>
        <w:top w:val="none" w:sz="0" w:space="0" w:color="auto"/>
        <w:left w:val="none" w:sz="0" w:space="0" w:color="auto"/>
        <w:bottom w:val="none" w:sz="0" w:space="0" w:color="auto"/>
        <w:right w:val="none" w:sz="0" w:space="0" w:color="auto"/>
      </w:divBdr>
    </w:div>
    <w:div w:id="580337803">
      <w:bodyDiv w:val="1"/>
      <w:marLeft w:val="0"/>
      <w:marRight w:val="0"/>
      <w:marTop w:val="0"/>
      <w:marBottom w:val="0"/>
      <w:divBdr>
        <w:top w:val="none" w:sz="0" w:space="0" w:color="auto"/>
        <w:left w:val="none" w:sz="0" w:space="0" w:color="auto"/>
        <w:bottom w:val="none" w:sz="0" w:space="0" w:color="auto"/>
        <w:right w:val="none" w:sz="0" w:space="0" w:color="auto"/>
      </w:divBdr>
    </w:div>
    <w:div w:id="625161761">
      <w:bodyDiv w:val="1"/>
      <w:marLeft w:val="0"/>
      <w:marRight w:val="0"/>
      <w:marTop w:val="0"/>
      <w:marBottom w:val="0"/>
      <w:divBdr>
        <w:top w:val="none" w:sz="0" w:space="0" w:color="auto"/>
        <w:left w:val="none" w:sz="0" w:space="0" w:color="auto"/>
        <w:bottom w:val="none" w:sz="0" w:space="0" w:color="auto"/>
        <w:right w:val="none" w:sz="0" w:space="0" w:color="auto"/>
      </w:divBdr>
    </w:div>
    <w:div w:id="786584778">
      <w:bodyDiv w:val="1"/>
      <w:marLeft w:val="0"/>
      <w:marRight w:val="0"/>
      <w:marTop w:val="0"/>
      <w:marBottom w:val="0"/>
      <w:divBdr>
        <w:top w:val="none" w:sz="0" w:space="0" w:color="auto"/>
        <w:left w:val="none" w:sz="0" w:space="0" w:color="auto"/>
        <w:bottom w:val="none" w:sz="0" w:space="0" w:color="auto"/>
        <w:right w:val="none" w:sz="0" w:space="0" w:color="auto"/>
      </w:divBdr>
    </w:div>
    <w:div w:id="814444896">
      <w:bodyDiv w:val="1"/>
      <w:marLeft w:val="0"/>
      <w:marRight w:val="0"/>
      <w:marTop w:val="0"/>
      <w:marBottom w:val="0"/>
      <w:divBdr>
        <w:top w:val="none" w:sz="0" w:space="0" w:color="auto"/>
        <w:left w:val="none" w:sz="0" w:space="0" w:color="auto"/>
        <w:bottom w:val="none" w:sz="0" w:space="0" w:color="auto"/>
        <w:right w:val="none" w:sz="0" w:space="0" w:color="auto"/>
      </w:divBdr>
      <w:divsChild>
        <w:div w:id="1644501832">
          <w:marLeft w:val="0"/>
          <w:marRight w:val="0"/>
          <w:marTop w:val="0"/>
          <w:marBottom w:val="0"/>
          <w:divBdr>
            <w:top w:val="none" w:sz="0" w:space="0" w:color="auto"/>
            <w:left w:val="none" w:sz="0" w:space="0" w:color="auto"/>
            <w:bottom w:val="none" w:sz="0" w:space="0" w:color="auto"/>
            <w:right w:val="none" w:sz="0" w:space="0" w:color="auto"/>
          </w:divBdr>
          <w:divsChild>
            <w:div w:id="378626060">
              <w:marLeft w:val="0"/>
              <w:marRight w:val="0"/>
              <w:marTop w:val="0"/>
              <w:marBottom w:val="0"/>
              <w:divBdr>
                <w:top w:val="none" w:sz="0" w:space="0" w:color="auto"/>
                <w:left w:val="none" w:sz="0" w:space="0" w:color="auto"/>
                <w:bottom w:val="none" w:sz="0" w:space="0" w:color="auto"/>
                <w:right w:val="none" w:sz="0" w:space="0" w:color="auto"/>
              </w:divBdr>
            </w:div>
            <w:div w:id="858811037">
              <w:marLeft w:val="0"/>
              <w:marRight w:val="0"/>
              <w:marTop w:val="0"/>
              <w:marBottom w:val="0"/>
              <w:divBdr>
                <w:top w:val="none" w:sz="0" w:space="0" w:color="auto"/>
                <w:left w:val="none" w:sz="0" w:space="0" w:color="auto"/>
                <w:bottom w:val="none" w:sz="0" w:space="0" w:color="auto"/>
                <w:right w:val="none" w:sz="0" w:space="0" w:color="auto"/>
              </w:divBdr>
            </w:div>
            <w:div w:id="1033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8423">
      <w:bodyDiv w:val="1"/>
      <w:marLeft w:val="0"/>
      <w:marRight w:val="0"/>
      <w:marTop w:val="0"/>
      <w:marBottom w:val="0"/>
      <w:divBdr>
        <w:top w:val="none" w:sz="0" w:space="0" w:color="auto"/>
        <w:left w:val="none" w:sz="0" w:space="0" w:color="auto"/>
        <w:bottom w:val="none" w:sz="0" w:space="0" w:color="auto"/>
        <w:right w:val="none" w:sz="0" w:space="0" w:color="auto"/>
      </w:divBdr>
    </w:div>
    <w:div w:id="878904621">
      <w:bodyDiv w:val="1"/>
      <w:marLeft w:val="0"/>
      <w:marRight w:val="0"/>
      <w:marTop w:val="0"/>
      <w:marBottom w:val="0"/>
      <w:divBdr>
        <w:top w:val="none" w:sz="0" w:space="0" w:color="auto"/>
        <w:left w:val="none" w:sz="0" w:space="0" w:color="auto"/>
        <w:bottom w:val="none" w:sz="0" w:space="0" w:color="auto"/>
        <w:right w:val="none" w:sz="0" w:space="0" w:color="auto"/>
      </w:divBdr>
    </w:div>
    <w:div w:id="969821752">
      <w:bodyDiv w:val="1"/>
      <w:marLeft w:val="0"/>
      <w:marRight w:val="0"/>
      <w:marTop w:val="0"/>
      <w:marBottom w:val="0"/>
      <w:divBdr>
        <w:top w:val="none" w:sz="0" w:space="0" w:color="auto"/>
        <w:left w:val="none" w:sz="0" w:space="0" w:color="auto"/>
        <w:bottom w:val="none" w:sz="0" w:space="0" w:color="auto"/>
        <w:right w:val="none" w:sz="0" w:space="0" w:color="auto"/>
      </w:divBdr>
    </w:div>
    <w:div w:id="994452301">
      <w:bodyDiv w:val="1"/>
      <w:marLeft w:val="0"/>
      <w:marRight w:val="0"/>
      <w:marTop w:val="0"/>
      <w:marBottom w:val="0"/>
      <w:divBdr>
        <w:top w:val="none" w:sz="0" w:space="0" w:color="auto"/>
        <w:left w:val="none" w:sz="0" w:space="0" w:color="auto"/>
        <w:bottom w:val="none" w:sz="0" w:space="0" w:color="auto"/>
        <w:right w:val="none" w:sz="0" w:space="0" w:color="auto"/>
      </w:divBdr>
    </w:div>
    <w:div w:id="995063232">
      <w:bodyDiv w:val="1"/>
      <w:marLeft w:val="0"/>
      <w:marRight w:val="0"/>
      <w:marTop w:val="0"/>
      <w:marBottom w:val="0"/>
      <w:divBdr>
        <w:top w:val="none" w:sz="0" w:space="0" w:color="auto"/>
        <w:left w:val="none" w:sz="0" w:space="0" w:color="auto"/>
        <w:bottom w:val="none" w:sz="0" w:space="0" w:color="auto"/>
        <w:right w:val="none" w:sz="0" w:space="0" w:color="auto"/>
      </w:divBdr>
    </w:div>
    <w:div w:id="1067924311">
      <w:bodyDiv w:val="1"/>
      <w:marLeft w:val="0"/>
      <w:marRight w:val="0"/>
      <w:marTop w:val="0"/>
      <w:marBottom w:val="0"/>
      <w:divBdr>
        <w:top w:val="none" w:sz="0" w:space="0" w:color="auto"/>
        <w:left w:val="none" w:sz="0" w:space="0" w:color="auto"/>
        <w:bottom w:val="none" w:sz="0" w:space="0" w:color="auto"/>
        <w:right w:val="none" w:sz="0" w:space="0" w:color="auto"/>
      </w:divBdr>
    </w:div>
    <w:div w:id="1080636254">
      <w:bodyDiv w:val="1"/>
      <w:marLeft w:val="0"/>
      <w:marRight w:val="0"/>
      <w:marTop w:val="0"/>
      <w:marBottom w:val="0"/>
      <w:divBdr>
        <w:top w:val="none" w:sz="0" w:space="0" w:color="auto"/>
        <w:left w:val="none" w:sz="0" w:space="0" w:color="auto"/>
        <w:bottom w:val="none" w:sz="0" w:space="0" w:color="auto"/>
        <w:right w:val="none" w:sz="0" w:space="0" w:color="auto"/>
      </w:divBdr>
    </w:div>
    <w:div w:id="1142235975">
      <w:bodyDiv w:val="1"/>
      <w:marLeft w:val="0"/>
      <w:marRight w:val="0"/>
      <w:marTop w:val="0"/>
      <w:marBottom w:val="0"/>
      <w:divBdr>
        <w:top w:val="none" w:sz="0" w:space="0" w:color="auto"/>
        <w:left w:val="none" w:sz="0" w:space="0" w:color="auto"/>
        <w:bottom w:val="none" w:sz="0" w:space="0" w:color="auto"/>
        <w:right w:val="none" w:sz="0" w:space="0" w:color="auto"/>
      </w:divBdr>
    </w:div>
    <w:div w:id="1184443775">
      <w:bodyDiv w:val="1"/>
      <w:marLeft w:val="0"/>
      <w:marRight w:val="0"/>
      <w:marTop w:val="0"/>
      <w:marBottom w:val="0"/>
      <w:divBdr>
        <w:top w:val="none" w:sz="0" w:space="0" w:color="auto"/>
        <w:left w:val="none" w:sz="0" w:space="0" w:color="auto"/>
        <w:bottom w:val="none" w:sz="0" w:space="0" w:color="auto"/>
        <w:right w:val="none" w:sz="0" w:space="0" w:color="auto"/>
      </w:divBdr>
    </w:div>
    <w:div w:id="1232933179">
      <w:bodyDiv w:val="1"/>
      <w:marLeft w:val="0"/>
      <w:marRight w:val="0"/>
      <w:marTop w:val="0"/>
      <w:marBottom w:val="0"/>
      <w:divBdr>
        <w:top w:val="none" w:sz="0" w:space="0" w:color="auto"/>
        <w:left w:val="none" w:sz="0" w:space="0" w:color="auto"/>
        <w:bottom w:val="none" w:sz="0" w:space="0" w:color="auto"/>
        <w:right w:val="none" w:sz="0" w:space="0" w:color="auto"/>
      </w:divBdr>
    </w:div>
    <w:div w:id="1334182840">
      <w:bodyDiv w:val="1"/>
      <w:marLeft w:val="0"/>
      <w:marRight w:val="0"/>
      <w:marTop w:val="0"/>
      <w:marBottom w:val="0"/>
      <w:divBdr>
        <w:top w:val="none" w:sz="0" w:space="0" w:color="auto"/>
        <w:left w:val="none" w:sz="0" w:space="0" w:color="auto"/>
        <w:bottom w:val="none" w:sz="0" w:space="0" w:color="auto"/>
        <w:right w:val="none" w:sz="0" w:space="0" w:color="auto"/>
      </w:divBdr>
    </w:div>
    <w:div w:id="1407454446">
      <w:bodyDiv w:val="1"/>
      <w:marLeft w:val="0"/>
      <w:marRight w:val="0"/>
      <w:marTop w:val="0"/>
      <w:marBottom w:val="0"/>
      <w:divBdr>
        <w:top w:val="none" w:sz="0" w:space="0" w:color="auto"/>
        <w:left w:val="none" w:sz="0" w:space="0" w:color="auto"/>
        <w:bottom w:val="none" w:sz="0" w:space="0" w:color="auto"/>
        <w:right w:val="none" w:sz="0" w:space="0" w:color="auto"/>
      </w:divBdr>
    </w:div>
    <w:div w:id="1468738858">
      <w:bodyDiv w:val="1"/>
      <w:marLeft w:val="0"/>
      <w:marRight w:val="0"/>
      <w:marTop w:val="0"/>
      <w:marBottom w:val="0"/>
      <w:divBdr>
        <w:top w:val="none" w:sz="0" w:space="0" w:color="auto"/>
        <w:left w:val="none" w:sz="0" w:space="0" w:color="auto"/>
        <w:bottom w:val="none" w:sz="0" w:space="0" w:color="auto"/>
        <w:right w:val="none" w:sz="0" w:space="0" w:color="auto"/>
      </w:divBdr>
    </w:div>
    <w:div w:id="1561407775">
      <w:bodyDiv w:val="1"/>
      <w:marLeft w:val="0"/>
      <w:marRight w:val="0"/>
      <w:marTop w:val="0"/>
      <w:marBottom w:val="0"/>
      <w:divBdr>
        <w:top w:val="none" w:sz="0" w:space="0" w:color="auto"/>
        <w:left w:val="none" w:sz="0" w:space="0" w:color="auto"/>
        <w:bottom w:val="none" w:sz="0" w:space="0" w:color="auto"/>
        <w:right w:val="none" w:sz="0" w:space="0" w:color="auto"/>
      </w:divBdr>
    </w:div>
    <w:div w:id="1598294594">
      <w:bodyDiv w:val="1"/>
      <w:marLeft w:val="0"/>
      <w:marRight w:val="0"/>
      <w:marTop w:val="0"/>
      <w:marBottom w:val="0"/>
      <w:divBdr>
        <w:top w:val="none" w:sz="0" w:space="0" w:color="auto"/>
        <w:left w:val="none" w:sz="0" w:space="0" w:color="auto"/>
        <w:bottom w:val="none" w:sz="0" w:space="0" w:color="auto"/>
        <w:right w:val="none" w:sz="0" w:space="0" w:color="auto"/>
      </w:divBdr>
    </w:div>
    <w:div w:id="1620255651">
      <w:bodyDiv w:val="1"/>
      <w:marLeft w:val="0"/>
      <w:marRight w:val="0"/>
      <w:marTop w:val="0"/>
      <w:marBottom w:val="0"/>
      <w:divBdr>
        <w:top w:val="none" w:sz="0" w:space="0" w:color="auto"/>
        <w:left w:val="none" w:sz="0" w:space="0" w:color="auto"/>
        <w:bottom w:val="none" w:sz="0" w:space="0" w:color="auto"/>
        <w:right w:val="none" w:sz="0" w:space="0" w:color="auto"/>
      </w:divBdr>
    </w:div>
    <w:div w:id="1786460289">
      <w:bodyDiv w:val="1"/>
      <w:marLeft w:val="0"/>
      <w:marRight w:val="0"/>
      <w:marTop w:val="0"/>
      <w:marBottom w:val="0"/>
      <w:divBdr>
        <w:top w:val="none" w:sz="0" w:space="0" w:color="auto"/>
        <w:left w:val="none" w:sz="0" w:space="0" w:color="auto"/>
        <w:bottom w:val="none" w:sz="0" w:space="0" w:color="auto"/>
        <w:right w:val="none" w:sz="0" w:space="0" w:color="auto"/>
      </w:divBdr>
    </w:div>
    <w:div w:id="1793786053">
      <w:bodyDiv w:val="1"/>
      <w:marLeft w:val="0"/>
      <w:marRight w:val="0"/>
      <w:marTop w:val="0"/>
      <w:marBottom w:val="0"/>
      <w:divBdr>
        <w:top w:val="none" w:sz="0" w:space="0" w:color="auto"/>
        <w:left w:val="none" w:sz="0" w:space="0" w:color="auto"/>
        <w:bottom w:val="none" w:sz="0" w:space="0" w:color="auto"/>
        <w:right w:val="none" w:sz="0" w:space="0" w:color="auto"/>
      </w:divBdr>
    </w:div>
    <w:div w:id="1866940476">
      <w:bodyDiv w:val="1"/>
      <w:marLeft w:val="0"/>
      <w:marRight w:val="0"/>
      <w:marTop w:val="0"/>
      <w:marBottom w:val="0"/>
      <w:divBdr>
        <w:top w:val="none" w:sz="0" w:space="0" w:color="auto"/>
        <w:left w:val="none" w:sz="0" w:space="0" w:color="auto"/>
        <w:bottom w:val="none" w:sz="0" w:space="0" w:color="auto"/>
        <w:right w:val="none" w:sz="0" w:space="0" w:color="auto"/>
      </w:divBdr>
    </w:div>
    <w:div w:id="1929577748">
      <w:bodyDiv w:val="1"/>
      <w:marLeft w:val="0"/>
      <w:marRight w:val="0"/>
      <w:marTop w:val="0"/>
      <w:marBottom w:val="0"/>
      <w:divBdr>
        <w:top w:val="none" w:sz="0" w:space="0" w:color="auto"/>
        <w:left w:val="none" w:sz="0" w:space="0" w:color="auto"/>
        <w:bottom w:val="none" w:sz="0" w:space="0" w:color="auto"/>
        <w:right w:val="none" w:sz="0" w:space="0" w:color="auto"/>
      </w:divBdr>
    </w:div>
    <w:div w:id="1945335358">
      <w:bodyDiv w:val="1"/>
      <w:marLeft w:val="0"/>
      <w:marRight w:val="0"/>
      <w:marTop w:val="0"/>
      <w:marBottom w:val="0"/>
      <w:divBdr>
        <w:top w:val="none" w:sz="0" w:space="0" w:color="auto"/>
        <w:left w:val="none" w:sz="0" w:space="0" w:color="auto"/>
        <w:bottom w:val="none" w:sz="0" w:space="0" w:color="auto"/>
        <w:right w:val="none" w:sz="0" w:space="0" w:color="auto"/>
      </w:divBdr>
    </w:div>
    <w:div w:id="2028628112">
      <w:bodyDiv w:val="1"/>
      <w:marLeft w:val="0"/>
      <w:marRight w:val="0"/>
      <w:marTop w:val="0"/>
      <w:marBottom w:val="0"/>
      <w:divBdr>
        <w:top w:val="none" w:sz="0" w:space="0" w:color="auto"/>
        <w:left w:val="none" w:sz="0" w:space="0" w:color="auto"/>
        <w:bottom w:val="none" w:sz="0" w:space="0" w:color="auto"/>
        <w:right w:val="none" w:sz="0" w:space="0" w:color="auto"/>
      </w:divBdr>
      <w:divsChild>
        <w:div w:id="163476915">
          <w:marLeft w:val="0"/>
          <w:marRight w:val="0"/>
          <w:marTop w:val="0"/>
          <w:marBottom w:val="0"/>
          <w:divBdr>
            <w:top w:val="none" w:sz="0" w:space="0" w:color="auto"/>
            <w:left w:val="none" w:sz="0" w:space="0" w:color="auto"/>
            <w:bottom w:val="none" w:sz="0" w:space="0" w:color="auto"/>
            <w:right w:val="none" w:sz="0" w:space="0" w:color="auto"/>
          </w:divBdr>
        </w:div>
        <w:div w:id="1293636934">
          <w:marLeft w:val="0"/>
          <w:marRight w:val="0"/>
          <w:marTop w:val="0"/>
          <w:marBottom w:val="0"/>
          <w:divBdr>
            <w:top w:val="none" w:sz="0" w:space="0" w:color="auto"/>
            <w:left w:val="none" w:sz="0" w:space="0" w:color="auto"/>
            <w:bottom w:val="none" w:sz="0" w:space="0" w:color="auto"/>
            <w:right w:val="none" w:sz="0" w:space="0" w:color="auto"/>
          </w:divBdr>
        </w:div>
        <w:div w:id="1459760451">
          <w:marLeft w:val="0"/>
          <w:marRight w:val="0"/>
          <w:marTop w:val="0"/>
          <w:marBottom w:val="0"/>
          <w:divBdr>
            <w:top w:val="none" w:sz="0" w:space="0" w:color="auto"/>
            <w:left w:val="none" w:sz="0" w:space="0" w:color="auto"/>
            <w:bottom w:val="none" w:sz="0" w:space="0" w:color="auto"/>
            <w:right w:val="none" w:sz="0" w:space="0" w:color="auto"/>
          </w:divBdr>
        </w:div>
        <w:div w:id="2059013860">
          <w:marLeft w:val="0"/>
          <w:marRight w:val="0"/>
          <w:marTop w:val="0"/>
          <w:marBottom w:val="0"/>
          <w:divBdr>
            <w:top w:val="none" w:sz="0" w:space="0" w:color="auto"/>
            <w:left w:val="none" w:sz="0" w:space="0" w:color="auto"/>
            <w:bottom w:val="none" w:sz="0" w:space="0" w:color="auto"/>
            <w:right w:val="none" w:sz="0" w:space="0" w:color="auto"/>
          </w:divBdr>
        </w:div>
      </w:divsChild>
    </w:div>
    <w:div w:id="2042630502">
      <w:bodyDiv w:val="1"/>
      <w:marLeft w:val="0"/>
      <w:marRight w:val="0"/>
      <w:marTop w:val="0"/>
      <w:marBottom w:val="0"/>
      <w:divBdr>
        <w:top w:val="none" w:sz="0" w:space="0" w:color="auto"/>
        <w:left w:val="none" w:sz="0" w:space="0" w:color="auto"/>
        <w:bottom w:val="none" w:sz="0" w:space="0" w:color="auto"/>
        <w:right w:val="none" w:sz="0" w:space="0" w:color="auto"/>
      </w:divBdr>
      <w:divsChild>
        <w:div w:id="421951075">
          <w:marLeft w:val="547"/>
          <w:marRight w:val="0"/>
          <w:marTop w:val="154"/>
          <w:marBottom w:val="115"/>
          <w:divBdr>
            <w:top w:val="none" w:sz="0" w:space="0" w:color="auto"/>
            <w:left w:val="none" w:sz="0" w:space="0" w:color="auto"/>
            <w:bottom w:val="none" w:sz="0" w:space="0" w:color="auto"/>
            <w:right w:val="none" w:sz="0" w:space="0" w:color="auto"/>
          </w:divBdr>
        </w:div>
        <w:div w:id="1111363697">
          <w:marLeft w:val="1166"/>
          <w:marRight w:val="0"/>
          <w:marTop w:val="134"/>
          <w:marBottom w:val="134"/>
          <w:divBdr>
            <w:top w:val="none" w:sz="0" w:space="0" w:color="auto"/>
            <w:left w:val="none" w:sz="0" w:space="0" w:color="auto"/>
            <w:bottom w:val="none" w:sz="0" w:space="0" w:color="auto"/>
            <w:right w:val="none" w:sz="0" w:space="0" w:color="auto"/>
          </w:divBdr>
        </w:div>
        <w:div w:id="1954510789">
          <w:marLeft w:val="1166"/>
          <w:marRight w:val="0"/>
          <w:marTop w:val="134"/>
          <w:marBottom w:val="202"/>
          <w:divBdr>
            <w:top w:val="none" w:sz="0" w:space="0" w:color="auto"/>
            <w:left w:val="none" w:sz="0" w:space="0" w:color="auto"/>
            <w:bottom w:val="none" w:sz="0" w:space="0" w:color="auto"/>
            <w:right w:val="none" w:sz="0" w:space="0" w:color="auto"/>
          </w:divBdr>
        </w:div>
      </w:divsChild>
    </w:div>
    <w:div w:id="2124566448">
      <w:bodyDiv w:val="1"/>
      <w:marLeft w:val="0"/>
      <w:marRight w:val="0"/>
      <w:marTop w:val="0"/>
      <w:marBottom w:val="0"/>
      <w:divBdr>
        <w:top w:val="none" w:sz="0" w:space="0" w:color="auto"/>
        <w:left w:val="none" w:sz="0" w:space="0" w:color="auto"/>
        <w:bottom w:val="none" w:sz="0" w:space="0" w:color="auto"/>
        <w:right w:val="none" w:sz="0" w:space="0" w:color="auto"/>
      </w:divBdr>
    </w:div>
    <w:div w:id="2136677017">
      <w:bodyDiv w:val="1"/>
      <w:marLeft w:val="0"/>
      <w:marRight w:val="0"/>
      <w:marTop w:val="0"/>
      <w:marBottom w:val="0"/>
      <w:divBdr>
        <w:top w:val="none" w:sz="0" w:space="0" w:color="auto"/>
        <w:left w:val="none" w:sz="0" w:space="0" w:color="auto"/>
        <w:bottom w:val="none" w:sz="0" w:space="0" w:color="auto"/>
        <w:right w:val="none" w:sz="0" w:space="0" w:color="auto"/>
      </w:divBdr>
    </w:div>
    <w:div w:id="21395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www.ncbi.nlm.nih.gov/pmc/articles/PMC3781325/"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s://www.ncbi.nlm.nih.gov/pubmed/?term=Ray%20D%5BAuthor%5D&amp;cauthor=true&amp;cauthor_uid=24050407"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ncbi.nlm.nih.gov/pubmed/?term=O%26%23x02019%3BDoherty%20J%5BAuthor%5D&amp;cauthor=true&amp;cauthor_uid=24050407" TargetMode="External"/><Relationship Id="rId22" Type="http://schemas.openxmlformats.org/officeDocument/2006/relationships/image" Target="media/image9.jpeg"/><Relationship Id="rId27" Type="http://schemas.openxmlformats.org/officeDocument/2006/relationships/image" Target="media/image14.png"/><Relationship Id="rId30"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21A7-D71D-4698-9B75-5A303662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17108</Words>
  <Characters>94556</Characters>
  <Application>Microsoft Office Word</Application>
  <DocSecurity>0</DocSecurity>
  <Lines>787</Lines>
  <Paragraphs>222</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Absence of Common Knowledge as A Source of Speculative Bubbles</vt:lpstr>
      <vt:lpstr>Absence of Common Knowledge as A Source of Speculative Bubbles</vt:lpstr>
      <vt:lpstr>Absence of Common Knowledge as A Source of Speculative Bubbles</vt:lpstr>
    </vt:vector>
  </TitlesOfParts>
  <Company>Yale School of Management</Company>
  <LinksUpToDate>false</LinksUpToDate>
  <CharactersWithSpaces>111442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of Common Knowledge as A Source of Speculative Bubbles</dc:title>
  <dc:creator>ss454</dc:creator>
  <cp:lastModifiedBy>tostoeckl</cp:lastModifiedBy>
  <cp:revision>8</cp:revision>
  <cp:lastPrinted>2018-04-30T10:11:00Z</cp:lastPrinted>
  <dcterms:created xsi:type="dcterms:W3CDTF">2018-05-03T18:59:00Z</dcterms:created>
  <dcterms:modified xsi:type="dcterms:W3CDTF">2018-05-07T06:52:00Z</dcterms:modified>
</cp:coreProperties>
</file>